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6B46" w14:textId="08D6E52B" w:rsidR="00395B24" w:rsidRDefault="008F3E79" w:rsidP="00A22932">
      <w:pPr>
        <w:pStyle w:val="CourtTitle"/>
      </w:pPr>
      <w:r>
        <w:rPr>
          <w:caps w:val="0"/>
        </w:rPr>
        <w:t>FEDERAL COURT OF AUSTRALIA</w:t>
      </w:r>
    </w:p>
    <w:p w14:paraId="57A97A02" w14:textId="77777777" w:rsidR="004D7950" w:rsidRDefault="004D7950">
      <w:pPr>
        <w:pStyle w:val="NormalHeadings"/>
        <w:jc w:val="center"/>
        <w:rPr>
          <w:sz w:val="32"/>
        </w:rPr>
      </w:pPr>
    </w:p>
    <w:bookmarkStart w:id="0" w:name="MNC"/>
    <w:p w14:paraId="1BBA786B" w14:textId="2C8C5104" w:rsidR="00374CC4" w:rsidRDefault="001A7C09" w:rsidP="001A2B40">
      <w:pPr>
        <w:pStyle w:val="MNC"/>
      </w:pPr>
      <w:sdt>
        <w:sdtPr>
          <w:alias w:val="MNC"/>
          <w:tag w:val="MNC"/>
          <w:id w:val="343289786"/>
          <w:lock w:val="sdtLocked"/>
          <w:placeholder>
            <w:docPart w:val="C151B80D830241FF926E72DD9881B5C7"/>
          </w:placeholder>
          <w:dataBinding w:prefixMappings="xmlns:ns0='http://schemas.globalmacros.com/FCA'" w:xpath="/ns0:root[1]/ns0:Name[1]" w:storeItemID="{687E7CCB-4AA5-44E7-B148-17BA2B6F57C0}"/>
          <w:text w:multiLine="1"/>
        </w:sdtPr>
        <w:sdtEndPr/>
        <w:sdtContent>
          <w:r w:rsidR="00367A33" w:rsidRPr="00710554">
            <w:t>Commissioner of Taxation v Rawson Finances Pty Ltd</w:t>
          </w:r>
          <w:r w:rsidR="00367A33">
            <w:t xml:space="preserve"> (Costs) [2024] FCA 19</w:t>
          </w:r>
          <w:r w:rsidR="00367A33" w:rsidRPr="00710554">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7DED47B0" w14:textId="77777777" w:rsidTr="005E62AF">
        <w:tc>
          <w:tcPr>
            <w:tcW w:w="3084" w:type="dxa"/>
            <w:shd w:val="clear" w:color="auto" w:fill="auto"/>
          </w:tcPr>
          <w:p w14:paraId="49DB5BD7" w14:textId="77777777" w:rsidR="00395B24" w:rsidRDefault="002C7385" w:rsidP="00663878">
            <w:pPr>
              <w:pStyle w:val="Normal1linespace"/>
              <w:widowControl w:val="0"/>
              <w:jc w:val="left"/>
            </w:pPr>
            <w:r>
              <w:t>File number(s):</w:t>
            </w:r>
          </w:p>
        </w:tc>
        <w:tc>
          <w:tcPr>
            <w:tcW w:w="5989" w:type="dxa"/>
            <w:shd w:val="clear" w:color="auto" w:fill="auto"/>
          </w:tcPr>
          <w:p w14:paraId="7F5F1673" w14:textId="7D18B2FA" w:rsidR="00395B24" w:rsidRPr="004473A0" w:rsidRDefault="001A7C09" w:rsidP="004473A0">
            <w:pPr>
              <w:pStyle w:val="Normal1linespace"/>
              <w:jc w:val="left"/>
            </w:pPr>
            <w:r>
              <w:fldChar w:fldCharType="begin" w:fldLock="1"/>
            </w:r>
            <w:r>
              <w:instrText xml:space="preserve"> REF  FileNo  \* MERGEFORMAT </w:instrText>
            </w:r>
            <w:r>
              <w:fldChar w:fldCharType="separate"/>
            </w:r>
            <w:r w:rsidR="000D1828">
              <w:t>NSD 1329 of 2014</w:t>
            </w:r>
            <w:r>
              <w:fldChar w:fldCharType="end"/>
            </w:r>
          </w:p>
        </w:tc>
      </w:tr>
      <w:tr w:rsidR="00395B24" w14:paraId="67197E42" w14:textId="77777777" w:rsidTr="005E62AF">
        <w:tc>
          <w:tcPr>
            <w:tcW w:w="3084" w:type="dxa"/>
            <w:shd w:val="clear" w:color="auto" w:fill="auto"/>
          </w:tcPr>
          <w:p w14:paraId="12E42C57" w14:textId="77777777" w:rsidR="00395B24" w:rsidRDefault="00395B24" w:rsidP="00663878">
            <w:pPr>
              <w:pStyle w:val="Normal1linespace"/>
              <w:widowControl w:val="0"/>
              <w:jc w:val="left"/>
            </w:pPr>
          </w:p>
        </w:tc>
        <w:tc>
          <w:tcPr>
            <w:tcW w:w="5989" w:type="dxa"/>
            <w:shd w:val="clear" w:color="auto" w:fill="auto"/>
          </w:tcPr>
          <w:p w14:paraId="5685D3C1" w14:textId="77777777" w:rsidR="00395B24" w:rsidRDefault="00395B24" w:rsidP="00663878">
            <w:pPr>
              <w:pStyle w:val="Normal1linespace"/>
              <w:widowControl w:val="0"/>
              <w:jc w:val="left"/>
            </w:pPr>
          </w:p>
        </w:tc>
      </w:tr>
      <w:tr w:rsidR="00395B24" w14:paraId="6DC35B34" w14:textId="77777777" w:rsidTr="005E62AF">
        <w:tc>
          <w:tcPr>
            <w:tcW w:w="3084" w:type="dxa"/>
            <w:shd w:val="clear" w:color="auto" w:fill="auto"/>
          </w:tcPr>
          <w:p w14:paraId="580DA070"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DD0C933" w14:textId="1ECAAE11" w:rsidR="00395B24" w:rsidRDefault="000D1828" w:rsidP="00663878">
            <w:pPr>
              <w:pStyle w:val="Normal1linespace"/>
              <w:widowControl w:val="0"/>
              <w:jc w:val="left"/>
              <w:rPr>
                <w:b/>
              </w:rPr>
            </w:pPr>
            <w:r>
              <w:rPr>
                <w:b/>
              </w:rPr>
              <w:t>PERRY J</w:t>
            </w:r>
          </w:p>
        </w:tc>
      </w:tr>
      <w:tr w:rsidR="00395B24" w14:paraId="00580F93" w14:textId="77777777" w:rsidTr="005E62AF">
        <w:tc>
          <w:tcPr>
            <w:tcW w:w="3084" w:type="dxa"/>
            <w:shd w:val="clear" w:color="auto" w:fill="auto"/>
          </w:tcPr>
          <w:p w14:paraId="7A8EC423" w14:textId="77777777" w:rsidR="00395B24" w:rsidRDefault="00395B24" w:rsidP="00663878">
            <w:pPr>
              <w:pStyle w:val="Normal1linespace"/>
              <w:widowControl w:val="0"/>
              <w:jc w:val="left"/>
            </w:pPr>
          </w:p>
        </w:tc>
        <w:tc>
          <w:tcPr>
            <w:tcW w:w="5989" w:type="dxa"/>
            <w:shd w:val="clear" w:color="auto" w:fill="auto"/>
          </w:tcPr>
          <w:p w14:paraId="5207626F" w14:textId="77777777" w:rsidR="00395B24" w:rsidRDefault="00395B24" w:rsidP="00663878">
            <w:pPr>
              <w:pStyle w:val="Normal1linespace"/>
              <w:widowControl w:val="0"/>
              <w:jc w:val="left"/>
            </w:pPr>
          </w:p>
        </w:tc>
      </w:tr>
      <w:tr w:rsidR="00395B24" w14:paraId="4398F6F7" w14:textId="77777777" w:rsidTr="005E62AF">
        <w:tc>
          <w:tcPr>
            <w:tcW w:w="3084" w:type="dxa"/>
            <w:shd w:val="clear" w:color="auto" w:fill="auto"/>
          </w:tcPr>
          <w:p w14:paraId="4D5A264F" w14:textId="77777777" w:rsidR="00395B24" w:rsidRDefault="002C7385" w:rsidP="00663878">
            <w:pPr>
              <w:pStyle w:val="Normal1linespace"/>
              <w:widowControl w:val="0"/>
              <w:jc w:val="left"/>
            </w:pPr>
            <w:r>
              <w:t>Date of judgment:</w:t>
            </w:r>
          </w:p>
        </w:tc>
        <w:tc>
          <w:tcPr>
            <w:tcW w:w="5989" w:type="dxa"/>
            <w:shd w:val="clear" w:color="auto" w:fill="auto"/>
          </w:tcPr>
          <w:p w14:paraId="167C8F7A" w14:textId="7E385B15" w:rsidR="00395B24" w:rsidRDefault="00C92307" w:rsidP="00663878">
            <w:pPr>
              <w:pStyle w:val="Normal1linespace"/>
              <w:widowControl w:val="0"/>
              <w:jc w:val="left"/>
            </w:pPr>
            <w:bookmarkStart w:id="1" w:name="JudgmentDate"/>
            <w:bookmarkEnd w:id="1"/>
            <w:r>
              <w:t>19 January 2024</w:t>
            </w:r>
          </w:p>
        </w:tc>
      </w:tr>
      <w:tr w:rsidR="00395B24" w14:paraId="6C5B6BAF" w14:textId="77777777" w:rsidTr="005E62AF">
        <w:tc>
          <w:tcPr>
            <w:tcW w:w="3084" w:type="dxa"/>
            <w:shd w:val="clear" w:color="auto" w:fill="auto"/>
          </w:tcPr>
          <w:p w14:paraId="5E472BAF" w14:textId="77777777" w:rsidR="00395B24" w:rsidRDefault="00395B24" w:rsidP="00663878">
            <w:pPr>
              <w:pStyle w:val="Normal1linespace"/>
              <w:widowControl w:val="0"/>
              <w:jc w:val="left"/>
            </w:pPr>
          </w:p>
        </w:tc>
        <w:tc>
          <w:tcPr>
            <w:tcW w:w="5989" w:type="dxa"/>
            <w:shd w:val="clear" w:color="auto" w:fill="auto"/>
          </w:tcPr>
          <w:p w14:paraId="6B63BD20" w14:textId="77777777" w:rsidR="00395B24" w:rsidRDefault="00395B24" w:rsidP="00663878">
            <w:pPr>
              <w:pStyle w:val="Normal1linespace"/>
              <w:widowControl w:val="0"/>
              <w:jc w:val="left"/>
            </w:pPr>
          </w:p>
        </w:tc>
      </w:tr>
      <w:tr w:rsidR="00395B24" w14:paraId="7DE334C3" w14:textId="77777777" w:rsidTr="005E62AF">
        <w:tc>
          <w:tcPr>
            <w:tcW w:w="3084" w:type="dxa"/>
            <w:shd w:val="clear" w:color="auto" w:fill="auto"/>
          </w:tcPr>
          <w:p w14:paraId="0A3F0A8B" w14:textId="77777777" w:rsidR="00395B24" w:rsidRDefault="002C7385" w:rsidP="00663878">
            <w:pPr>
              <w:pStyle w:val="Normal1linespace"/>
              <w:widowControl w:val="0"/>
              <w:jc w:val="left"/>
            </w:pPr>
            <w:r>
              <w:t>Catchwords:</w:t>
            </w:r>
          </w:p>
        </w:tc>
        <w:tc>
          <w:tcPr>
            <w:tcW w:w="5989" w:type="dxa"/>
            <w:shd w:val="clear" w:color="auto" w:fill="auto"/>
          </w:tcPr>
          <w:p w14:paraId="2C1C819F" w14:textId="20FE1BC8" w:rsidR="004D6BFF" w:rsidRDefault="00D82AAA" w:rsidP="0062043F">
            <w:pPr>
              <w:pStyle w:val="Normal1linespace"/>
              <w:widowControl w:val="0"/>
              <w:jc w:val="left"/>
            </w:pPr>
            <w:bookmarkStart w:id="2" w:name="Catchwords"/>
            <w:r w:rsidRPr="00D82AAA">
              <w:rPr>
                <w:b/>
                <w:bCs/>
              </w:rPr>
              <w:t xml:space="preserve">COSTS </w:t>
            </w:r>
            <w:r w:rsidRPr="00D82AAA">
              <w:t xml:space="preserve">— application </w:t>
            </w:r>
            <w:r w:rsidR="000D4C9F">
              <w:t xml:space="preserve">by </w:t>
            </w:r>
            <w:r w:rsidR="000D4C9F" w:rsidRPr="00E673DE">
              <w:rPr>
                <w:b/>
                <w:bCs/>
              </w:rPr>
              <w:t>Commissioner</w:t>
            </w:r>
            <w:r w:rsidR="000D4C9F">
              <w:t xml:space="preserve"> </w:t>
            </w:r>
            <w:r w:rsidR="009D7774">
              <w:t xml:space="preserve">of Taxation </w:t>
            </w:r>
            <w:r w:rsidRPr="00D82AAA">
              <w:t>for indemnity costs— where applicant wholly successful in setting aside judgment of the Full Court of the Federal Court for fraud —whether indemnity costs should be awarded having regard to the public interest in the Commissioner applying to set aside earlier Full Court decision obtained by fraud — where general principle is that indemnity costs can only be awarded on the basis of delinquency in the conduct of the present proceedings, not antecedent conduct — where contempt of court</w:t>
            </w:r>
            <w:r w:rsidR="004B7A93">
              <w:t xml:space="preserve"> is</w:t>
            </w:r>
            <w:r w:rsidRPr="00D82AAA">
              <w:t xml:space="preserve"> </w:t>
            </w:r>
            <w:r w:rsidR="003C2646">
              <w:t xml:space="preserve">an exception to the general principle </w:t>
            </w:r>
            <w:r w:rsidRPr="00D82AAA">
              <w:t>based on the public interest in ensuring administration of justice</w:t>
            </w:r>
            <w:r w:rsidR="003C2646">
              <w:t xml:space="preserve"> and </w:t>
            </w:r>
            <w:r w:rsidR="0009768E">
              <w:t>upholding</w:t>
            </w:r>
            <w:r w:rsidR="003C2646">
              <w:t xml:space="preserve"> rule of law</w:t>
            </w:r>
            <w:r w:rsidRPr="00D82AAA">
              <w:t xml:space="preserve"> — where analogous considerations apply in context of setting aside judgment obtained by fraud, given public interest— whether </w:t>
            </w:r>
            <w:r w:rsidRPr="004B7A93">
              <w:rPr>
                <w:b/>
                <w:i/>
                <w:iCs/>
              </w:rPr>
              <w:t>Clone</w:t>
            </w:r>
            <w:r w:rsidRPr="00D82AAA">
              <w:rPr>
                <w:i/>
                <w:iCs/>
              </w:rPr>
              <w:t xml:space="preserve"> Pty Ltd v Players Pty Ltd (in Liquidation)</w:t>
            </w:r>
            <w:r w:rsidRPr="00D82AAA">
              <w:t xml:space="preserve"> (2016) 127 SASR; [2016] SASFC 134 </w:t>
            </w:r>
            <w:r>
              <w:t xml:space="preserve">requires different </w:t>
            </w:r>
            <w:r w:rsidR="004325FE">
              <w:t xml:space="preserve">outcome </w:t>
            </w:r>
            <w:r w:rsidRPr="00D82AAA">
              <w:t xml:space="preserve">— where </w:t>
            </w:r>
            <w:r w:rsidRPr="009D7774">
              <w:rPr>
                <w:i/>
              </w:rPr>
              <w:t>Clone</w:t>
            </w:r>
            <w:r w:rsidRPr="00D82AAA">
              <w:t xml:space="preserve"> distinguishable because it considered malpractice, not fraud — held: indemnity costs payable for entire proceeding, save for costs application</w:t>
            </w:r>
          </w:p>
          <w:p w14:paraId="7CFD5B44" w14:textId="77777777" w:rsidR="00186753" w:rsidRDefault="00186753" w:rsidP="0062043F">
            <w:pPr>
              <w:pStyle w:val="Normal1linespace"/>
              <w:widowControl w:val="0"/>
              <w:jc w:val="left"/>
            </w:pPr>
          </w:p>
          <w:p w14:paraId="2F84349D" w14:textId="2F871ADE" w:rsidR="00395B24" w:rsidRDefault="009016B4" w:rsidP="00A95D2C">
            <w:pPr>
              <w:pStyle w:val="Normal1linespace"/>
              <w:widowControl w:val="0"/>
              <w:jc w:val="left"/>
            </w:pPr>
            <w:r w:rsidRPr="0062043F">
              <w:rPr>
                <w:b/>
                <w:bCs/>
              </w:rPr>
              <w:t>COSTS</w:t>
            </w:r>
            <w:r>
              <w:t xml:space="preserve"> — </w:t>
            </w:r>
            <w:r w:rsidR="00A95D2C">
              <w:t xml:space="preserve">alternatively, </w:t>
            </w:r>
            <w:r>
              <w:t xml:space="preserve">whether Rawson’s conduct in </w:t>
            </w:r>
            <w:r w:rsidR="007E0FE5">
              <w:t xml:space="preserve">this proceeding warrants indemnity costs — </w:t>
            </w:r>
            <w:r w:rsidR="006A7EEF">
              <w:t xml:space="preserve">where respondent </w:t>
            </w:r>
            <w:r w:rsidR="00F31EBB">
              <w:t xml:space="preserve">did </w:t>
            </w:r>
            <w:r w:rsidR="00C55927">
              <w:t>not admit</w:t>
            </w:r>
            <w:r w:rsidR="00CE4C00">
              <w:t xml:space="preserve"> fraud</w:t>
            </w:r>
            <w:r w:rsidR="006A7EEF">
              <w:t xml:space="preserve"> </w:t>
            </w:r>
            <w:r w:rsidR="002A07E4">
              <w:t xml:space="preserve">in circumstances </w:t>
            </w:r>
            <w:r w:rsidR="006A7EEF">
              <w:t xml:space="preserve">where </w:t>
            </w:r>
            <w:r w:rsidR="00B91918">
              <w:t xml:space="preserve">consent </w:t>
            </w:r>
            <w:r w:rsidR="006A7EEF">
              <w:t xml:space="preserve">orders </w:t>
            </w:r>
            <w:r w:rsidR="004B7A93">
              <w:t xml:space="preserve">were </w:t>
            </w:r>
            <w:r w:rsidR="006A7EEF">
              <w:t xml:space="preserve">made excusing respondent from pleading to the </w:t>
            </w:r>
            <w:r w:rsidR="00B91918">
              <w:t xml:space="preserve">allegations of </w:t>
            </w:r>
            <w:r w:rsidR="006A7EEF">
              <w:t xml:space="preserve">fraud </w:t>
            </w:r>
            <w:r w:rsidR="00B91918">
              <w:t xml:space="preserve">against company officers </w:t>
            </w:r>
            <w:r w:rsidR="002F49AC">
              <w:t xml:space="preserve">and </w:t>
            </w:r>
            <w:r w:rsidR="006A7EEF">
              <w:t>exempting respondent from disclosing documents</w:t>
            </w:r>
            <w:r w:rsidR="00DA2929">
              <w:t xml:space="preserve"> </w:t>
            </w:r>
            <w:r w:rsidR="006A7EEF">
              <w:t>—</w:t>
            </w:r>
            <w:r w:rsidR="002113B1">
              <w:t xml:space="preserve"> </w:t>
            </w:r>
            <w:r w:rsidR="006A7EEF">
              <w:t>w</w:t>
            </w:r>
            <w:r w:rsidR="00AF639C">
              <w:t>here respondent</w:t>
            </w:r>
            <w:r w:rsidR="00130E62">
              <w:t xml:space="preserve"> </w:t>
            </w:r>
            <w:r w:rsidR="00AF639C">
              <w:t xml:space="preserve">positively </w:t>
            </w:r>
            <w:r w:rsidR="00F87BBD">
              <w:t>ran a knowingly false case that the loans</w:t>
            </w:r>
            <w:r w:rsidR="00654039">
              <w:t xml:space="preserve"> the subject of the Full Court decision</w:t>
            </w:r>
            <w:r w:rsidR="00F87BBD">
              <w:t xml:space="preserve"> were genuine </w:t>
            </w:r>
            <w:r w:rsidR="00F95664">
              <w:t xml:space="preserve">after </w:t>
            </w:r>
            <w:r w:rsidR="00A134CF">
              <w:t xml:space="preserve">late admission </w:t>
            </w:r>
            <w:r w:rsidR="000626E7">
              <w:t xml:space="preserve">by the respondent of </w:t>
            </w:r>
            <w:r w:rsidR="00F95664">
              <w:t>the</w:t>
            </w:r>
            <w:r w:rsidR="000626E7">
              <w:t xml:space="preserve"> existence of the</w:t>
            </w:r>
            <w:r w:rsidR="00F95664">
              <w:t xml:space="preserve"> back to back loans</w:t>
            </w:r>
            <w:r w:rsidR="00900DE8">
              <w:t xml:space="preserve"> </w:t>
            </w:r>
            <w:r w:rsidR="00654039">
              <w:t>following the production of</w:t>
            </w:r>
            <w:r w:rsidR="00F95664">
              <w:t xml:space="preserve"> evidence from Israel</w:t>
            </w:r>
            <w:r w:rsidR="000732CA">
              <w:t xml:space="preserve"> </w:t>
            </w:r>
            <w:r w:rsidR="00900DE8">
              <w:t xml:space="preserve">irrefutably </w:t>
            </w:r>
            <w:r w:rsidR="00F95664">
              <w:t xml:space="preserve">establishing </w:t>
            </w:r>
            <w:r w:rsidR="00DA38FF">
              <w:t>the</w:t>
            </w:r>
            <w:r w:rsidR="00A134CF">
              <w:t>ir</w:t>
            </w:r>
            <w:r w:rsidR="00DA38FF">
              <w:t xml:space="preserve"> </w:t>
            </w:r>
            <w:r w:rsidR="00F95664">
              <w:t xml:space="preserve">existence </w:t>
            </w:r>
            <w:bookmarkEnd w:id="2"/>
          </w:p>
        </w:tc>
      </w:tr>
      <w:tr w:rsidR="00395B24" w14:paraId="58F81840" w14:textId="77777777" w:rsidTr="005E62AF">
        <w:tc>
          <w:tcPr>
            <w:tcW w:w="3084" w:type="dxa"/>
            <w:shd w:val="clear" w:color="auto" w:fill="auto"/>
          </w:tcPr>
          <w:p w14:paraId="106C12DB" w14:textId="77777777" w:rsidR="00395B24" w:rsidRDefault="00395B24" w:rsidP="00663878">
            <w:pPr>
              <w:pStyle w:val="Normal1linespace"/>
              <w:widowControl w:val="0"/>
              <w:jc w:val="left"/>
            </w:pPr>
          </w:p>
        </w:tc>
        <w:tc>
          <w:tcPr>
            <w:tcW w:w="5989" w:type="dxa"/>
            <w:shd w:val="clear" w:color="auto" w:fill="auto"/>
          </w:tcPr>
          <w:p w14:paraId="1D1C1255" w14:textId="77777777" w:rsidR="00395B24" w:rsidRDefault="00395B24" w:rsidP="00663878">
            <w:pPr>
              <w:pStyle w:val="Normal1linespace"/>
              <w:widowControl w:val="0"/>
              <w:jc w:val="left"/>
            </w:pPr>
          </w:p>
        </w:tc>
      </w:tr>
      <w:tr w:rsidR="00395B24" w14:paraId="0F8E3849" w14:textId="77777777" w:rsidTr="005E62AF">
        <w:tc>
          <w:tcPr>
            <w:tcW w:w="3084" w:type="dxa"/>
            <w:shd w:val="clear" w:color="auto" w:fill="auto"/>
          </w:tcPr>
          <w:p w14:paraId="40C73321" w14:textId="77777777" w:rsidR="00395B24" w:rsidRDefault="002C7385" w:rsidP="00663878">
            <w:pPr>
              <w:pStyle w:val="Normal1linespace"/>
              <w:widowControl w:val="0"/>
              <w:jc w:val="left"/>
            </w:pPr>
            <w:r>
              <w:t>Legislation:</w:t>
            </w:r>
          </w:p>
        </w:tc>
        <w:tc>
          <w:tcPr>
            <w:tcW w:w="5989" w:type="dxa"/>
            <w:shd w:val="clear" w:color="auto" w:fill="auto"/>
          </w:tcPr>
          <w:p w14:paraId="2C3EE73B" w14:textId="03865DD7" w:rsidR="00F14799" w:rsidRPr="005E62AF" w:rsidRDefault="00F14799" w:rsidP="00F14799">
            <w:pPr>
              <w:pStyle w:val="CasesLegislationAppealFrom"/>
              <w:spacing w:after="60"/>
            </w:pPr>
            <w:bookmarkStart w:id="3" w:name="Legislation"/>
            <w:r w:rsidRPr="00F14799">
              <w:rPr>
                <w:i/>
                <w:iCs/>
              </w:rPr>
              <w:t>F</w:t>
            </w:r>
            <w:r w:rsidRPr="005E62AF">
              <w:rPr>
                <w:i/>
                <w:iCs/>
              </w:rPr>
              <w:t xml:space="preserve">ederal Court of Australia Act 1976 </w:t>
            </w:r>
            <w:r w:rsidRPr="005E62AF">
              <w:t>(</w:t>
            </w:r>
            <w:proofErr w:type="spellStart"/>
            <w:r w:rsidRPr="005E62AF">
              <w:t>Cth</w:t>
            </w:r>
            <w:proofErr w:type="spellEnd"/>
            <w:r w:rsidRPr="005E62AF">
              <w:t>)</w:t>
            </w:r>
            <w:r w:rsidR="005E62AF" w:rsidRPr="005E62AF">
              <w:t xml:space="preserve"> s 43</w:t>
            </w:r>
          </w:p>
          <w:p w14:paraId="350157B3" w14:textId="58B7EDEB" w:rsidR="00F14799" w:rsidRPr="00F14799" w:rsidRDefault="00F14799" w:rsidP="00F14799">
            <w:pPr>
              <w:pStyle w:val="CasesLegislationAppealFrom"/>
              <w:spacing w:after="60"/>
            </w:pPr>
            <w:r w:rsidRPr="005E62AF">
              <w:rPr>
                <w:i/>
              </w:rPr>
              <w:t xml:space="preserve">Foreign Evidence Act 1994 </w:t>
            </w:r>
            <w:r w:rsidRPr="005E62AF">
              <w:t>(</w:t>
            </w:r>
            <w:proofErr w:type="spellStart"/>
            <w:r w:rsidRPr="005E62AF">
              <w:t>Cth</w:t>
            </w:r>
            <w:proofErr w:type="spellEnd"/>
            <w:r w:rsidR="005E62AF" w:rsidRPr="005E62AF">
              <w:t>) s </w:t>
            </w:r>
            <w:r w:rsidR="005E62AF" w:rsidRPr="00F14799">
              <w:t>7</w:t>
            </w:r>
            <w:bookmarkEnd w:id="3"/>
          </w:p>
        </w:tc>
      </w:tr>
      <w:tr w:rsidR="00395B24" w14:paraId="4212E8C3" w14:textId="77777777" w:rsidTr="005E62AF">
        <w:tc>
          <w:tcPr>
            <w:tcW w:w="3084" w:type="dxa"/>
            <w:shd w:val="clear" w:color="auto" w:fill="auto"/>
          </w:tcPr>
          <w:p w14:paraId="5E11FC38" w14:textId="77777777" w:rsidR="00395B24" w:rsidRDefault="00395B24" w:rsidP="00663878">
            <w:pPr>
              <w:pStyle w:val="Normal1linespace"/>
              <w:widowControl w:val="0"/>
              <w:jc w:val="left"/>
            </w:pPr>
          </w:p>
        </w:tc>
        <w:tc>
          <w:tcPr>
            <w:tcW w:w="5989" w:type="dxa"/>
            <w:shd w:val="clear" w:color="auto" w:fill="auto"/>
          </w:tcPr>
          <w:p w14:paraId="7305D6EB" w14:textId="77777777" w:rsidR="00395B24" w:rsidRDefault="00395B24" w:rsidP="00663878">
            <w:pPr>
              <w:pStyle w:val="Normal1linespace"/>
              <w:widowControl w:val="0"/>
              <w:jc w:val="left"/>
            </w:pPr>
          </w:p>
        </w:tc>
      </w:tr>
      <w:tr w:rsidR="00395B24" w14:paraId="08964CCD" w14:textId="77777777" w:rsidTr="005E62AF">
        <w:tc>
          <w:tcPr>
            <w:tcW w:w="3084" w:type="dxa"/>
            <w:shd w:val="clear" w:color="auto" w:fill="auto"/>
          </w:tcPr>
          <w:p w14:paraId="6A785030" w14:textId="77777777" w:rsidR="00395B24" w:rsidRDefault="002C7385" w:rsidP="00663878">
            <w:pPr>
              <w:pStyle w:val="Normal1linespace"/>
              <w:widowControl w:val="0"/>
              <w:jc w:val="left"/>
            </w:pPr>
            <w:r>
              <w:lastRenderedPageBreak/>
              <w:t>Cases cited:</w:t>
            </w:r>
          </w:p>
        </w:tc>
        <w:tc>
          <w:tcPr>
            <w:tcW w:w="5989" w:type="dxa"/>
            <w:shd w:val="clear" w:color="auto" w:fill="auto"/>
          </w:tcPr>
          <w:p w14:paraId="02783BA5" w14:textId="77777777" w:rsidR="00F14799" w:rsidRPr="005E62AF" w:rsidRDefault="00F14799" w:rsidP="00F14799">
            <w:pPr>
              <w:pStyle w:val="CasesLegislationAppealFrom"/>
              <w:spacing w:after="60"/>
            </w:pPr>
            <w:bookmarkStart w:id="4" w:name="Cases_Cited"/>
            <w:r w:rsidRPr="005E62AF">
              <w:rPr>
                <w:i/>
                <w:iCs/>
              </w:rPr>
              <w:t xml:space="preserve">Ali v Collection Point Pty Ltd </w:t>
            </w:r>
            <w:r w:rsidRPr="005E62AF">
              <w:t>[2011] FCAFC 87</w:t>
            </w:r>
          </w:p>
          <w:p w14:paraId="5994D9DE" w14:textId="77777777" w:rsidR="00F14799" w:rsidRPr="005E62AF" w:rsidRDefault="00F14799" w:rsidP="00F14799">
            <w:pPr>
              <w:pStyle w:val="CasesLegislationAppealFrom"/>
              <w:spacing w:after="60"/>
            </w:pPr>
            <w:r w:rsidRPr="005E62AF">
              <w:rPr>
                <w:i/>
                <w:iCs/>
              </w:rPr>
              <w:t xml:space="preserve">Australasian Meat Industry Employees Union v </w:t>
            </w:r>
            <w:proofErr w:type="spellStart"/>
            <w:r w:rsidRPr="005E62AF">
              <w:rPr>
                <w:i/>
                <w:iCs/>
              </w:rPr>
              <w:t>Mudginberri</w:t>
            </w:r>
            <w:proofErr w:type="spellEnd"/>
            <w:r w:rsidRPr="005E62AF">
              <w:rPr>
                <w:i/>
                <w:iCs/>
              </w:rPr>
              <w:t xml:space="preserve"> Station Pty Ltd </w:t>
            </w:r>
            <w:r w:rsidRPr="005E62AF">
              <w:t>[1986] HCA 46; (1986) 161 CLR 98</w:t>
            </w:r>
          </w:p>
          <w:p w14:paraId="3E770AF1" w14:textId="77777777" w:rsidR="00F14799" w:rsidRPr="005E62AF" w:rsidRDefault="00F14799" w:rsidP="00F14799">
            <w:pPr>
              <w:pStyle w:val="CasesLegislationAppealFrom"/>
              <w:spacing w:after="60"/>
            </w:pPr>
            <w:r w:rsidRPr="005E62AF">
              <w:rPr>
                <w:i/>
                <w:iCs/>
              </w:rPr>
              <w:t>Australian Federation of Consumer Organisations Inc v Tobacco Institute of Australia Ltd</w:t>
            </w:r>
            <w:r w:rsidRPr="005E62AF">
              <w:t xml:space="preserve"> [1991] FCA 150</w:t>
            </w:r>
          </w:p>
          <w:p w14:paraId="77EBA29A" w14:textId="77777777" w:rsidR="00F14799" w:rsidRPr="005E62AF" w:rsidRDefault="00F14799" w:rsidP="00F14799">
            <w:pPr>
              <w:pStyle w:val="CasesLegislationAppealFrom"/>
              <w:spacing w:after="60"/>
            </w:pPr>
            <w:r w:rsidRPr="005E62AF">
              <w:rPr>
                <w:i/>
                <w:iCs/>
              </w:rPr>
              <w:t>Australian Guarantee Corporation Ltd v De Jager</w:t>
            </w:r>
            <w:r w:rsidRPr="005E62AF">
              <w:t xml:space="preserve"> [1984] VR 483</w:t>
            </w:r>
          </w:p>
          <w:p w14:paraId="25C9F318" w14:textId="77777777" w:rsidR="00F14799" w:rsidRPr="005E62AF" w:rsidRDefault="00F14799" w:rsidP="00F14799">
            <w:pPr>
              <w:pStyle w:val="CasesLegislationAppealFrom"/>
              <w:spacing w:after="60"/>
            </w:pPr>
            <w:r w:rsidRPr="005E62AF">
              <w:rPr>
                <w:i/>
              </w:rPr>
              <w:t>Beach Petroleum NL v Johnson (No 2)</w:t>
            </w:r>
            <w:r w:rsidRPr="005E62AF">
              <w:t xml:space="preserve"> (1995) 57 FCR 119</w:t>
            </w:r>
          </w:p>
          <w:p w14:paraId="4F7FB104" w14:textId="77777777" w:rsidR="00F14799" w:rsidRPr="005E62AF" w:rsidRDefault="00F14799" w:rsidP="00F14799">
            <w:pPr>
              <w:pStyle w:val="CasesLegislationAppealFrom"/>
              <w:spacing w:after="60"/>
            </w:pPr>
            <w:r w:rsidRPr="005E62AF">
              <w:rPr>
                <w:i/>
                <w:iCs/>
              </w:rPr>
              <w:t xml:space="preserve">Canada v </w:t>
            </w:r>
            <w:proofErr w:type="spellStart"/>
            <w:r w:rsidRPr="005E62AF">
              <w:rPr>
                <w:i/>
                <w:iCs/>
              </w:rPr>
              <w:t>Granitile</w:t>
            </w:r>
            <w:proofErr w:type="spellEnd"/>
            <w:r w:rsidRPr="005E62AF">
              <w:rPr>
                <w:i/>
                <w:iCs/>
              </w:rPr>
              <w:t xml:space="preserve"> Inc</w:t>
            </w:r>
            <w:r w:rsidRPr="005E62AF">
              <w:t xml:space="preserve"> [2008] OJ No 4934; (2008) 302 DLR (4</w:t>
            </w:r>
            <w:r w:rsidRPr="005E62AF">
              <w:rPr>
                <w:vertAlign w:val="superscript"/>
              </w:rPr>
              <w:t>th</w:t>
            </w:r>
            <w:r w:rsidRPr="005E62AF">
              <w:t>) 40</w:t>
            </w:r>
          </w:p>
          <w:p w14:paraId="70B6C35D" w14:textId="77777777" w:rsidR="00F14799" w:rsidRPr="005E62AF" w:rsidRDefault="00F14799" w:rsidP="00F14799">
            <w:pPr>
              <w:pStyle w:val="CasesLegislationAppealFrom"/>
              <w:spacing w:after="60"/>
            </w:pPr>
            <w:r w:rsidRPr="005E62AF">
              <w:rPr>
                <w:i/>
                <w:iCs/>
              </w:rPr>
              <w:t xml:space="preserve">Clone Pty Ltd v Players Pty Ltd (in Liquidation) </w:t>
            </w:r>
            <w:r w:rsidRPr="005E62AF">
              <w:t>(2016) 127 SASR; [2016] SASFC 134</w:t>
            </w:r>
          </w:p>
          <w:p w14:paraId="2E71A99E" w14:textId="77777777" w:rsidR="00F14799" w:rsidRPr="005E62AF" w:rsidRDefault="00F14799" w:rsidP="00F14799">
            <w:pPr>
              <w:pStyle w:val="CasesLegislationAppealFrom"/>
              <w:spacing w:after="60"/>
            </w:pPr>
            <w:r w:rsidRPr="005E62AF">
              <w:rPr>
                <w:i/>
                <w:iCs/>
              </w:rPr>
              <w:t>Clone Pty Ltd v Players Pty Ltd (In Liquidation) (Receivers &amp; Managers Appointed)</w:t>
            </w:r>
            <w:r w:rsidRPr="005E62AF">
              <w:t xml:space="preserve"> (2018) 264 CLR 164; [2018] HCA 12</w:t>
            </w:r>
          </w:p>
          <w:p w14:paraId="5984DC5A" w14:textId="77777777" w:rsidR="00F14799" w:rsidRPr="005E62AF" w:rsidRDefault="00F14799" w:rsidP="00F14799">
            <w:pPr>
              <w:pStyle w:val="CasesLegislationAppealFrom"/>
              <w:spacing w:after="60"/>
            </w:pPr>
            <w:r w:rsidRPr="005E62AF">
              <w:rPr>
                <w:i/>
                <w:iCs/>
              </w:rPr>
              <w:t>Colgate-Palmolive Co v Cussons Pty Ltd</w:t>
            </w:r>
            <w:r w:rsidRPr="005E62AF">
              <w:t xml:space="preserve"> [1993] FCA 801; (1993) 46 FCR 225</w:t>
            </w:r>
          </w:p>
          <w:p w14:paraId="59064D3F" w14:textId="77777777" w:rsidR="00F14799" w:rsidRPr="005E62AF" w:rsidRDefault="00F14799" w:rsidP="00F14799">
            <w:pPr>
              <w:pStyle w:val="CasesLegislationAppealFrom"/>
              <w:spacing w:after="60"/>
            </w:pPr>
            <w:r w:rsidRPr="005E62AF">
              <w:rPr>
                <w:i/>
                <w:iCs/>
              </w:rPr>
              <w:t>Commissioner of Taxation v Rawson Finances Pty Ltd (No 2)</w:t>
            </w:r>
            <w:r w:rsidRPr="005E62AF">
              <w:t xml:space="preserve"> [2016] FCA 402</w:t>
            </w:r>
          </w:p>
          <w:p w14:paraId="61CE60F2" w14:textId="77777777" w:rsidR="00F14799" w:rsidRPr="005E62AF" w:rsidRDefault="00F14799" w:rsidP="00F14799">
            <w:pPr>
              <w:pStyle w:val="CasesLegislationAppealFrom"/>
              <w:spacing w:after="60"/>
            </w:pPr>
            <w:r w:rsidRPr="005E62AF">
              <w:rPr>
                <w:i/>
                <w:iCs/>
              </w:rPr>
              <w:t>Commissioner of Taxation v Rawson Finances Pty Ltd (No 4)</w:t>
            </w:r>
            <w:r w:rsidRPr="005E62AF">
              <w:t xml:space="preserve"> [2016] FCA 1436</w:t>
            </w:r>
          </w:p>
          <w:p w14:paraId="456A15CE" w14:textId="77777777" w:rsidR="00F14799" w:rsidRPr="005E62AF" w:rsidRDefault="00F14799" w:rsidP="00F14799">
            <w:pPr>
              <w:pStyle w:val="CasesLegislationAppealFrom"/>
              <w:spacing w:after="60"/>
            </w:pPr>
            <w:r w:rsidRPr="005E62AF">
              <w:rPr>
                <w:i/>
              </w:rPr>
              <w:t xml:space="preserve">Commissioner of Taxation v Rawson Finances Pty Ltd </w:t>
            </w:r>
            <w:r w:rsidRPr="005E62AF">
              <w:t>[2012] FCA 753</w:t>
            </w:r>
          </w:p>
          <w:p w14:paraId="11D35D46" w14:textId="77777777" w:rsidR="00F14799" w:rsidRPr="005E62AF" w:rsidRDefault="00F14799" w:rsidP="00F14799">
            <w:pPr>
              <w:pStyle w:val="CasesLegislationAppealFrom"/>
              <w:spacing w:after="60"/>
            </w:pPr>
            <w:r w:rsidRPr="005E62AF">
              <w:rPr>
                <w:i/>
                <w:iCs/>
              </w:rPr>
              <w:t xml:space="preserve">Commissioner of Taxation v Rawson Finances Pty Ltd </w:t>
            </w:r>
            <w:r w:rsidRPr="005E62AF">
              <w:t>[2023] FCA 617</w:t>
            </w:r>
          </w:p>
          <w:p w14:paraId="74AE0D4F" w14:textId="77777777" w:rsidR="00F14799" w:rsidRPr="005E62AF" w:rsidRDefault="00F14799" w:rsidP="00F14799">
            <w:pPr>
              <w:pStyle w:val="CasesLegislationAppealFrom"/>
              <w:spacing w:after="60"/>
              <w:rPr>
                <w:iCs/>
              </w:rPr>
            </w:pPr>
            <w:r w:rsidRPr="005E62AF">
              <w:rPr>
                <w:i/>
                <w:iCs/>
              </w:rPr>
              <w:t xml:space="preserve">Deputy Commissioner of Taxation v Gashi (No 3) </w:t>
            </w:r>
            <w:r w:rsidRPr="005E62AF">
              <w:rPr>
                <w:iCs/>
              </w:rPr>
              <w:t>[2011] VSC 448</w:t>
            </w:r>
          </w:p>
          <w:p w14:paraId="54418975" w14:textId="08359713" w:rsidR="00F14799" w:rsidRPr="005E62AF" w:rsidRDefault="005E62AF" w:rsidP="00F14799">
            <w:pPr>
              <w:pStyle w:val="CasesLegislationAppealFrom"/>
              <w:spacing w:after="60"/>
            </w:pPr>
            <w:r w:rsidRPr="005E62AF">
              <w:rPr>
                <w:i/>
                <w:iCs/>
              </w:rPr>
              <w:t>EMI Records Ltd v Ian Wallace Ltd</w:t>
            </w:r>
            <w:r w:rsidRPr="005E62AF">
              <w:t xml:space="preserve"> [1982] 2 All ER 980; [1983] 1 Ch 59</w:t>
            </w:r>
          </w:p>
          <w:p w14:paraId="71432DC9" w14:textId="77777777" w:rsidR="00F14799" w:rsidRPr="005E62AF" w:rsidRDefault="00F14799" w:rsidP="00F14799">
            <w:pPr>
              <w:pStyle w:val="CasesLegislationAppealFrom"/>
              <w:spacing w:after="60"/>
            </w:pPr>
            <w:r w:rsidRPr="005E62AF">
              <w:rPr>
                <w:i/>
                <w:iCs/>
              </w:rPr>
              <w:t xml:space="preserve">GR Vaughan (Holdings) Pty Ltd v Vogt </w:t>
            </w:r>
            <w:r w:rsidRPr="005E62AF">
              <w:t>[2006] NSWCA 263</w:t>
            </w:r>
          </w:p>
          <w:p w14:paraId="39406185" w14:textId="77777777" w:rsidR="00F14799" w:rsidRPr="005E62AF" w:rsidRDefault="00F14799" w:rsidP="00F14799">
            <w:pPr>
              <w:pStyle w:val="CasesLegislationAppealFrom"/>
              <w:spacing w:after="60"/>
            </w:pPr>
            <w:proofErr w:type="spellStart"/>
            <w:r w:rsidRPr="005E62AF">
              <w:rPr>
                <w:i/>
                <w:iCs/>
              </w:rPr>
              <w:t>Hamod</w:t>
            </w:r>
            <w:proofErr w:type="spellEnd"/>
            <w:r w:rsidRPr="005E62AF">
              <w:rPr>
                <w:i/>
                <w:iCs/>
              </w:rPr>
              <w:t xml:space="preserve"> </w:t>
            </w:r>
            <w:r w:rsidRPr="005E62AF">
              <w:rPr>
                <w:i/>
              </w:rPr>
              <w:t>v New South Wales</w:t>
            </w:r>
            <w:r w:rsidRPr="005E62AF">
              <w:t xml:space="preserve"> [2002] FCA 424; (2002) 188 ALR 659</w:t>
            </w:r>
          </w:p>
          <w:p w14:paraId="75E9FB90" w14:textId="77777777" w:rsidR="00F14799" w:rsidRPr="005E62AF" w:rsidRDefault="00F14799" w:rsidP="00F14799">
            <w:pPr>
              <w:pStyle w:val="CasesLegislationAppealFrom"/>
              <w:spacing w:after="60"/>
            </w:pPr>
            <w:r w:rsidRPr="005E62AF">
              <w:rPr>
                <w:i/>
                <w:iCs/>
              </w:rPr>
              <w:t xml:space="preserve">Harrison v Schipp </w:t>
            </w:r>
            <w:r w:rsidRPr="005E62AF">
              <w:t>[2001] NSWCA 13</w:t>
            </w:r>
          </w:p>
          <w:p w14:paraId="2C64B1C2" w14:textId="77777777" w:rsidR="00F14799" w:rsidRPr="005E62AF" w:rsidRDefault="00F14799" w:rsidP="00F14799">
            <w:pPr>
              <w:pStyle w:val="CasesLegislationAppealFrom"/>
              <w:spacing w:after="60"/>
            </w:pPr>
            <w:r w:rsidRPr="005E62AF">
              <w:rPr>
                <w:i/>
                <w:iCs/>
              </w:rPr>
              <w:t xml:space="preserve">Henderson v Amadio Pty Ltd </w:t>
            </w:r>
            <w:r w:rsidRPr="005E62AF">
              <w:t>[1996] FCA 184</w:t>
            </w:r>
          </w:p>
          <w:p w14:paraId="2E042F6D" w14:textId="77777777" w:rsidR="00F14799" w:rsidRPr="005E62AF" w:rsidRDefault="00F14799" w:rsidP="00F14799">
            <w:pPr>
              <w:pStyle w:val="CasesLegislationAppealFrom"/>
              <w:spacing w:after="60"/>
            </w:pPr>
            <w:r w:rsidRPr="005E62AF">
              <w:rPr>
                <w:i/>
              </w:rPr>
              <w:t xml:space="preserve">Hip Foong Hong v H </w:t>
            </w:r>
            <w:proofErr w:type="spellStart"/>
            <w:r w:rsidRPr="005E62AF">
              <w:rPr>
                <w:i/>
              </w:rPr>
              <w:t>Neotia</w:t>
            </w:r>
            <w:proofErr w:type="spellEnd"/>
            <w:r w:rsidRPr="005E62AF">
              <w:rPr>
                <w:i/>
              </w:rPr>
              <w:t xml:space="preserve"> &amp; Co </w:t>
            </w:r>
            <w:r w:rsidRPr="005E62AF">
              <w:t>[1918] AC 888</w:t>
            </w:r>
          </w:p>
          <w:p w14:paraId="719C3B2A" w14:textId="77777777" w:rsidR="00F14799" w:rsidRPr="005E62AF" w:rsidRDefault="00F14799" w:rsidP="00F14799">
            <w:pPr>
              <w:pStyle w:val="CasesLegislationAppealFrom"/>
              <w:spacing w:after="60"/>
            </w:pPr>
            <w:proofErr w:type="spellStart"/>
            <w:r w:rsidRPr="005E62AF">
              <w:rPr>
                <w:i/>
                <w:iCs/>
              </w:rPr>
              <w:t>Hypec</w:t>
            </w:r>
            <w:proofErr w:type="spellEnd"/>
            <w:r w:rsidRPr="005E62AF">
              <w:rPr>
                <w:i/>
                <w:iCs/>
              </w:rPr>
              <w:t xml:space="preserve"> Electronics Pty Limited (in </w:t>
            </w:r>
            <w:proofErr w:type="spellStart"/>
            <w:r w:rsidRPr="005E62AF">
              <w:rPr>
                <w:i/>
                <w:iCs/>
              </w:rPr>
              <w:t>liq</w:t>
            </w:r>
            <w:proofErr w:type="spellEnd"/>
            <w:r w:rsidRPr="005E62AF">
              <w:rPr>
                <w:i/>
                <w:iCs/>
              </w:rPr>
              <w:t xml:space="preserve">) v Mead; BL &amp; GY International v </w:t>
            </w:r>
            <w:proofErr w:type="spellStart"/>
            <w:r w:rsidRPr="005E62AF">
              <w:rPr>
                <w:i/>
                <w:iCs/>
              </w:rPr>
              <w:t>Hypec</w:t>
            </w:r>
            <w:proofErr w:type="spellEnd"/>
            <w:r w:rsidRPr="005E62AF">
              <w:rPr>
                <w:i/>
                <w:iCs/>
              </w:rPr>
              <w:t xml:space="preserve"> Electronics Pty Limited (in </w:t>
            </w:r>
            <w:proofErr w:type="spellStart"/>
            <w:r w:rsidRPr="005E62AF">
              <w:rPr>
                <w:i/>
                <w:iCs/>
              </w:rPr>
              <w:t>liq</w:t>
            </w:r>
            <w:proofErr w:type="spellEnd"/>
            <w:r w:rsidRPr="005E62AF">
              <w:rPr>
                <w:i/>
                <w:iCs/>
              </w:rPr>
              <w:t>)</w:t>
            </w:r>
            <w:r w:rsidRPr="005E62AF">
              <w:t xml:space="preserve"> [2004] NSWSC 731; (2004) 61 NSWLR 169</w:t>
            </w:r>
          </w:p>
          <w:p w14:paraId="1196C0E8" w14:textId="77777777" w:rsidR="00F14799" w:rsidRPr="005E62AF" w:rsidRDefault="00F14799" w:rsidP="00F14799">
            <w:pPr>
              <w:pStyle w:val="CasesLegislationAppealFrom"/>
              <w:spacing w:after="60"/>
            </w:pPr>
            <w:proofErr w:type="spellStart"/>
            <w:r w:rsidRPr="005E62AF">
              <w:rPr>
                <w:i/>
                <w:iCs/>
              </w:rPr>
              <w:t>Infa</w:t>
            </w:r>
            <w:proofErr w:type="spellEnd"/>
            <w:r w:rsidRPr="005E62AF">
              <w:rPr>
                <w:i/>
                <w:iCs/>
              </w:rPr>
              <w:t xml:space="preserve">-Secure Pty Ltd v Crocker (No 2) </w:t>
            </w:r>
            <w:r w:rsidRPr="005E62AF">
              <w:t>(2016) 338 ALR 586; [2016] FCA 202</w:t>
            </w:r>
          </w:p>
          <w:p w14:paraId="5F73477E" w14:textId="77777777" w:rsidR="00F14799" w:rsidRPr="005E62AF" w:rsidRDefault="00F14799" w:rsidP="00F14799">
            <w:pPr>
              <w:pStyle w:val="CasesLegislationAppealFrom"/>
              <w:spacing w:after="60"/>
            </w:pPr>
            <w:r w:rsidRPr="005E62AF">
              <w:rPr>
                <w:i/>
                <w:iCs/>
              </w:rPr>
              <w:t xml:space="preserve">Kazal v Thunder Studios Inc </w:t>
            </w:r>
            <w:r w:rsidRPr="005E62AF">
              <w:t>(2017) 256 FCR 90; [2017] FCAFC 111</w:t>
            </w:r>
          </w:p>
          <w:p w14:paraId="648A83FD" w14:textId="77777777" w:rsidR="00F14799" w:rsidRPr="005E62AF" w:rsidRDefault="00F14799" w:rsidP="00F14799">
            <w:pPr>
              <w:pStyle w:val="CasesLegislationAppealFrom"/>
              <w:spacing w:after="60"/>
            </w:pPr>
            <w:r w:rsidRPr="005E62AF">
              <w:rPr>
                <w:i/>
                <w:iCs/>
              </w:rPr>
              <w:t xml:space="preserve">Kazal v Thunder Studios Inc (California) </w:t>
            </w:r>
            <w:r w:rsidRPr="005E62AF">
              <w:t>[2017] FCA 238</w:t>
            </w:r>
          </w:p>
          <w:p w14:paraId="30F66B3C" w14:textId="77777777" w:rsidR="00F14799" w:rsidRPr="005E62AF" w:rsidRDefault="00F14799" w:rsidP="00F14799">
            <w:pPr>
              <w:pStyle w:val="CasesLegislationAppealFrom"/>
              <w:spacing w:after="60"/>
            </w:pPr>
            <w:r w:rsidRPr="005E62AF">
              <w:rPr>
                <w:i/>
              </w:rPr>
              <w:lastRenderedPageBreak/>
              <w:t xml:space="preserve">McDonald v McDonald </w:t>
            </w:r>
            <w:r w:rsidRPr="005E62AF">
              <w:rPr>
                <w:iCs/>
              </w:rPr>
              <w:t xml:space="preserve">[1965] HCA 45; </w:t>
            </w:r>
            <w:r w:rsidRPr="005E62AF">
              <w:t>(1965) 113 CLR 529</w:t>
            </w:r>
          </w:p>
          <w:p w14:paraId="787CACF8" w14:textId="77777777" w:rsidR="00F14799" w:rsidRPr="005E62AF" w:rsidRDefault="00F14799" w:rsidP="00F14799">
            <w:pPr>
              <w:pStyle w:val="CasesLegislationAppealFrom"/>
              <w:spacing w:after="60"/>
            </w:pPr>
            <w:r w:rsidRPr="005E62AF">
              <w:rPr>
                <w:i/>
                <w:iCs/>
              </w:rPr>
              <w:t>NMFM Property Pty Ltd v Citibank Ltd (No 2)</w:t>
            </w:r>
            <w:r w:rsidRPr="005E62AF">
              <w:t xml:space="preserve"> [2001] FCA 480; (2001) 109 FCR 77</w:t>
            </w:r>
          </w:p>
          <w:p w14:paraId="62048D91" w14:textId="77777777" w:rsidR="00F14799" w:rsidRPr="005E62AF" w:rsidRDefault="00F14799" w:rsidP="00F14799">
            <w:pPr>
              <w:pStyle w:val="CasesLegislationAppealFrom"/>
              <w:spacing w:after="60"/>
            </w:pPr>
            <w:proofErr w:type="spellStart"/>
            <w:r w:rsidRPr="005E62AF">
              <w:rPr>
                <w:i/>
                <w:iCs/>
              </w:rPr>
              <w:t>Oshlack</w:t>
            </w:r>
            <w:proofErr w:type="spellEnd"/>
            <w:r w:rsidRPr="005E62AF">
              <w:rPr>
                <w:i/>
                <w:iCs/>
              </w:rPr>
              <w:t xml:space="preserve"> v Richmond River Council</w:t>
            </w:r>
            <w:r w:rsidRPr="005E62AF">
              <w:t xml:space="preserve"> [1998] HCA 11; (1998) 193 CLR 72</w:t>
            </w:r>
          </w:p>
          <w:p w14:paraId="63B7EE08" w14:textId="77777777" w:rsidR="00F14799" w:rsidRPr="005E62AF" w:rsidRDefault="00F14799" w:rsidP="00F14799">
            <w:pPr>
              <w:pStyle w:val="CasesLegislationAppealFrom"/>
              <w:spacing w:after="60"/>
            </w:pPr>
            <w:r w:rsidRPr="005E62AF">
              <w:rPr>
                <w:i/>
                <w:iCs/>
              </w:rPr>
              <w:t xml:space="preserve">Principal Registrar, Supreme Court of New South Wales v </w:t>
            </w:r>
            <w:proofErr w:type="spellStart"/>
            <w:r w:rsidRPr="005E62AF">
              <w:rPr>
                <w:i/>
                <w:iCs/>
              </w:rPr>
              <w:t>Katelaris</w:t>
            </w:r>
            <w:proofErr w:type="spellEnd"/>
            <w:r w:rsidRPr="005E62AF">
              <w:t xml:space="preserve"> [2001] NSWSC 506</w:t>
            </w:r>
          </w:p>
          <w:p w14:paraId="22339A80" w14:textId="77777777" w:rsidR="00F14799" w:rsidRPr="005E62AF" w:rsidRDefault="00F14799" w:rsidP="00F14799">
            <w:pPr>
              <w:pStyle w:val="CasesLegislationAppealFrom"/>
              <w:spacing w:after="60"/>
            </w:pPr>
            <w:r w:rsidRPr="005E62AF">
              <w:rPr>
                <w:i/>
                <w:iCs/>
              </w:rPr>
              <w:t xml:space="preserve">R v Witt </w:t>
            </w:r>
            <w:r w:rsidRPr="005E62AF">
              <w:t>[2016] VSC 169</w:t>
            </w:r>
          </w:p>
          <w:p w14:paraId="30BAE210" w14:textId="77777777" w:rsidR="00F14799" w:rsidRPr="005E62AF" w:rsidRDefault="00F14799" w:rsidP="00F14799">
            <w:pPr>
              <w:pStyle w:val="CasesLegislationAppealFrom"/>
              <w:spacing w:after="60"/>
            </w:pPr>
            <w:r w:rsidRPr="005E62AF">
              <w:rPr>
                <w:i/>
                <w:iCs/>
              </w:rPr>
              <w:t>Rawson Finances Pty Ltd v Commissioner of Taxation</w:t>
            </w:r>
            <w:r w:rsidRPr="005E62AF">
              <w:t xml:space="preserve"> [2013] FCAFC 26; (2013) 133 ALD 39</w:t>
            </w:r>
          </w:p>
          <w:p w14:paraId="0C7F572F" w14:textId="0D54C70B" w:rsidR="00F14799" w:rsidRPr="005E62AF" w:rsidRDefault="00F14799" w:rsidP="00F14799">
            <w:pPr>
              <w:pStyle w:val="CasesLegislationAppealFrom"/>
              <w:spacing w:after="60"/>
            </w:pPr>
            <w:r w:rsidRPr="005E62AF">
              <w:rPr>
                <w:i/>
                <w:iCs/>
              </w:rPr>
              <w:t>Rawson Finances Pty Ltd v Federal Commissioner of Taxation</w:t>
            </w:r>
            <w:r w:rsidRPr="005E62AF">
              <w:t xml:space="preserve"> [2016] FCAFC 95; (2016) 103 ATR 630</w:t>
            </w:r>
          </w:p>
          <w:p w14:paraId="1A87959B" w14:textId="77777777" w:rsidR="00F14799" w:rsidRPr="005E62AF" w:rsidRDefault="00F14799" w:rsidP="00F14799">
            <w:pPr>
              <w:pStyle w:val="CasesLegislationAppealFrom"/>
              <w:spacing w:after="60"/>
            </w:pPr>
            <w:r w:rsidRPr="005E62AF">
              <w:rPr>
                <w:i/>
                <w:iCs/>
              </w:rPr>
              <w:t>Roberts-Smith v Fairfax Media Publications Pty Limited (No 45)</w:t>
            </w:r>
            <w:r w:rsidRPr="005E62AF">
              <w:t xml:space="preserve"> [2023] FCA 1474</w:t>
            </w:r>
          </w:p>
          <w:p w14:paraId="5E831D2B" w14:textId="77777777" w:rsidR="00F14799" w:rsidRPr="005E62AF" w:rsidRDefault="00F14799" w:rsidP="00F14799">
            <w:pPr>
              <w:pStyle w:val="CasesLegislationAppealFrom"/>
              <w:spacing w:after="60"/>
            </w:pPr>
            <w:r w:rsidRPr="005E62AF">
              <w:rPr>
                <w:i/>
                <w:iCs/>
              </w:rPr>
              <w:t>Royal Bank of Scotland plc v Highland Financial Partners LP (Costs)</w:t>
            </w:r>
            <w:r w:rsidRPr="005E62AF">
              <w:t xml:space="preserve"> [2013] EWCA Civ 472</w:t>
            </w:r>
          </w:p>
          <w:p w14:paraId="6702EDDC" w14:textId="77777777" w:rsidR="00F14799" w:rsidRPr="005E62AF" w:rsidRDefault="00F14799" w:rsidP="00F14799">
            <w:pPr>
              <w:pStyle w:val="CasesLegislationAppealFrom"/>
              <w:spacing w:after="60"/>
            </w:pPr>
            <w:r w:rsidRPr="005E62AF">
              <w:rPr>
                <w:i/>
                <w:iCs/>
              </w:rPr>
              <w:t>Royal Bank of Scotland plc v Highland Financial Partners LP</w:t>
            </w:r>
            <w:r w:rsidRPr="005E62AF">
              <w:t xml:space="preserve"> [2013] EWCA 328</w:t>
            </w:r>
          </w:p>
          <w:p w14:paraId="766BF8B2" w14:textId="77777777" w:rsidR="00F14799" w:rsidRPr="005E62AF" w:rsidRDefault="00F14799" w:rsidP="00F14799">
            <w:pPr>
              <w:pStyle w:val="CasesLegislationAppealFrom"/>
              <w:spacing w:after="60"/>
            </w:pPr>
            <w:r w:rsidRPr="005E62AF">
              <w:rPr>
                <w:i/>
                <w:iCs/>
              </w:rPr>
              <w:t xml:space="preserve">Takhar v </w:t>
            </w:r>
            <w:proofErr w:type="spellStart"/>
            <w:r w:rsidRPr="005E62AF">
              <w:rPr>
                <w:i/>
                <w:iCs/>
              </w:rPr>
              <w:t>Gracefield</w:t>
            </w:r>
            <w:proofErr w:type="spellEnd"/>
            <w:r w:rsidRPr="005E62AF">
              <w:rPr>
                <w:i/>
                <w:iCs/>
              </w:rPr>
              <w:t xml:space="preserve"> Developments Ltd</w:t>
            </w:r>
            <w:r w:rsidRPr="005E62AF">
              <w:t xml:space="preserve"> [2019] UKSC 13; [2020] AC 450</w:t>
            </w:r>
          </w:p>
          <w:p w14:paraId="2730B475" w14:textId="77777777" w:rsidR="00F14799" w:rsidRPr="005E62AF" w:rsidRDefault="00F14799" w:rsidP="00F14799">
            <w:pPr>
              <w:pStyle w:val="CasesLegislationAppealFrom"/>
              <w:spacing w:after="60"/>
            </w:pPr>
            <w:proofErr w:type="spellStart"/>
            <w:r w:rsidRPr="005E62AF">
              <w:rPr>
                <w:i/>
                <w:iCs/>
              </w:rPr>
              <w:t>Tetijo</w:t>
            </w:r>
            <w:proofErr w:type="spellEnd"/>
            <w:r w:rsidRPr="005E62AF">
              <w:rPr>
                <w:i/>
                <w:iCs/>
              </w:rPr>
              <w:t xml:space="preserve"> Holdings Pty Ltd v </w:t>
            </w:r>
            <w:proofErr w:type="spellStart"/>
            <w:r w:rsidRPr="005E62AF">
              <w:rPr>
                <w:i/>
                <w:iCs/>
              </w:rPr>
              <w:t>Keeprite</w:t>
            </w:r>
            <w:proofErr w:type="spellEnd"/>
            <w:r w:rsidRPr="005E62AF">
              <w:rPr>
                <w:i/>
                <w:iCs/>
              </w:rPr>
              <w:t xml:space="preserve"> Australia Pty Ltd</w:t>
            </w:r>
            <w:r w:rsidRPr="005E62AF">
              <w:t xml:space="preserve"> [1991] FCA 187</w:t>
            </w:r>
          </w:p>
          <w:p w14:paraId="1287C6A5" w14:textId="77777777" w:rsidR="00F14799" w:rsidRPr="005E62AF" w:rsidRDefault="00F14799" w:rsidP="00F14799">
            <w:pPr>
              <w:pStyle w:val="CasesLegislationAppealFrom"/>
              <w:spacing w:after="60"/>
            </w:pPr>
            <w:r w:rsidRPr="005E62AF">
              <w:rPr>
                <w:i/>
                <w:iCs/>
              </w:rPr>
              <w:t>Universal City Studios LLLP v Hoey t/as DVD Kingdom</w:t>
            </w:r>
            <w:r w:rsidRPr="005E62AF">
              <w:t xml:space="preserve"> (2007) 73 IPR 45; [2007] FCA 806</w:t>
            </w:r>
          </w:p>
          <w:p w14:paraId="269B586E" w14:textId="77777777" w:rsidR="00F14799" w:rsidRDefault="00F14799" w:rsidP="00F14799">
            <w:pPr>
              <w:pStyle w:val="CasesLegislationAppealFrom"/>
              <w:spacing w:after="60"/>
              <w:rPr>
                <w:szCs w:val="24"/>
              </w:rPr>
            </w:pPr>
            <w:r w:rsidRPr="005E62AF">
              <w:rPr>
                <w:i/>
                <w:iCs/>
                <w:szCs w:val="24"/>
              </w:rPr>
              <w:t>Wills v Chief Executive Officer of the Australian Skills Quality Authority (Costs)</w:t>
            </w:r>
            <w:r w:rsidRPr="005E62AF">
              <w:rPr>
                <w:szCs w:val="24"/>
              </w:rPr>
              <w:t xml:space="preserve"> [2022] FCAFC 43</w:t>
            </w:r>
            <w:bookmarkEnd w:id="4"/>
          </w:p>
          <w:p w14:paraId="24A928FE" w14:textId="309C40EA" w:rsidR="00CB7E6D" w:rsidRPr="005E62AF" w:rsidRDefault="00CB7E6D" w:rsidP="00F14799">
            <w:pPr>
              <w:pStyle w:val="CasesLegislationAppealFrom"/>
              <w:spacing w:after="60"/>
            </w:pPr>
            <w:r w:rsidRPr="005E62AF">
              <w:rPr>
                <w:i/>
                <w:iCs/>
              </w:rPr>
              <w:t xml:space="preserve">Re </w:t>
            </w:r>
            <w:proofErr w:type="spellStart"/>
            <w:r w:rsidRPr="005E62AF">
              <w:rPr>
                <w:i/>
                <w:iCs/>
              </w:rPr>
              <w:t>Areffco</w:t>
            </w:r>
            <w:proofErr w:type="spellEnd"/>
            <w:r w:rsidRPr="005E62AF">
              <w:rPr>
                <w:i/>
                <w:iCs/>
              </w:rPr>
              <w:t xml:space="preserve"> and Commissioner of Taxation</w:t>
            </w:r>
            <w:r w:rsidRPr="005E62AF">
              <w:t xml:space="preserve"> [2011] AATA 628; (2011) 84 ATR 924</w:t>
            </w:r>
          </w:p>
        </w:tc>
      </w:tr>
      <w:tr w:rsidR="004473A0" w14:paraId="764C3844" w14:textId="77777777" w:rsidTr="005E62AF">
        <w:tc>
          <w:tcPr>
            <w:tcW w:w="3084" w:type="dxa"/>
            <w:shd w:val="clear" w:color="auto" w:fill="auto"/>
          </w:tcPr>
          <w:p w14:paraId="41E0D290" w14:textId="77777777" w:rsidR="004473A0" w:rsidRDefault="004473A0">
            <w:pPr>
              <w:pStyle w:val="Normal1linespace"/>
              <w:widowControl w:val="0"/>
            </w:pPr>
          </w:p>
        </w:tc>
        <w:tc>
          <w:tcPr>
            <w:tcW w:w="5989" w:type="dxa"/>
            <w:shd w:val="clear" w:color="auto" w:fill="auto"/>
          </w:tcPr>
          <w:p w14:paraId="68FABDB2" w14:textId="77777777" w:rsidR="004473A0" w:rsidRDefault="004473A0">
            <w:pPr>
              <w:pStyle w:val="Normal1linespace"/>
              <w:widowControl w:val="0"/>
              <w:jc w:val="left"/>
            </w:pPr>
          </w:p>
        </w:tc>
      </w:tr>
      <w:tr w:rsidR="004473A0" w14:paraId="5FFD78B6" w14:textId="77777777" w:rsidTr="005E62AF">
        <w:tc>
          <w:tcPr>
            <w:tcW w:w="3084" w:type="dxa"/>
            <w:shd w:val="clear" w:color="auto" w:fill="auto"/>
          </w:tcPr>
          <w:p w14:paraId="65178A67" w14:textId="77777777" w:rsidR="004473A0" w:rsidRDefault="004473A0" w:rsidP="00501A12">
            <w:pPr>
              <w:pStyle w:val="Normal1linespace"/>
              <w:widowControl w:val="0"/>
            </w:pPr>
            <w:r>
              <w:t>Division:</w:t>
            </w:r>
          </w:p>
        </w:tc>
        <w:tc>
          <w:tcPr>
            <w:tcW w:w="5989" w:type="dxa"/>
            <w:shd w:val="clear" w:color="auto" w:fill="auto"/>
          </w:tcPr>
          <w:p w14:paraId="53257B71" w14:textId="16E64478" w:rsidR="004473A0" w:rsidRPr="00F17599" w:rsidRDefault="004473A0" w:rsidP="00501A12">
            <w:pPr>
              <w:pStyle w:val="Normal1linespace"/>
              <w:widowControl w:val="0"/>
              <w:jc w:val="left"/>
            </w:pPr>
            <w:r>
              <w:t>General Division</w:t>
            </w:r>
          </w:p>
        </w:tc>
      </w:tr>
      <w:tr w:rsidR="004473A0" w14:paraId="60FE2548" w14:textId="77777777" w:rsidTr="005E62AF">
        <w:tc>
          <w:tcPr>
            <w:tcW w:w="3084" w:type="dxa"/>
            <w:shd w:val="clear" w:color="auto" w:fill="auto"/>
          </w:tcPr>
          <w:p w14:paraId="1A0CD614" w14:textId="77777777" w:rsidR="004473A0" w:rsidRDefault="004473A0" w:rsidP="00501A12">
            <w:pPr>
              <w:pStyle w:val="Normal1linespace"/>
              <w:widowControl w:val="0"/>
            </w:pPr>
            <w:bookmarkStart w:id="5" w:name="Registry_rows" w:colFirst="0" w:colLast="1"/>
          </w:p>
        </w:tc>
        <w:tc>
          <w:tcPr>
            <w:tcW w:w="5989" w:type="dxa"/>
            <w:shd w:val="clear" w:color="auto" w:fill="auto"/>
          </w:tcPr>
          <w:p w14:paraId="797D8FAF" w14:textId="77777777" w:rsidR="004473A0" w:rsidRDefault="004473A0" w:rsidP="00501A12">
            <w:pPr>
              <w:pStyle w:val="Normal1linespace"/>
              <w:widowControl w:val="0"/>
              <w:jc w:val="left"/>
            </w:pPr>
          </w:p>
        </w:tc>
      </w:tr>
      <w:tr w:rsidR="004473A0" w14:paraId="2E9BA91A" w14:textId="77777777" w:rsidTr="005E62AF">
        <w:tc>
          <w:tcPr>
            <w:tcW w:w="3084" w:type="dxa"/>
            <w:shd w:val="clear" w:color="auto" w:fill="auto"/>
          </w:tcPr>
          <w:p w14:paraId="10E92CFA" w14:textId="77777777" w:rsidR="004473A0" w:rsidRDefault="004473A0" w:rsidP="00501A12">
            <w:pPr>
              <w:pStyle w:val="Normal1linespace"/>
              <w:widowControl w:val="0"/>
            </w:pPr>
            <w:r>
              <w:t>Registry:</w:t>
            </w:r>
          </w:p>
        </w:tc>
        <w:tc>
          <w:tcPr>
            <w:tcW w:w="5989" w:type="dxa"/>
            <w:shd w:val="clear" w:color="auto" w:fill="auto"/>
          </w:tcPr>
          <w:p w14:paraId="5C6F22EC" w14:textId="3E4A8BE1" w:rsidR="004473A0" w:rsidRPr="00F17599" w:rsidRDefault="004473A0" w:rsidP="00501A12">
            <w:pPr>
              <w:pStyle w:val="Normal1linespace"/>
              <w:widowControl w:val="0"/>
              <w:jc w:val="left"/>
            </w:pPr>
            <w:r>
              <w:t>New South Wales</w:t>
            </w:r>
          </w:p>
        </w:tc>
      </w:tr>
      <w:tr w:rsidR="004473A0" w14:paraId="006CDCA6" w14:textId="77777777" w:rsidTr="005E62AF">
        <w:tc>
          <w:tcPr>
            <w:tcW w:w="3084" w:type="dxa"/>
            <w:shd w:val="clear" w:color="auto" w:fill="auto"/>
          </w:tcPr>
          <w:p w14:paraId="0DA4FC33" w14:textId="77777777" w:rsidR="004473A0" w:rsidRDefault="004473A0" w:rsidP="00501A12">
            <w:pPr>
              <w:pStyle w:val="Normal1linespace"/>
              <w:widowControl w:val="0"/>
            </w:pPr>
            <w:bookmarkStart w:id="6" w:name="NPARow" w:colFirst="0" w:colLast="1"/>
            <w:bookmarkEnd w:id="5"/>
          </w:p>
        </w:tc>
        <w:tc>
          <w:tcPr>
            <w:tcW w:w="5989" w:type="dxa"/>
            <w:shd w:val="clear" w:color="auto" w:fill="auto"/>
          </w:tcPr>
          <w:p w14:paraId="0D6BECEC" w14:textId="77777777" w:rsidR="004473A0" w:rsidRPr="00F17599" w:rsidRDefault="004473A0" w:rsidP="00501A12">
            <w:pPr>
              <w:pStyle w:val="Normal1linespace"/>
              <w:widowControl w:val="0"/>
              <w:jc w:val="left"/>
              <w:rPr>
                <w:b/>
              </w:rPr>
            </w:pPr>
          </w:p>
        </w:tc>
      </w:tr>
      <w:tr w:rsidR="004473A0" w14:paraId="2B8A030A" w14:textId="77777777" w:rsidTr="005E62AF">
        <w:tc>
          <w:tcPr>
            <w:tcW w:w="3084" w:type="dxa"/>
            <w:shd w:val="clear" w:color="auto" w:fill="auto"/>
          </w:tcPr>
          <w:p w14:paraId="6B5987A5" w14:textId="77777777" w:rsidR="004473A0" w:rsidRDefault="004473A0" w:rsidP="00501A12">
            <w:pPr>
              <w:pStyle w:val="Normal1linespace"/>
              <w:widowControl w:val="0"/>
            </w:pPr>
            <w:r>
              <w:t>National Practice Area:</w:t>
            </w:r>
          </w:p>
        </w:tc>
        <w:tc>
          <w:tcPr>
            <w:tcW w:w="5989" w:type="dxa"/>
            <w:shd w:val="clear" w:color="auto" w:fill="auto"/>
          </w:tcPr>
          <w:p w14:paraId="64B5BFC0" w14:textId="791BD6CE" w:rsidR="004473A0" w:rsidRPr="00F17599" w:rsidRDefault="0014358C">
            <w:pPr>
              <w:pStyle w:val="Normal1linespace"/>
              <w:widowControl w:val="0"/>
              <w:jc w:val="left"/>
              <w:rPr>
                <w:b/>
              </w:rPr>
            </w:pPr>
            <w:r>
              <w:t>Taxation</w:t>
            </w:r>
          </w:p>
        </w:tc>
      </w:tr>
      <w:tr w:rsidR="004473A0" w14:paraId="4C2421C4" w14:textId="77777777" w:rsidTr="005E62AF">
        <w:tc>
          <w:tcPr>
            <w:tcW w:w="3084" w:type="dxa"/>
            <w:shd w:val="clear" w:color="auto" w:fill="auto"/>
          </w:tcPr>
          <w:p w14:paraId="68A36BC0" w14:textId="77777777" w:rsidR="004473A0" w:rsidRDefault="004473A0" w:rsidP="00501A12">
            <w:pPr>
              <w:pStyle w:val="Normal1linespace"/>
              <w:widowControl w:val="0"/>
            </w:pPr>
            <w:bookmarkStart w:id="7" w:name="SubAreaRow" w:colFirst="0" w:colLast="1"/>
            <w:bookmarkEnd w:id="6"/>
          </w:p>
        </w:tc>
        <w:tc>
          <w:tcPr>
            <w:tcW w:w="5989" w:type="dxa"/>
            <w:shd w:val="clear" w:color="auto" w:fill="auto"/>
          </w:tcPr>
          <w:p w14:paraId="60698BC6" w14:textId="77777777" w:rsidR="004473A0" w:rsidRDefault="004473A0">
            <w:pPr>
              <w:pStyle w:val="Normal1linespace"/>
              <w:widowControl w:val="0"/>
              <w:jc w:val="left"/>
            </w:pPr>
          </w:p>
        </w:tc>
      </w:tr>
      <w:bookmarkEnd w:id="7"/>
      <w:tr w:rsidR="004473A0" w14:paraId="40179F68" w14:textId="77777777" w:rsidTr="005E62AF">
        <w:tc>
          <w:tcPr>
            <w:tcW w:w="3084" w:type="dxa"/>
            <w:shd w:val="clear" w:color="auto" w:fill="auto"/>
          </w:tcPr>
          <w:p w14:paraId="427C2009" w14:textId="77777777" w:rsidR="004473A0" w:rsidRDefault="004473A0" w:rsidP="00501A12">
            <w:pPr>
              <w:pStyle w:val="Normal1linespace"/>
              <w:widowControl w:val="0"/>
            </w:pPr>
            <w:r>
              <w:t>Number of paragraphs:</w:t>
            </w:r>
          </w:p>
        </w:tc>
        <w:tc>
          <w:tcPr>
            <w:tcW w:w="5989" w:type="dxa"/>
            <w:shd w:val="clear" w:color="auto" w:fill="auto"/>
          </w:tcPr>
          <w:p w14:paraId="2EE5C732" w14:textId="7D63A317" w:rsidR="004473A0" w:rsidRDefault="005E62AF" w:rsidP="00501A12">
            <w:pPr>
              <w:pStyle w:val="Normal1linespace"/>
              <w:widowControl w:val="0"/>
              <w:jc w:val="left"/>
            </w:pPr>
            <w:bookmarkStart w:id="8" w:name="PlaceCategoryParagraphs"/>
            <w:r>
              <w:t>10</w:t>
            </w:r>
            <w:bookmarkEnd w:id="8"/>
            <w:r w:rsidR="0044424B">
              <w:t>4</w:t>
            </w:r>
          </w:p>
        </w:tc>
      </w:tr>
      <w:tr w:rsidR="004473A0" w14:paraId="6980E65B" w14:textId="77777777" w:rsidTr="005E62AF">
        <w:tc>
          <w:tcPr>
            <w:tcW w:w="3084" w:type="dxa"/>
            <w:shd w:val="clear" w:color="auto" w:fill="auto"/>
          </w:tcPr>
          <w:p w14:paraId="7362EF1B" w14:textId="77777777" w:rsidR="004473A0" w:rsidRDefault="004473A0" w:rsidP="004473A0">
            <w:pPr>
              <w:pStyle w:val="Normal1linespace"/>
              <w:widowControl w:val="0"/>
              <w:jc w:val="left"/>
            </w:pPr>
          </w:p>
        </w:tc>
        <w:tc>
          <w:tcPr>
            <w:tcW w:w="5989" w:type="dxa"/>
            <w:shd w:val="clear" w:color="auto" w:fill="auto"/>
          </w:tcPr>
          <w:p w14:paraId="357BCD54" w14:textId="77777777" w:rsidR="004473A0" w:rsidRDefault="004473A0" w:rsidP="004473A0">
            <w:pPr>
              <w:pStyle w:val="Normal1linespace"/>
              <w:widowControl w:val="0"/>
              <w:jc w:val="left"/>
            </w:pPr>
          </w:p>
        </w:tc>
      </w:tr>
      <w:tr w:rsidR="004473A0" w14:paraId="32155A45" w14:textId="77777777" w:rsidTr="005E62AF">
        <w:tc>
          <w:tcPr>
            <w:tcW w:w="3084" w:type="dxa"/>
            <w:shd w:val="clear" w:color="auto" w:fill="auto"/>
          </w:tcPr>
          <w:p w14:paraId="11121EE8" w14:textId="77777777" w:rsidR="004473A0" w:rsidRDefault="004473A0" w:rsidP="004473A0">
            <w:pPr>
              <w:pStyle w:val="Normal1linespace"/>
              <w:widowControl w:val="0"/>
              <w:jc w:val="left"/>
            </w:pPr>
            <w:r>
              <w:t>Date of last submission/s:</w:t>
            </w:r>
          </w:p>
        </w:tc>
        <w:tc>
          <w:tcPr>
            <w:tcW w:w="5989" w:type="dxa"/>
            <w:shd w:val="clear" w:color="auto" w:fill="auto"/>
          </w:tcPr>
          <w:p w14:paraId="7F3868B1" w14:textId="023E7573" w:rsidR="004473A0" w:rsidRDefault="00EA282E" w:rsidP="004473A0">
            <w:pPr>
              <w:pStyle w:val="Normal1linespace"/>
              <w:widowControl w:val="0"/>
              <w:jc w:val="left"/>
            </w:pPr>
            <w:r>
              <w:t>13 December 2023</w:t>
            </w:r>
          </w:p>
        </w:tc>
      </w:tr>
      <w:tr w:rsidR="004473A0" w14:paraId="3C0CBC1B" w14:textId="77777777" w:rsidTr="005E62AF">
        <w:tc>
          <w:tcPr>
            <w:tcW w:w="3084" w:type="dxa"/>
            <w:shd w:val="clear" w:color="auto" w:fill="auto"/>
          </w:tcPr>
          <w:p w14:paraId="7834C83A" w14:textId="77777777" w:rsidR="004473A0" w:rsidRDefault="004473A0" w:rsidP="004473A0">
            <w:pPr>
              <w:pStyle w:val="Normal1linespace"/>
              <w:widowControl w:val="0"/>
              <w:jc w:val="left"/>
            </w:pPr>
          </w:p>
        </w:tc>
        <w:tc>
          <w:tcPr>
            <w:tcW w:w="5989" w:type="dxa"/>
            <w:shd w:val="clear" w:color="auto" w:fill="auto"/>
          </w:tcPr>
          <w:p w14:paraId="1BF25DFF" w14:textId="77777777" w:rsidR="004473A0" w:rsidRDefault="004473A0" w:rsidP="004473A0">
            <w:pPr>
              <w:pStyle w:val="Normal1linespace"/>
              <w:widowControl w:val="0"/>
              <w:jc w:val="left"/>
            </w:pPr>
          </w:p>
        </w:tc>
      </w:tr>
      <w:tr w:rsidR="004473A0" w14:paraId="7707FB7F" w14:textId="77777777" w:rsidTr="005E62AF">
        <w:tc>
          <w:tcPr>
            <w:tcW w:w="3084" w:type="dxa"/>
            <w:shd w:val="clear" w:color="auto" w:fill="auto"/>
          </w:tcPr>
          <w:p w14:paraId="4F9921B0" w14:textId="77777777" w:rsidR="004473A0" w:rsidRDefault="004473A0" w:rsidP="004473A0">
            <w:pPr>
              <w:pStyle w:val="Normal1linespace"/>
              <w:widowControl w:val="0"/>
              <w:jc w:val="left"/>
            </w:pPr>
            <w:bookmarkStart w:id="9" w:name="CounselDate" w:colFirst="0" w:colLast="2"/>
            <w:r w:rsidRPr="006A24E3">
              <w:t>Date of hearing:</w:t>
            </w:r>
          </w:p>
        </w:tc>
        <w:tc>
          <w:tcPr>
            <w:tcW w:w="5989" w:type="dxa"/>
            <w:shd w:val="clear" w:color="auto" w:fill="auto"/>
          </w:tcPr>
          <w:p w14:paraId="40AE3A86" w14:textId="3F8F48FA" w:rsidR="004473A0" w:rsidRDefault="00FC5BD5" w:rsidP="004473A0">
            <w:pPr>
              <w:pStyle w:val="Normal1linespace"/>
              <w:widowControl w:val="0"/>
              <w:jc w:val="left"/>
            </w:pPr>
            <w:bookmarkStart w:id="10" w:name="HearingDate"/>
            <w:r>
              <w:t>15 November 2023</w:t>
            </w:r>
            <w:r w:rsidR="004473A0">
              <w:t xml:space="preserve"> </w:t>
            </w:r>
            <w:bookmarkEnd w:id="10"/>
          </w:p>
        </w:tc>
      </w:tr>
      <w:tr w:rsidR="004473A0" w14:paraId="3666087C" w14:textId="77777777" w:rsidTr="005E62AF">
        <w:tc>
          <w:tcPr>
            <w:tcW w:w="3084" w:type="dxa"/>
            <w:shd w:val="clear" w:color="auto" w:fill="auto"/>
          </w:tcPr>
          <w:p w14:paraId="084828A8" w14:textId="77777777" w:rsidR="004473A0" w:rsidRDefault="004473A0" w:rsidP="004473A0">
            <w:pPr>
              <w:pStyle w:val="Normal1linespace"/>
              <w:widowControl w:val="0"/>
              <w:jc w:val="left"/>
            </w:pPr>
          </w:p>
        </w:tc>
        <w:tc>
          <w:tcPr>
            <w:tcW w:w="5989" w:type="dxa"/>
            <w:shd w:val="clear" w:color="auto" w:fill="auto"/>
          </w:tcPr>
          <w:p w14:paraId="534C6FB3" w14:textId="77777777" w:rsidR="004473A0" w:rsidRDefault="004473A0" w:rsidP="004473A0">
            <w:pPr>
              <w:pStyle w:val="Normal1linespace"/>
              <w:widowControl w:val="0"/>
              <w:jc w:val="left"/>
            </w:pPr>
          </w:p>
        </w:tc>
      </w:tr>
      <w:tr w:rsidR="00FC5BD5" w14:paraId="48A1B7E3" w14:textId="77777777" w:rsidTr="005E62AF">
        <w:tc>
          <w:tcPr>
            <w:tcW w:w="3084" w:type="dxa"/>
            <w:shd w:val="clear" w:color="auto" w:fill="auto"/>
          </w:tcPr>
          <w:p w14:paraId="72613619" w14:textId="5A8C0007" w:rsidR="00FC5BD5" w:rsidRDefault="00FC5BD5" w:rsidP="004473A0">
            <w:pPr>
              <w:pStyle w:val="Normal1linespace"/>
              <w:widowControl w:val="0"/>
              <w:jc w:val="left"/>
            </w:pPr>
            <w:r>
              <w:t xml:space="preserve">Counsel for the </w:t>
            </w:r>
            <w:r w:rsidR="00AA6E85">
              <w:t>A</w:t>
            </w:r>
            <w:r>
              <w:t>pplicant:</w:t>
            </w:r>
          </w:p>
        </w:tc>
        <w:tc>
          <w:tcPr>
            <w:tcW w:w="5989" w:type="dxa"/>
            <w:shd w:val="clear" w:color="auto" w:fill="auto"/>
          </w:tcPr>
          <w:p w14:paraId="16655605" w14:textId="2E491628" w:rsidR="00FC5BD5" w:rsidRDefault="008A62B9" w:rsidP="004473A0">
            <w:pPr>
              <w:pStyle w:val="Normal1linespace"/>
              <w:widowControl w:val="0"/>
              <w:jc w:val="left"/>
            </w:pPr>
            <w:r>
              <w:t xml:space="preserve">Ms K Morgan SC and Mr K </w:t>
            </w:r>
            <w:proofErr w:type="spellStart"/>
            <w:r>
              <w:t>Josifoski</w:t>
            </w:r>
            <w:proofErr w:type="spellEnd"/>
          </w:p>
        </w:tc>
      </w:tr>
      <w:tr w:rsidR="00FC5BD5" w14:paraId="5AE4DBFB" w14:textId="77777777" w:rsidTr="005E62AF">
        <w:tc>
          <w:tcPr>
            <w:tcW w:w="3084" w:type="dxa"/>
            <w:shd w:val="clear" w:color="auto" w:fill="auto"/>
          </w:tcPr>
          <w:p w14:paraId="7F185089" w14:textId="77777777" w:rsidR="00FC5BD5" w:rsidRDefault="00FC5BD5" w:rsidP="004473A0">
            <w:pPr>
              <w:pStyle w:val="Normal1linespace"/>
              <w:widowControl w:val="0"/>
              <w:jc w:val="left"/>
            </w:pPr>
          </w:p>
        </w:tc>
        <w:tc>
          <w:tcPr>
            <w:tcW w:w="5989" w:type="dxa"/>
            <w:shd w:val="clear" w:color="auto" w:fill="auto"/>
          </w:tcPr>
          <w:p w14:paraId="62D68623" w14:textId="77777777" w:rsidR="00FC5BD5" w:rsidRDefault="00FC5BD5" w:rsidP="004473A0">
            <w:pPr>
              <w:pStyle w:val="Normal1linespace"/>
              <w:widowControl w:val="0"/>
              <w:jc w:val="left"/>
            </w:pPr>
          </w:p>
        </w:tc>
      </w:tr>
      <w:tr w:rsidR="00FC5BD5" w14:paraId="560FA65D" w14:textId="77777777" w:rsidTr="005E62AF">
        <w:tc>
          <w:tcPr>
            <w:tcW w:w="3084" w:type="dxa"/>
            <w:shd w:val="clear" w:color="auto" w:fill="auto"/>
          </w:tcPr>
          <w:p w14:paraId="18D82246" w14:textId="730CF136" w:rsidR="00FC5BD5" w:rsidRDefault="008A62B9" w:rsidP="004473A0">
            <w:pPr>
              <w:pStyle w:val="Normal1linespace"/>
              <w:widowControl w:val="0"/>
              <w:jc w:val="left"/>
            </w:pPr>
            <w:r>
              <w:t xml:space="preserve">Solicitor for the </w:t>
            </w:r>
            <w:r w:rsidR="00AA6E85">
              <w:t>A</w:t>
            </w:r>
            <w:r>
              <w:t>pplicant:</w:t>
            </w:r>
          </w:p>
        </w:tc>
        <w:tc>
          <w:tcPr>
            <w:tcW w:w="5989" w:type="dxa"/>
            <w:shd w:val="clear" w:color="auto" w:fill="auto"/>
          </w:tcPr>
          <w:p w14:paraId="36A79519" w14:textId="1CE7066A" w:rsidR="00FC5BD5" w:rsidRDefault="008A62B9" w:rsidP="004473A0">
            <w:pPr>
              <w:pStyle w:val="Normal1linespace"/>
              <w:widowControl w:val="0"/>
              <w:jc w:val="left"/>
            </w:pPr>
            <w:proofErr w:type="spellStart"/>
            <w:r>
              <w:t>MinterEllison</w:t>
            </w:r>
            <w:proofErr w:type="spellEnd"/>
          </w:p>
        </w:tc>
      </w:tr>
      <w:tr w:rsidR="00FC5BD5" w14:paraId="3E72784A" w14:textId="77777777" w:rsidTr="005E62AF">
        <w:tc>
          <w:tcPr>
            <w:tcW w:w="3084" w:type="dxa"/>
            <w:shd w:val="clear" w:color="auto" w:fill="auto"/>
          </w:tcPr>
          <w:p w14:paraId="316E2629" w14:textId="77777777" w:rsidR="00FC5BD5" w:rsidRDefault="00FC5BD5" w:rsidP="004473A0">
            <w:pPr>
              <w:pStyle w:val="Normal1linespace"/>
              <w:widowControl w:val="0"/>
              <w:jc w:val="left"/>
            </w:pPr>
          </w:p>
        </w:tc>
        <w:tc>
          <w:tcPr>
            <w:tcW w:w="5989" w:type="dxa"/>
            <w:shd w:val="clear" w:color="auto" w:fill="auto"/>
          </w:tcPr>
          <w:p w14:paraId="69BACDB5" w14:textId="77777777" w:rsidR="00FC5BD5" w:rsidRDefault="00FC5BD5" w:rsidP="004473A0">
            <w:pPr>
              <w:pStyle w:val="Normal1linespace"/>
              <w:widowControl w:val="0"/>
              <w:jc w:val="left"/>
            </w:pPr>
          </w:p>
        </w:tc>
      </w:tr>
      <w:tr w:rsidR="00FC5BD5" w14:paraId="05E007FC" w14:textId="77777777" w:rsidTr="005E62AF">
        <w:tc>
          <w:tcPr>
            <w:tcW w:w="3084" w:type="dxa"/>
            <w:shd w:val="clear" w:color="auto" w:fill="auto"/>
          </w:tcPr>
          <w:p w14:paraId="487D7910" w14:textId="4308989F" w:rsidR="00FC5BD5" w:rsidRDefault="008A62B9" w:rsidP="004473A0">
            <w:pPr>
              <w:pStyle w:val="Normal1linespace"/>
              <w:widowControl w:val="0"/>
              <w:jc w:val="left"/>
            </w:pPr>
            <w:r>
              <w:t xml:space="preserve">Counsel for the </w:t>
            </w:r>
            <w:r w:rsidR="00AA6E85">
              <w:t>R</w:t>
            </w:r>
            <w:r>
              <w:t>espondent:</w:t>
            </w:r>
          </w:p>
        </w:tc>
        <w:tc>
          <w:tcPr>
            <w:tcW w:w="5989" w:type="dxa"/>
            <w:shd w:val="clear" w:color="auto" w:fill="auto"/>
          </w:tcPr>
          <w:p w14:paraId="109A2DE9" w14:textId="1AA98717" w:rsidR="00FC5BD5" w:rsidRDefault="008A62B9" w:rsidP="004473A0">
            <w:pPr>
              <w:pStyle w:val="Normal1linespace"/>
              <w:widowControl w:val="0"/>
              <w:jc w:val="left"/>
            </w:pPr>
            <w:r>
              <w:t>Mr B Jones SC</w:t>
            </w:r>
          </w:p>
        </w:tc>
      </w:tr>
      <w:tr w:rsidR="00FC5BD5" w14:paraId="753CC4FA" w14:textId="77777777" w:rsidTr="005E62AF">
        <w:tc>
          <w:tcPr>
            <w:tcW w:w="3084" w:type="dxa"/>
            <w:shd w:val="clear" w:color="auto" w:fill="auto"/>
          </w:tcPr>
          <w:p w14:paraId="7E9EF4D5" w14:textId="77777777" w:rsidR="00FC5BD5" w:rsidRDefault="00FC5BD5" w:rsidP="004473A0">
            <w:pPr>
              <w:pStyle w:val="Normal1linespace"/>
              <w:widowControl w:val="0"/>
              <w:jc w:val="left"/>
            </w:pPr>
          </w:p>
        </w:tc>
        <w:tc>
          <w:tcPr>
            <w:tcW w:w="5989" w:type="dxa"/>
            <w:shd w:val="clear" w:color="auto" w:fill="auto"/>
          </w:tcPr>
          <w:p w14:paraId="3323889D" w14:textId="77777777" w:rsidR="00FC5BD5" w:rsidRDefault="00FC5BD5" w:rsidP="004473A0">
            <w:pPr>
              <w:pStyle w:val="Normal1linespace"/>
              <w:widowControl w:val="0"/>
              <w:jc w:val="left"/>
            </w:pPr>
          </w:p>
        </w:tc>
      </w:tr>
      <w:tr w:rsidR="00AA6E85" w14:paraId="1BF466E8" w14:textId="77777777" w:rsidTr="005E62AF">
        <w:tc>
          <w:tcPr>
            <w:tcW w:w="3084" w:type="dxa"/>
            <w:shd w:val="clear" w:color="auto" w:fill="auto"/>
          </w:tcPr>
          <w:p w14:paraId="562585E7" w14:textId="4EE6805D" w:rsidR="00AA6E85" w:rsidRDefault="00F73F5D" w:rsidP="004473A0">
            <w:pPr>
              <w:pStyle w:val="Normal1linespace"/>
              <w:widowControl w:val="0"/>
              <w:jc w:val="left"/>
            </w:pPr>
            <w:r>
              <w:t>Solicitor for the Respondent</w:t>
            </w:r>
          </w:p>
        </w:tc>
        <w:tc>
          <w:tcPr>
            <w:tcW w:w="5989" w:type="dxa"/>
            <w:shd w:val="clear" w:color="auto" w:fill="auto"/>
          </w:tcPr>
          <w:p w14:paraId="788EDE55" w14:textId="31C81DD6" w:rsidR="00AA6E85" w:rsidRPr="00F73F5D" w:rsidRDefault="00F73F5D" w:rsidP="00F73F5D">
            <w:pPr>
              <w:pStyle w:val="Default"/>
              <w:rPr>
                <w:sz w:val="23"/>
                <w:szCs w:val="23"/>
              </w:rPr>
            </w:pPr>
            <w:r>
              <w:rPr>
                <w:sz w:val="23"/>
                <w:szCs w:val="23"/>
              </w:rPr>
              <w:t xml:space="preserve">Pitcher Partners Legal NSW Pty Ltd </w:t>
            </w:r>
          </w:p>
        </w:tc>
      </w:tr>
      <w:tr w:rsidR="00AA6E85" w14:paraId="7A6B6121" w14:textId="77777777" w:rsidTr="005E62AF">
        <w:tc>
          <w:tcPr>
            <w:tcW w:w="3084" w:type="dxa"/>
            <w:shd w:val="clear" w:color="auto" w:fill="auto"/>
          </w:tcPr>
          <w:p w14:paraId="0A1C87DC" w14:textId="77777777" w:rsidR="00AA6E85" w:rsidRDefault="00AA6E85" w:rsidP="004473A0">
            <w:pPr>
              <w:pStyle w:val="Normal1linespace"/>
              <w:widowControl w:val="0"/>
              <w:jc w:val="left"/>
            </w:pPr>
          </w:p>
        </w:tc>
        <w:tc>
          <w:tcPr>
            <w:tcW w:w="5989" w:type="dxa"/>
            <w:shd w:val="clear" w:color="auto" w:fill="auto"/>
          </w:tcPr>
          <w:p w14:paraId="0394B188" w14:textId="77777777" w:rsidR="00AA6E85" w:rsidRDefault="00AA6E85" w:rsidP="004473A0">
            <w:pPr>
              <w:pStyle w:val="Normal1linespace"/>
              <w:widowControl w:val="0"/>
              <w:jc w:val="left"/>
            </w:pPr>
          </w:p>
        </w:tc>
      </w:tr>
      <w:bookmarkEnd w:id="9"/>
    </w:tbl>
    <w:p w14:paraId="35EEF029" w14:textId="77777777" w:rsidR="007470BD" w:rsidRDefault="007470BD">
      <w:pPr>
        <w:pStyle w:val="Normal1linespace"/>
      </w:pPr>
    </w:p>
    <w:p w14:paraId="2A801915" w14:textId="77777777" w:rsidR="00E94CBF" w:rsidRDefault="00E94CBF">
      <w:pPr>
        <w:pStyle w:val="Normal1linespace"/>
      </w:pPr>
    </w:p>
    <w:p w14:paraId="0F4EF959"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63C08014"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D952BB6" w14:textId="77777777" w:rsidTr="00E81DA6">
        <w:tc>
          <w:tcPr>
            <w:tcW w:w="6912" w:type="dxa"/>
            <w:gridSpan w:val="2"/>
          </w:tcPr>
          <w:p w14:paraId="6AFE7AAC" w14:textId="77777777" w:rsidR="00A46CCC" w:rsidRPr="001765E0" w:rsidRDefault="00A46CCC" w:rsidP="00525A49">
            <w:pPr>
              <w:pStyle w:val="NormalHeadings"/>
            </w:pPr>
          </w:p>
        </w:tc>
        <w:tc>
          <w:tcPr>
            <w:tcW w:w="2330" w:type="dxa"/>
          </w:tcPr>
          <w:p w14:paraId="1CAFC13E" w14:textId="0E06A2BA" w:rsidR="00A46CCC" w:rsidRPr="001C6D0C" w:rsidRDefault="001A7C09" w:rsidP="00F92355">
            <w:pPr>
              <w:pStyle w:val="NormalHeadings"/>
              <w:jc w:val="right"/>
            </w:pPr>
            <w:r>
              <w:fldChar w:fldCharType="begin" w:fldLock="1"/>
            </w:r>
            <w:r>
              <w:instrText xml:space="preserve"> REF  FileNo  \* MERGEFORMAT </w:instrText>
            </w:r>
            <w:r>
              <w:fldChar w:fldCharType="separate"/>
            </w:r>
            <w:r w:rsidR="006A5687" w:rsidRPr="001C6D0C">
              <w:t>NSD 1329 of 2014</w:t>
            </w:r>
            <w:r>
              <w:fldChar w:fldCharType="end"/>
            </w:r>
          </w:p>
        </w:tc>
      </w:tr>
      <w:tr w:rsidR="00A76C13" w14:paraId="592BFD7E" w14:textId="77777777">
        <w:tc>
          <w:tcPr>
            <w:tcW w:w="9242" w:type="dxa"/>
            <w:gridSpan w:val="3"/>
          </w:tcPr>
          <w:p w14:paraId="7EBAA3D4" w14:textId="5C8FE2B2" w:rsidR="00A76C13" w:rsidRPr="00A76C13" w:rsidRDefault="004473A0" w:rsidP="004473A0">
            <w:pPr>
              <w:pStyle w:val="NormalHeadings"/>
              <w:jc w:val="left"/>
            </w:pPr>
            <w:bookmarkStart w:id="11" w:name="InTheMatterOf"/>
            <w:r>
              <w:t xml:space="preserve"> </w:t>
            </w:r>
            <w:bookmarkEnd w:id="11"/>
          </w:p>
        </w:tc>
      </w:tr>
      <w:tr w:rsidR="00A46CCC" w14:paraId="2B4E3C24" w14:textId="77777777">
        <w:trPr>
          <w:trHeight w:val="386"/>
        </w:trPr>
        <w:tc>
          <w:tcPr>
            <w:tcW w:w="2376" w:type="dxa"/>
          </w:tcPr>
          <w:p w14:paraId="07A89FD2" w14:textId="77777777" w:rsidR="00A46CCC" w:rsidRDefault="00A46CCC">
            <w:pPr>
              <w:pStyle w:val="NormalHeadings"/>
              <w:jc w:val="left"/>
              <w:rPr>
                <w:caps/>
                <w:szCs w:val="24"/>
              </w:rPr>
            </w:pPr>
            <w:bookmarkStart w:id="12" w:name="Parties"/>
            <w:r>
              <w:rPr>
                <w:caps/>
                <w:szCs w:val="24"/>
              </w:rPr>
              <w:t>BETWEEN:</w:t>
            </w:r>
          </w:p>
        </w:tc>
        <w:tc>
          <w:tcPr>
            <w:tcW w:w="6866" w:type="dxa"/>
            <w:gridSpan w:val="2"/>
          </w:tcPr>
          <w:p w14:paraId="07756CF3" w14:textId="77777777" w:rsidR="00A46CCC" w:rsidRDefault="009C089C" w:rsidP="004473A0">
            <w:pPr>
              <w:pStyle w:val="NormalHeadings"/>
              <w:jc w:val="left"/>
            </w:pPr>
            <w:bookmarkStart w:id="13" w:name="Applicant"/>
            <w:bookmarkEnd w:id="13"/>
            <w:r w:rsidRPr="009C089C">
              <w:t xml:space="preserve">COMMISSIONER OF TAXATION OF THE </w:t>
            </w:r>
            <w:r>
              <w:t>C</w:t>
            </w:r>
            <w:r w:rsidRPr="009C089C">
              <w:t>OMMONWEALTH OF AUSTRALIA</w:t>
            </w:r>
          </w:p>
          <w:p w14:paraId="6B07F4FB" w14:textId="0E842EDB" w:rsidR="009C089C" w:rsidRPr="009C089C" w:rsidRDefault="009C089C" w:rsidP="00F45C4C">
            <w:pPr>
              <w:pStyle w:val="PartyType"/>
              <w:spacing w:after="240"/>
              <w:rPr>
                <w:b/>
              </w:rPr>
            </w:pPr>
            <w:r>
              <w:t>Applicant</w:t>
            </w:r>
          </w:p>
        </w:tc>
      </w:tr>
      <w:tr w:rsidR="00A46CCC" w14:paraId="61CB563B" w14:textId="77777777">
        <w:trPr>
          <w:trHeight w:val="386"/>
        </w:trPr>
        <w:tc>
          <w:tcPr>
            <w:tcW w:w="2376" w:type="dxa"/>
          </w:tcPr>
          <w:p w14:paraId="73660DC3" w14:textId="77777777" w:rsidR="00A46CCC" w:rsidRDefault="00A46CCC">
            <w:pPr>
              <w:pStyle w:val="NormalHeadings"/>
              <w:jc w:val="left"/>
              <w:rPr>
                <w:caps/>
                <w:szCs w:val="24"/>
              </w:rPr>
            </w:pPr>
            <w:r>
              <w:rPr>
                <w:caps/>
                <w:szCs w:val="24"/>
              </w:rPr>
              <w:t>AND:</w:t>
            </w:r>
          </w:p>
        </w:tc>
        <w:tc>
          <w:tcPr>
            <w:tcW w:w="6866" w:type="dxa"/>
            <w:gridSpan w:val="2"/>
          </w:tcPr>
          <w:p w14:paraId="3E77CCE1" w14:textId="77777777" w:rsidR="00A46CCC" w:rsidRDefault="009C089C" w:rsidP="004473A0">
            <w:pPr>
              <w:pStyle w:val="NormalHeadings"/>
              <w:jc w:val="left"/>
            </w:pPr>
            <w:bookmarkStart w:id="14" w:name="Respondent"/>
            <w:bookmarkEnd w:id="14"/>
            <w:r>
              <w:t>RAWSON FINANCES PTY LTD</w:t>
            </w:r>
          </w:p>
          <w:p w14:paraId="2D2AE621" w14:textId="24A76F41" w:rsidR="009C089C" w:rsidRPr="009C089C" w:rsidRDefault="009C089C" w:rsidP="00F45C4C">
            <w:pPr>
              <w:pStyle w:val="PartyType"/>
              <w:spacing w:after="240"/>
              <w:rPr>
                <w:b/>
                <w:bCs/>
              </w:rPr>
            </w:pPr>
            <w:r w:rsidRPr="00F45C4C">
              <w:t>Respondent</w:t>
            </w:r>
          </w:p>
        </w:tc>
      </w:tr>
    </w:tbl>
    <w:p w14:paraId="50B7F1E5"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0ED48F11" w14:textId="77777777">
        <w:tc>
          <w:tcPr>
            <w:tcW w:w="2376" w:type="dxa"/>
          </w:tcPr>
          <w:p w14:paraId="3BC7BD93"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78C09301" w14:textId="0E81CBF4" w:rsidR="00395B24" w:rsidRDefault="009C089C">
            <w:pPr>
              <w:pStyle w:val="NormalHeadings"/>
              <w:jc w:val="left"/>
              <w:rPr>
                <w:caps/>
                <w:szCs w:val="24"/>
              </w:rPr>
            </w:pPr>
            <w:r>
              <w:rPr>
                <w:caps/>
                <w:szCs w:val="24"/>
              </w:rPr>
              <w:t>perry j</w:t>
            </w:r>
          </w:p>
        </w:tc>
      </w:tr>
      <w:tr w:rsidR="00395B24" w14:paraId="59ACF560" w14:textId="77777777">
        <w:tc>
          <w:tcPr>
            <w:tcW w:w="2376" w:type="dxa"/>
          </w:tcPr>
          <w:p w14:paraId="0B8142D7" w14:textId="77777777" w:rsidR="00395B24" w:rsidRDefault="002C7385">
            <w:pPr>
              <w:pStyle w:val="NormalHeadings"/>
              <w:spacing w:after="120"/>
              <w:jc w:val="left"/>
              <w:rPr>
                <w:caps/>
                <w:szCs w:val="24"/>
              </w:rPr>
            </w:pPr>
            <w:r>
              <w:rPr>
                <w:caps/>
                <w:szCs w:val="24"/>
              </w:rPr>
              <w:t>DATE OF ORDER:</w:t>
            </w:r>
          </w:p>
        </w:tc>
        <w:tc>
          <w:tcPr>
            <w:tcW w:w="6866" w:type="dxa"/>
          </w:tcPr>
          <w:p w14:paraId="78EDE667" w14:textId="5148A667" w:rsidR="00395B24" w:rsidRDefault="006A5687">
            <w:pPr>
              <w:pStyle w:val="NormalHeadings"/>
              <w:jc w:val="left"/>
              <w:rPr>
                <w:caps/>
                <w:szCs w:val="24"/>
              </w:rPr>
            </w:pPr>
            <w:bookmarkStart w:id="17" w:name="Judgment_Dated"/>
            <w:bookmarkEnd w:id="17"/>
            <w:r>
              <w:rPr>
                <w:caps/>
                <w:szCs w:val="24"/>
              </w:rPr>
              <w:t>19 January 2024</w:t>
            </w:r>
          </w:p>
        </w:tc>
      </w:tr>
    </w:tbl>
    <w:p w14:paraId="5B4E5CBC" w14:textId="77777777" w:rsidR="00395B24" w:rsidRDefault="00395B24">
      <w:pPr>
        <w:pStyle w:val="NormalHeadings"/>
        <w:rPr>
          <w:b w:val="0"/>
        </w:rPr>
      </w:pPr>
    </w:p>
    <w:p w14:paraId="6848719C" w14:textId="77777777" w:rsidR="008D1617" w:rsidRDefault="008D1617">
      <w:pPr>
        <w:pStyle w:val="NormalHeadings"/>
        <w:rPr>
          <w:b w:val="0"/>
        </w:rPr>
      </w:pPr>
    </w:p>
    <w:p w14:paraId="3E3B5B4B" w14:textId="77777777" w:rsidR="00395B24" w:rsidRDefault="002C7385">
      <w:pPr>
        <w:pStyle w:val="NormalHeadings"/>
      </w:pPr>
      <w:r>
        <w:t>THE COURT ORDERS THAT:</w:t>
      </w:r>
    </w:p>
    <w:p w14:paraId="062A1C20" w14:textId="77777777" w:rsidR="007F60DF" w:rsidRDefault="007F60DF" w:rsidP="00243E5E">
      <w:pPr>
        <w:pStyle w:val="NormalHeadings"/>
      </w:pPr>
    </w:p>
    <w:p w14:paraId="118A3BC8" w14:textId="0E962065" w:rsidR="00F56628" w:rsidRDefault="008F3E79" w:rsidP="008F3E79">
      <w:pPr>
        <w:pStyle w:val="Order1"/>
        <w:numPr>
          <w:ilvl w:val="0"/>
          <w:numId w:val="0"/>
        </w:numPr>
        <w:tabs>
          <w:tab w:val="left" w:pos="720"/>
        </w:tabs>
        <w:ind w:left="720" w:hanging="720"/>
      </w:pPr>
      <w:r>
        <w:t>1.</w:t>
      </w:r>
      <w:r>
        <w:tab/>
      </w:r>
      <w:r w:rsidR="00895BC9">
        <w:t>Subject to order 2, t</w:t>
      </w:r>
      <w:r w:rsidR="00F56628">
        <w:t xml:space="preserve">he respondent is to pay the applicant’s costs </w:t>
      </w:r>
      <w:r w:rsidR="00895BC9">
        <w:t xml:space="preserve">of the proceedings, assessed </w:t>
      </w:r>
      <w:r w:rsidR="00F56628">
        <w:t>on a</w:t>
      </w:r>
      <w:r w:rsidR="00895BC9">
        <w:t>n indemnity basis</w:t>
      </w:r>
      <w:r w:rsidR="002B482A">
        <w:t xml:space="preserve"> and fixed in the sum of </w:t>
      </w:r>
      <w:r w:rsidR="002B482A" w:rsidRPr="00840DBF">
        <w:rPr>
          <w:b/>
        </w:rPr>
        <w:t>$</w:t>
      </w:r>
      <w:r w:rsidR="002B482A" w:rsidRPr="002113B1">
        <w:t>3,557,4</w:t>
      </w:r>
      <w:r w:rsidR="00F747D6">
        <w:t>00</w:t>
      </w:r>
      <w:r w:rsidR="002B482A" w:rsidRPr="002113B1">
        <w:t>.</w:t>
      </w:r>
      <w:r w:rsidR="00F747D6">
        <w:t>00</w:t>
      </w:r>
      <w:r w:rsidR="00895BC9">
        <w:t>.</w:t>
      </w:r>
      <w:r w:rsidR="00F56628">
        <w:t xml:space="preserve"> </w:t>
      </w:r>
    </w:p>
    <w:p w14:paraId="2C2679F6" w14:textId="25B43D08" w:rsidR="00C650EE" w:rsidRDefault="008F3E79" w:rsidP="008F3E79">
      <w:pPr>
        <w:pStyle w:val="Order1"/>
        <w:numPr>
          <w:ilvl w:val="0"/>
          <w:numId w:val="0"/>
        </w:numPr>
        <w:tabs>
          <w:tab w:val="left" w:pos="720"/>
        </w:tabs>
        <w:ind w:left="720" w:hanging="720"/>
      </w:pPr>
      <w:r>
        <w:t>2.</w:t>
      </w:r>
      <w:r>
        <w:tab/>
      </w:r>
      <w:r w:rsidR="00C650EE">
        <w:t xml:space="preserve">The respondent is to pay the applicant’s costs in relation to the application for indemnity costs on a </w:t>
      </w:r>
      <w:r w:rsidR="006E06E0">
        <w:t>party/party</w:t>
      </w:r>
      <w:r w:rsidR="00C650EE">
        <w:t xml:space="preserve"> basis</w:t>
      </w:r>
      <w:r w:rsidR="002B482A">
        <w:t xml:space="preserve"> and fixed in the sum of $38,0</w:t>
      </w:r>
      <w:r w:rsidR="00F747D6">
        <w:t>00.00</w:t>
      </w:r>
      <w:r w:rsidR="00C650EE">
        <w:t xml:space="preserve">.  </w:t>
      </w:r>
    </w:p>
    <w:p w14:paraId="58DFAEB0" w14:textId="77777777" w:rsidR="001A6C52" w:rsidRDefault="001A6C52" w:rsidP="001A6C52">
      <w:pPr>
        <w:pStyle w:val="BodyText"/>
      </w:pPr>
    </w:p>
    <w:p w14:paraId="183D7F11" w14:textId="77777777" w:rsidR="00A431E6" w:rsidRDefault="00A431E6" w:rsidP="001A6C52">
      <w:pPr>
        <w:pStyle w:val="BodyText"/>
      </w:pPr>
    </w:p>
    <w:p w14:paraId="0A405C96" w14:textId="2DEC35AC" w:rsidR="0050309C" w:rsidRDefault="004473A0" w:rsidP="004D53E5">
      <w:pPr>
        <w:pStyle w:val="SingleSpace"/>
      </w:pPr>
      <w:bookmarkStart w:id="18" w:name="OrdersStatement"/>
      <w:r>
        <w:t>Note:</w:t>
      </w:r>
      <w:r>
        <w:tab/>
        <w:t xml:space="preserve">Entry of orders is dealt with in Rule 39.32 of the </w:t>
      </w:r>
      <w:r>
        <w:rPr>
          <w:i/>
        </w:rPr>
        <w:t>Federal Court Rules 2011</w:t>
      </w:r>
      <w:r>
        <w:t>.</w:t>
      </w:r>
      <w:bookmarkEnd w:id="18"/>
    </w:p>
    <w:p w14:paraId="622C9CD0" w14:textId="77777777" w:rsidR="00E23577" w:rsidRDefault="00E23577" w:rsidP="002B0E91">
      <w:pPr>
        <w:pStyle w:val="BodyText"/>
      </w:pPr>
    </w:p>
    <w:p w14:paraId="6488CBD9"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6F01406F" w14:textId="77777777" w:rsidR="00484F6D" w:rsidRPr="00045BB7"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14:paraId="1E11E527" w14:textId="5F4BBBD3" w:rsidR="00694BEB" w:rsidRDefault="004473A0" w:rsidP="005E0510">
      <w:pPr>
        <w:pStyle w:val="NormalHeadings"/>
        <w:spacing w:line="360" w:lineRule="auto"/>
        <w:jc w:val="left"/>
        <w:rPr>
          <w:sz w:val="26"/>
          <w:szCs w:val="26"/>
        </w:rPr>
      </w:pPr>
      <w:r>
        <w:rPr>
          <w:sz w:val="26"/>
          <w:szCs w:val="26"/>
        </w:rPr>
        <w:t>PERRY J:</w:t>
      </w:r>
    </w:p>
    <w:tbl>
      <w:tblPr>
        <w:tblW w:w="9291" w:type="dxa"/>
        <w:tblLook w:val="01E0" w:firstRow="1" w:lastRow="1" w:firstColumn="1" w:lastColumn="1" w:noHBand="0" w:noVBand="0"/>
      </w:tblPr>
      <w:tblGrid>
        <w:gridCol w:w="8291"/>
        <w:gridCol w:w="1000"/>
      </w:tblGrid>
      <w:tr w:rsidR="00D029CF" w:rsidRPr="00D326DB" w14:paraId="21E4F3D4" w14:textId="77777777" w:rsidTr="00D029CF">
        <w:tc>
          <w:tcPr>
            <w:tcW w:w="8291" w:type="dxa"/>
            <w:shd w:val="clear" w:color="auto" w:fill="auto"/>
          </w:tcPr>
          <w:bookmarkStart w:id="20" w:name="PTOC"/>
          <w:p w14:paraId="569CCA94" w14:textId="0F883056" w:rsidR="00D029CF" w:rsidRPr="00D029CF" w:rsidRDefault="00D029CF" w:rsidP="00D029CF">
            <w:pPr>
              <w:pStyle w:val="FTOC5"/>
              <w:tabs>
                <w:tab w:val="clear" w:pos="9072"/>
              </w:tabs>
              <w:rPr>
                <w:lang w:eastAsia="en-AU"/>
              </w:rPr>
            </w:pPr>
            <w:r>
              <w:rPr>
                <w:lang w:eastAsia="en-AU"/>
              </w:rPr>
              <w:fldChar w:fldCharType="begin"/>
            </w:r>
            <w:r>
              <w:rPr>
                <w:lang w:eastAsia="en-AU"/>
              </w:rPr>
              <w:instrText xml:space="preserve"> REF _Ref156496384 \w \h </w:instrText>
            </w:r>
            <w:r>
              <w:rPr>
                <w:lang w:eastAsia="en-AU"/>
              </w:rPr>
            </w:r>
            <w:r>
              <w:rPr>
                <w:lang w:eastAsia="en-AU"/>
              </w:rPr>
              <w:fldChar w:fldCharType="separate"/>
            </w:r>
            <w:r w:rsidR="004249DD">
              <w:rPr>
                <w:lang w:eastAsia="en-AU"/>
              </w:rPr>
              <w:t>1</w:t>
            </w:r>
            <w:r>
              <w:rPr>
                <w:lang w:eastAsia="en-AU"/>
              </w:rPr>
              <w:fldChar w:fldCharType="end"/>
            </w:r>
            <w:r>
              <w:rPr>
                <w:lang w:eastAsia="en-AU"/>
              </w:rPr>
              <w:tab/>
            </w:r>
            <w:r>
              <w:rPr>
                <w:lang w:eastAsia="en-AU"/>
              </w:rPr>
              <w:fldChar w:fldCharType="begin"/>
            </w:r>
            <w:r>
              <w:rPr>
                <w:lang w:eastAsia="en-AU"/>
              </w:rPr>
              <w:instrText xml:space="preserve"> REF _Ref156496384 \h </w:instrText>
            </w:r>
            <w:r>
              <w:rPr>
                <w:lang w:eastAsia="en-AU"/>
              </w:rPr>
            </w:r>
            <w:r>
              <w:rPr>
                <w:lang w:eastAsia="en-AU"/>
              </w:rPr>
              <w:fldChar w:fldCharType="separate"/>
            </w:r>
            <w:r w:rsidR="004249DD">
              <w:t>INTRODUCTION</w:t>
            </w:r>
            <w:r>
              <w:rPr>
                <w:lang w:eastAsia="en-AU"/>
              </w:rPr>
              <w:fldChar w:fldCharType="end"/>
            </w:r>
          </w:p>
        </w:tc>
        <w:tc>
          <w:tcPr>
            <w:tcW w:w="1000" w:type="dxa"/>
            <w:shd w:val="clear" w:color="auto" w:fill="auto"/>
            <w:vAlign w:val="bottom"/>
          </w:tcPr>
          <w:p w14:paraId="581467F5" w14:textId="6F8A700E" w:rsidR="00D029CF" w:rsidRDefault="00D029CF" w:rsidP="00640103">
            <w:pPr>
              <w:spacing w:before="120" w:after="60" w:line="240" w:lineRule="auto"/>
              <w:jc w:val="right"/>
              <w:rPr>
                <w:szCs w:val="24"/>
              </w:rPr>
            </w:pPr>
            <w:r>
              <w:rPr>
                <w:szCs w:val="24"/>
              </w:rPr>
              <w:t>[1]</w:t>
            </w:r>
          </w:p>
        </w:tc>
      </w:tr>
      <w:tr w:rsidR="00D029CF" w:rsidRPr="00D326DB" w14:paraId="5FC26094" w14:textId="77777777" w:rsidTr="00D029CF">
        <w:tc>
          <w:tcPr>
            <w:tcW w:w="8291" w:type="dxa"/>
            <w:shd w:val="clear" w:color="auto" w:fill="auto"/>
          </w:tcPr>
          <w:p w14:paraId="24208740" w14:textId="71B9D515" w:rsidR="00D029CF" w:rsidRPr="00D029CF" w:rsidRDefault="00D029CF" w:rsidP="00D029CF">
            <w:pPr>
              <w:pStyle w:val="FTOC5"/>
              <w:tabs>
                <w:tab w:val="clear" w:pos="9072"/>
              </w:tabs>
              <w:rPr>
                <w:lang w:eastAsia="en-AU"/>
              </w:rPr>
            </w:pPr>
            <w:r>
              <w:rPr>
                <w:lang w:eastAsia="en-AU"/>
              </w:rPr>
              <w:fldChar w:fldCharType="begin"/>
            </w:r>
            <w:r>
              <w:rPr>
                <w:lang w:eastAsia="en-AU"/>
              </w:rPr>
              <w:instrText xml:space="preserve"> REF _Ref156496385 \w \h </w:instrText>
            </w:r>
            <w:r>
              <w:rPr>
                <w:lang w:eastAsia="en-AU"/>
              </w:rPr>
            </w:r>
            <w:r>
              <w:rPr>
                <w:lang w:eastAsia="en-AU"/>
              </w:rPr>
              <w:fldChar w:fldCharType="separate"/>
            </w:r>
            <w:r w:rsidR="004249DD">
              <w:rPr>
                <w:lang w:eastAsia="en-AU"/>
              </w:rPr>
              <w:t>2</w:t>
            </w:r>
            <w:r>
              <w:rPr>
                <w:lang w:eastAsia="en-AU"/>
              </w:rPr>
              <w:fldChar w:fldCharType="end"/>
            </w:r>
            <w:r>
              <w:rPr>
                <w:lang w:eastAsia="en-AU"/>
              </w:rPr>
              <w:tab/>
            </w:r>
            <w:r>
              <w:rPr>
                <w:lang w:eastAsia="en-AU"/>
              </w:rPr>
              <w:fldChar w:fldCharType="begin"/>
            </w:r>
            <w:r>
              <w:rPr>
                <w:lang w:eastAsia="en-AU"/>
              </w:rPr>
              <w:instrText xml:space="preserve"> REF _Ref156496385 \h </w:instrText>
            </w:r>
            <w:r>
              <w:rPr>
                <w:lang w:eastAsia="en-AU"/>
              </w:rPr>
            </w:r>
            <w:r>
              <w:rPr>
                <w:lang w:eastAsia="en-AU"/>
              </w:rPr>
              <w:fldChar w:fldCharType="separate"/>
            </w:r>
            <w:r w:rsidR="004249DD">
              <w:t>BACKGROUND</w:t>
            </w:r>
            <w:r>
              <w:rPr>
                <w:lang w:eastAsia="en-AU"/>
              </w:rPr>
              <w:fldChar w:fldCharType="end"/>
            </w:r>
          </w:p>
        </w:tc>
        <w:tc>
          <w:tcPr>
            <w:tcW w:w="1000" w:type="dxa"/>
            <w:shd w:val="clear" w:color="auto" w:fill="auto"/>
            <w:vAlign w:val="bottom"/>
          </w:tcPr>
          <w:p w14:paraId="0EF17280" w14:textId="44E7AA61" w:rsidR="00D029CF" w:rsidRDefault="00D029CF" w:rsidP="00640103">
            <w:pPr>
              <w:spacing w:before="120" w:after="60" w:line="240" w:lineRule="auto"/>
              <w:jc w:val="right"/>
              <w:rPr>
                <w:szCs w:val="24"/>
              </w:rPr>
            </w:pPr>
            <w:r>
              <w:rPr>
                <w:szCs w:val="24"/>
              </w:rPr>
              <w:t>[8]</w:t>
            </w:r>
          </w:p>
        </w:tc>
      </w:tr>
      <w:tr w:rsidR="00D029CF" w:rsidRPr="00D326DB" w14:paraId="2CD43714" w14:textId="77777777" w:rsidTr="00D029CF">
        <w:tc>
          <w:tcPr>
            <w:tcW w:w="8291" w:type="dxa"/>
            <w:shd w:val="clear" w:color="auto" w:fill="auto"/>
          </w:tcPr>
          <w:p w14:paraId="34F97802" w14:textId="308509DA" w:rsidR="00D029CF" w:rsidRPr="00D029CF" w:rsidRDefault="00D029CF" w:rsidP="00D029CF">
            <w:pPr>
              <w:pStyle w:val="FTOC5"/>
              <w:tabs>
                <w:tab w:val="clear" w:pos="9072"/>
              </w:tabs>
              <w:rPr>
                <w:lang w:eastAsia="en-AU"/>
              </w:rPr>
            </w:pPr>
            <w:r>
              <w:rPr>
                <w:lang w:eastAsia="en-AU"/>
              </w:rPr>
              <w:fldChar w:fldCharType="begin"/>
            </w:r>
            <w:r>
              <w:rPr>
                <w:lang w:eastAsia="en-AU"/>
              </w:rPr>
              <w:instrText xml:space="preserve"> REF _Ref156496386 \w \h </w:instrText>
            </w:r>
            <w:r>
              <w:rPr>
                <w:lang w:eastAsia="en-AU"/>
              </w:rPr>
            </w:r>
            <w:r>
              <w:rPr>
                <w:lang w:eastAsia="en-AU"/>
              </w:rPr>
              <w:fldChar w:fldCharType="separate"/>
            </w:r>
            <w:r w:rsidR="004249DD">
              <w:rPr>
                <w:lang w:eastAsia="en-AU"/>
              </w:rPr>
              <w:t>3</w:t>
            </w:r>
            <w:r>
              <w:rPr>
                <w:lang w:eastAsia="en-AU"/>
              </w:rPr>
              <w:fldChar w:fldCharType="end"/>
            </w:r>
            <w:r>
              <w:rPr>
                <w:lang w:eastAsia="en-AU"/>
              </w:rPr>
              <w:tab/>
            </w:r>
            <w:r>
              <w:rPr>
                <w:lang w:eastAsia="en-AU"/>
              </w:rPr>
              <w:fldChar w:fldCharType="begin"/>
            </w:r>
            <w:r>
              <w:rPr>
                <w:lang w:eastAsia="en-AU"/>
              </w:rPr>
              <w:instrText xml:space="preserve"> REF _Ref156496386 \h </w:instrText>
            </w:r>
            <w:r>
              <w:rPr>
                <w:lang w:eastAsia="en-AU"/>
              </w:rPr>
            </w:r>
            <w:r>
              <w:rPr>
                <w:lang w:eastAsia="en-AU"/>
              </w:rPr>
              <w:fldChar w:fldCharType="separate"/>
            </w:r>
            <w:r w:rsidR="004249DD">
              <w:t>GENERAL PRINCIPLES ON INDEMNITY COSTS</w:t>
            </w:r>
            <w:r>
              <w:rPr>
                <w:lang w:eastAsia="en-AU"/>
              </w:rPr>
              <w:fldChar w:fldCharType="end"/>
            </w:r>
          </w:p>
        </w:tc>
        <w:tc>
          <w:tcPr>
            <w:tcW w:w="1000" w:type="dxa"/>
            <w:shd w:val="clear" w:color="auto" w:fill="auto"/>
            <w:vAlign w:val="bottom"/>
          </w:tcPr>
          <w:p w14:paraId="617DA949" w14:textId="5D18B24B" w:rsidR="00D029CF" w:rsidRDefault="00D029CF" w:rsidP="00640103">
            <w:pPr>
              <w:spacing w:before="120" w:after="60" w:line="240" w:lineRule="auto"/>
              <w:jc w:val="right"/>
              <w:rPr>
                <w:szCs w:val="24"/>
              </w:rPr>
            </w:pPr>
            <w:r>
              <w:rPr>
                <w:szCs w:val="24"/>
              </w:rPr>
              <w:t>[11]</w:t>
            </w:r>
          </w:p>
        </w:tc>
      </w:tr>
      <w:tr w:rsidR="00D029CF" w:rsidRPr="00D326DB" w14:paraId="18F8C76D" w14:textId="77777777" w:rsidTr="00D029CF">
        <w:tc>
          <w:tcPr>
            <w:tcW w:w="8291" w:type="dxa"/>
            <w:shd w:val="clear" w:color="auto" w:fill="auto"/>
          </w:tcPr>
          <w:p w14:paraId="6AA531F5" w14:textId="4B303163" w:rsidR="00D029CF" w:rsidRPr="00D029CF" w:rsidRDefault="00D029CF" w:rsidP="00D029CF">
            <w:pPr>
              <w:pStyle w:val="FTOC5"/>
              <w:tabs>
                <w:tab w:val="clear" w:pos="9072"/>
              </w:tabs>
              <w:rPr>
                <w:lang w:eastAsia="en-AU"/>
              </w:rPr>
            </w:pPr>
            <w:r>
              <w:rPr>
                <w:lang w:eastAsia="en-AU"/>
              </w:rPr>
              <w:fldChar w:fldCharType="begin"/>
            </w:r>
            <w:r>
              <w:rPr>
                <w:lang w:eastAsia="en-AU"/>
              </w:rPr>
              <w:instrText xml:space="preserve"> REF _Ref156496387 \w \h </w:instrText>
            </w:r>
            <w:r>
              <w:rPr>
                <w:lang w:eastAsia="en-AU"/>
              </w:rPr>
            </w:r>
            <w:r>
              <w:rPr>
                <w:lang w:eastAsia="en-AU"/>
              </w:rPr>
              <w:fldChar w:fldCharType="separate"/>
            </w:r>
            <w:r w:rsidR="004249DD">
              <w:rPr>
                <w:lang w:eastAsia="en-AU"/>
              </w:rPr>
              <w:t>4</w:t>
            </w:r>
            <w:r>
              <w:rPr>
                <w:lang w:eastAsia="en-AU"/>
              </w:rPr>
              <w:fldChar w:fldCharType="end"/>
            </w:r>
            <w:r>
              <w:rPr>
                <w:lang w:eastAsia="en-AU"/>
              </w:rPr>
              <w:tab/>
            </w:r>
            <w:r>
              <w:rPr>
                <w:lang w:eastAsia="en-AU"/>
              </w:rPr>
              <w:fldChar w:fldCharType="begin"/>
            </w:r>
            <w:r>
              <w:rPr>
                <w:lang w:eastAsia="en-AU"/>
              </w:rPr>
              <w:instrText xml:space="preserve"> REF _Ref156496387 \h </w:instrText>
            </w:r>
            <w:r>
              <w:rPr>
                <w:lang w:eastAsia="en-AU"/>
              </w:rPr>
            </w:r>
            <w:r>
              <w:rPr>
                <w:lang w:eastAsia="en-AU"/>
              </w:rPr>
              <w:fldChar w:fldCharType="separate"/>
            </w:r>
            <w:r w:rsidR="004249DD">
              <w:t>GROUND ONE: THE PUBLIC INTEREST ARGUMENT</w:t>
            </w:r>
            <w:r>
              <w:rPr>
                <w:lang w:eastAsia="en-AU"/>
              </w:rPr>
              <w:fldChar w:fldCharType="end"/>
            </w:r>
          </w:p>
        </w:tc>
        <w:tc>
          <w:tcPr>
            <w:tcW w:w="1000" w:type="dxa"/>
            <w:shd w:val="clear" w:color="auto" w:fill="auto"/>
            <w:vAlign w:val="bottom"/>
          </w:tcPr>
          <w:p w14:paraId="5E7A681B" w14:textId="3B5DB8C4" w:rsidR="00D029CF" w:rsidRDefault="00D029CF" w:rsidP="00640103">
            <w:pPr>
              <w:spacing w:before="120" w:after="60" w:line="240" w:lineRule="auto"/>
              <w:jc w:val="right"/>
              <w:rPr>
                <w:szCs w:val="24"/>
              </w:rPr>
            </w:pPr>
            <w:r>
              <w:rPr>
                <w:szCs w:val="24"/>
              </w:rPr>
              <w:t>[14]</w:t>
            </w:r>
          </w:p>
        </w:tc>
      </w:tr>
      <w:tr w:rsidR="00D029CF" w:rsidRPr="00D326DB" w14:paraId="64C6F332" w14:textId="77777777" w:rsidTr="00D029CF">
        <w:tc>
          <w:tcPr>
            <w:tcW w:w="8291" w:type="dxa"/>
            <w:shd w:val="clear" w:color="auto" w:fill="auto"/>
          </w:tcPr>
          <w:p w14:paraId="1AE324C4" w14:textId="16C6019D" w:rsidR="00D029CF" w:rsidRPr="00D029CF" w:rsidRDefault="00D029CF" w:rsidP="00D029CF">
            <w:pPr>
              <w:pStyle w:val="FTOC6"/>
              <w:tabs>
                <w:tab w:val="clear" w:pos="9072"/>
              </w:tabs>
              <w:rPr>
                <w:lang w:eastAsia="en-AU"/>
              </w:rPr>
            </w:pPr>
            <w:r>
              <w:rPr>
                <w:lang w:eastAsia="en-AU"/>
              </w:rPr>
              <w:fldChar w:fldCharType="begin"/>
            </w:r>
            <w:r>
              <w:rPr>
                <w:lang w:eastAsia="en-AU"/>
              </w:rPr>
              <w:instrText xml:space="preserve"> REF _Ref156496388 \w \h </w:instrText>
            </w:r>
            <w:r>
              <w:rPr>
                <w:lang w:eastAsia="en-AU"/>
              </w:rPr>
            </w:r>
            <w:r>
              <w:rPr>
                <w:lang w:eastAsia="en-AU"/>
              </w:rPr>
              <w:fldChar w:fldCharType="separate"/>
            </w:r>
            <w:r w:rsidR="004249DD">
              <w:rPr>
                <w:lang w:eastAsia="en-AU"/>
              </w:rPr>
              <w:t>4.1</w:t>
            </w:r>
            <w:r>
              <w:rPr>
                <w:lang w:eastAsia="en-AU"/>
              </w:rPr>
              <w:fldChar w:fldCharType="end"/>
            </w:r>
            <w:r>
              <w:rPr>
                <w:lang w:eastAsia="en-AU"/>
              </w:rPr>
              <w:tab/>
            </w:r>
            <w:r>
              <w:rPr>
                <w:lang w:eastAsia="en-AU"/>
              </w:rPr>
              <w:fldChar w:fldCharType="begin"/>
            </w:r>
            <w:r>
              <w:rPr>
                <w:lang w:eastAsia="en-AU"/>
              </w:rPr>
              <w:instrText xml:space="preserve"> REF _Ref156496388 \h </w:instrText>
            </w:r>
            <w:r>
              <w:rPr>
                <w:lang w:eastAsia="en-AU"/>
              </w:rPr>
            </w:r>
            <w:r>
              <w:rPr>
                <w:lang w:eastAsia="en-AU"/>
              </w:rPr>
              <w:fldChar w:fldCharType="separate"/>
            </w:r>
            <w:r w:rsidR="004249DD">
              <w:t>The issue and the parties’ submissions</w:t>
            </w:r>
            <w:r>
              <w:rPr>
                <w:lang w:eastAsia="en-AU"/>
              </w:rPr>
              <w:fldChar w:fldCharType="end"/>
            </w:r>
          </w:p>
        </w:tc>
        <w:tc>
          <w:tcPr>
            <w:tcW w:w="1000" w:type="dxa"/>
            <w:shd w:val="clear" w:color="auto" w:fill="auto"/>
            <w:vAlign w:val="bottom"/>
          </w:tcPr>
          <w:p w14:paraId="1706390A" w14:textId="3F7E4E36" w:rsidR="00D029CF" w:rsidRDefault="00D029CF" w:rsidP="00640103">
            <w:pPr>
              <w:spacing w:before="120" w:after="60" w:line="240" w:lineRule="auto"/>
              <w:jc w:val="right"/>
              <w:rPr>
                <w:szCs w:val="24"/>
              </w:rPr>
            </w:pPr>
            <w:r>
              <w:rPr>
                <w:szCs w:val="24"/>
              </w:rPr>
              <w:t>[14]</w:t>
            </w:r>
          </w:p>
        </w:tc>
      </w:tr>
      <w:tr w:rsidR="00D029CF" w:rsidRPr="00D326DB" w14:paraId="1AF43F05" w14:textId="77777777" w:rsidTr="00D029CF">
        <w:tc>
          <w:tcPr>
            <w:tcW w:w="8291" w:type="dxa"/>
            <w:shd w:val="clear" w:color="auto" w:fill="auto"/>
          </w:tcPr>
          <w:p w14:paraId="75F741CC" w14:textId="6D879576" w:rsidR="00D029CF" w:rsidRPr="00D029CF" w:rsidRDefault="00D029CF" w:rsidP="00D029CF">
            <w:pPr>
              <w:pStyle w:val="FTOC6"/>
              <w:tabs>
                <w:tab w:val="clear" w:pos="9072"/>
              </w:tabs>
              <w:rPr>
                <w:lang w:eastAsia="en-AU"/>
              </w:rPr>
            </w:pPr>
            <w:r>
              <w:rPr>
                <w:lang w:eastAsia="en-AU"/>
              </w:rPr>
              <w:fldChar w:fldCharType="begin"/>
            </w:r>
            <w:r>
              <w:rPr>
                <w:lang w:eastAsia="en-AU"/>
              </w:rPr>
              <w:instrText xml:space="preserve"> REF _Ref156496389 \w \h </w:instrText>
            </w:r>
            <w:r>
              <w:rPr>
                <w:lang w:eastAsia="en-AU"/>
              </w:rPr>
            </w:r>
            <w:r>
              <w:rPr>
                <w:lang w:eastAsia="en-AU"/>
              </w:rPr>
              <w:fldChar w:fldCharType="separate"/>
            </w:r>
            <w:r w:rsidR="004249DD">
              <w:rPr>
                <w:lang w:eastAsia="en-AU"/>
              </w:rPr>
              <w:t>4.2</w:t>
            </w:r>
            <w:r>
              <w:rPr>
                <w:lang w:eastAsia="en-AU"/>
              </w:rPr>
              <w:fldChar w:fldCharType="end"/>
            </w:r>
            <w:r>
              <w:rPr>
                <w:lang w:eastAsia="en-AU"/>
              </w:rPr>
              <w:tab/>
            </w:r>
            <w:r>
              <w:rPr>
                <w:lang w:eastAsia="en-AU"/>
              </w:rPr>
              <w:fldChar w:fldCharType="begin"/>
            </w:r>
            <w:r>
              <w:rPr>
                <w:lang w:eastAsia="en-AU"/>
              </w:rPr>
              <w:instrText xml:space="preserve"> REF _Ref156496389 \h </w:instrText>
            </w:r>
            <w:r>
              <w:rPr>
                <w:lang w:eastAsia="en-AU"/>
              </w:rPr>
            </w:r>
            <w:r>
              <w:rPr>
                <w:lang w:eastAsia="en-AU"/>
              </w:rPr>
              <w:fldChar w:fldCharType="separate"/>
            </w:r>
            <w:r w:rsidR="004249DD">
              <w:t>Disposition of ground one</w:t>
            </w:r>
            <w:r>
              <w:rPr>
                <w:lang w:eastAsia="en-AU"/>
              </w:rPr>
              <w:fldChar w:fldCharType="end"/>
            </w:r>
          </w:p>
        </w:tc>
        <w:tc>
          <w:tcPr>
            <w:tcW w:w="1000" w:type="dxa"/>
            <w:shd w:val="clear" w:color="auto" w:fill="auto"/>
            <w:vAlign w:val="bottom"/>
          </w:tcPr>
          <w:p w14:paraId="29A430E3" w14:textId="202E1C9F" w:rsidR="00D029CF" w:rsidRDefault="00D029CF" w:rsidP="00640103">
            <w:pPr>
              <w:spacing w:before="120" w:after="60" w:line="240" w:lineRule="auto"/>
              <w:jc w:val="right"/>
              <w:rPr>
                <w:szCs w:val="24"/>
              </w:rPr>
            </w:pPr>
            <w:r>
              <w:rPr>
                <w:szCs w:val="24"/>
              </w:rPr>
              <w:t>[16]</w:t>
            </w:r>
          </w:p>
        </w:tc>
      </w:tr>
      <w:tr w:rsidR="00D029CF" w:rsidRPr="00D326DB" w14:paraId="56D0D5FF" w14:textId="77777777" w:rsidTr="00D029CF">
        <w:tc>
          <w:tcPr>
            <w:tcW w:w="8291" w:type="dxa"/>
            <w:shd w:val="clear" w:color="auto" w:fill="auto"/>
          </w:tcPr>
          <w:p w14:paraId="14A109BC" w14:textId="622AD0D3" w:rsidR="00D029CF" w:rsidRPr="00D029CF" w:rsidRDefault="00D029CF" w:rsidP="00D029CF">
            <w:pPr>
              <w:pStyle w:val="FTOC5"/>
              <w:tabs>
                <w:tab w:val="clear" w:pos="9072"/>
              </w:tabs>
              <w:rPr>
                <w:lang w:eastAsia="en-AU"/>
              </w:rPr>
            </w:pPr>
            <w:r>
              <w:rPr>
                <w:lang w:eastAsia="en-AU"/>
              </w:rPr>
              <w:fldChar w:fldCharType="begin"/>
            </w:r>
            <w:r>
              <w:rPr>
                <w:lang w:eastAsia="en-AU"/>
              </w:rPr>
              <w:instrText xml:space="preserve"> REF _Ref156496390 \w \h </w:instrText>
            </w:r>
            <w:r>
              <w:rPr>
                <w:lang w:eastAsia="en-AU"/>
              </w:rPr>
            </w:r>
            <w:r>
              <w:rPr>
                <w:lang w:eastAsia="en-AU"/>
              </w:rPr>
              <w:fldChar w:fldCharType="separate"/>
            </w:r>
            <w:r w:rsidR="004249DD">
              <w:rPr>
                <w:lang w:eastAsia="en-AU"/>
              </w:rPr>
              <w:t>5</w:t>
            </w:r>
            <w:r>
              <w:rPr>
                <w:lang w:eastAsia="en-AU"/>
              </w:rPr>
              <w:fldChar w:fldCharType="end"/>
            </w:r>
            <w:r>
              <w:rPr>
                <w:lang w:eastAsia="en-AU"/>
              </w:rPr>
              <w:tab/>
            </w:r>
            <w:r>
              <w:rPr>
                <w:lang w:eastAsia="en-AU"/>
              </w:rPr>
              <w:fldChar w:fldCharType="begin"/>
            </w:r>
            <w:r>
              <w:rPr>
                <w:lang w:eastAsia="en-AU"/>
              </w:rPr>
              <w:instrText xml:space="preserve"> REF _Ref156496390 \h </w:instrText>
            </w:r>
            <w:r>
              <w:rPr>
                <w:lang w:eastAsia="en-AU"/>
              </w:rPr>
            </w:r>
            <w:r>
              <w:rPr>
                <w:lang w:eastAsia="en-AU"/>
              </w:rPr>
              <w:fldChar w:fldCharType="separate"/>
            </w:r>
            <w:r w:rsidR="004249DD">
              <w:rPr>
                <w:caps/>
              </w:rPr>
              <w:t>GROUND TWO: RAWSON’S CONDUCT IN THE PRESENT PROCEEDING</w:t>
            </w:r>
            <w:r>
              <w:rPr>
                <w:lang w:eastAsia="en-AU"/>
              </w:rPr>
              <w:fldChar w:fldCharType="end"/>
            </w:r>
          </w:p>
        </w:tc>
        <w:tc>
          <w:tcPr>
            <w:tcW w:w="1000" w:type="dxa"/>
            <w:shd w:val="clear" w:color="auto" w:fill="auto"/>
            <w:vAlign w:val="bottom"/>
          </w:tcPr>
          <w:p w14:paraId="00FF223B" w14:textId="662659A0" w:rsidR="00D029CF" w:rsidRDefault="00D029CF" w:rsidP="00640103">
            <w:pPr>
              <w:spacing w:before="120" w:after="60" w:line="240" w:lineRule="auto"/>
              <w:jc w:val="right"/>
              <w:rPr>
                <w:szCs w:val="24"/>
              </w:rPr>
            </w:pPr>
            <w:r>
              <w:rPr>
                <w:szCs w:val="24"/>
              </w:rPr>
              <w:t>[55]</w:t>
            </w:r>
          </w:p>
        </w:tc>
      </w:tr>
      <w:tr w:rsidR="00D029CF" w:rsidRPr="00D326DB" w14:paraId="4C39062B" w14:textId="77777777" w:rsidTr="00D029CF">
        <w:tc>
          <w:tcPr>
            <w:tcW w:w="8291" w:type="dxa"/>
            <w:shd w:val="clear" w:color="auto" w:fill="auto"/>
          </w:tcPr>
          <w:p w14:paraId="525E429A" w14:textId="09696025" w:rsidR="00D029CF" w:rsidRPr="00D029CF" w:rsidRDefault="00D029CF" w:rsidP="00D029CF">
            <w:pPr>
              <w:pStyle w:val="FTOC6"/>
              <w:tabs>
                <w:tab w:val="clear" w:pos="9072"/>
              </w:tabs>
              <w:rPr>
                <w:lang w:eastAsia="en-AU"/>
              </w:rPr>
            </w:pPr>
            <w:r>
              <w:rPr>
                <w:lang w:eastAsia="en-AU"/>
              </w:rPr>
              <w:fldChar w:fldCharType="begin"/>
            </w:r>
            <w:r>
              <w:rPr>
                <w:lang w:eastAsia="en-AU"/>
              </w:rPr>
              <w:instrText xml:space="preserve"> REF _Ref156496391 \w \h </w:instrText>
            </w:r>
            <w:r>
              <w:rPr>
                <w:lang w:eastAsia="en-AU"/>
              </w:rPr>
            </w:r>
            <w:r>
              <w:rPr>
                <w:lang w:eastAsia="en-AU"/>
              </w:rPr>
              <w:fldChar w:fldCharType="separate"/>
            </w:r>
            <w:r w:rsidR="004249DD">
              <w:rPr>
                <w:lang w:eastAsia="en-AU"/>
              </w:rPr>
              <w:t>5.1</w:t>
            </w:r>
            <w:r>
              <w:rPr>
                <w:lang w:eastAsia="en-AU"/>
              </w:rPr>
              <w:fldChar w:fldCharType="end"/>
            </w:r>
            <w:r>
              <w:rPr>
                <w:lang w:eastAsia="en-AU"/>
              </w:rPr>
              <w:tab/>
            </w:r>
            <w:r>
              <w:rPr>
                <w:lang w:eastAsia="en-AU"/>
              </w:rPr>
              <w:fldChar w:fldCharType="begin"/>
            </w:r>
            <w:r>
              <w:rPr>
                <w:lang w:eastAsia="en-AU"/>
              </w:rPr>
              <w:instrText xml:space="preserve"> REF _Ref156496391 \h </w:instrText>
            </w:r>
            <w:r>
              <w:rPr>
                <w:lang w:eastAsia="en-AU"/>
              </w:rPr>
            </w:r>
            <w:r>
              <w:rPr>
                <w:lang w:eastAsia="en-AU"/>
              </w:rPr>
              <w:fldChar w:fldCharType="separate"/>
            </w:r>
            <w:r w:rsidR="004249DD">
              <w:t>The issue</w:t>
            </w:r>
            <w:r>
              <w:rPr>
                <w:lang w:eastAsia="en-AU"/>
              </w:rPr>
              <w:fldChar w:fldCharType="end"/>
            </w:r>
          </w:p>
        </w:tc>
        <w:tc>
          <w:tcPr>
            <w:tcW w:w="1000" w:type="dxa"/>
            <w:shd w:val="clear" w:color="auto" w:fill="auto"/>
            <w:vAlign w:val="bottom"/>
          </w:tcPr>
          <w:p w14:paraId="052DE1B8" w14:textId="67E7BAC9" w:rsidR="00D029CF" w:rsidRDefault="00D029CF" w:rsidP="00640103">
            <w:pPr>
              <w:spacing w:before="120" w:after="60" w:line="240" w:lineRule="auto"/>
              <w:jc w:val="right"/>
              <w:rPr>
                <w:szCs w:val="24"/>
              </w:rPr>
            </w:pPr>
            <w:r>
              <w:rPr>
                <w:szCs w:val="24"/>
              </w:rPr>
              <w:t>[55]</w:t>
            </w:r>
          </w:p>
        </w:tc>
      </w:tr>
      <w:tr w:rsidR="00D029CF" w:rsidRPr="00D326DB" w14:paraId="64F8E483" w14:textId="77777777" w:rsidTr="00D029CF">
        <w:tc>
          <w:tcPr>
            <w:tcW w:w="8291" w:type="dxa"/>
            <w:shd w:val="clear" w:color="auto" w:fill="auto"/>
          </w:tcPr>
          <w:p w14:paraId="3C925223" w14:textId="685BB605" w:rsidR="00D029CF" w:rsidRPr="00D029CF" w:rsidRDefault="00D029CF" w:rsidP="00D029CF">
            <w:pPr>
              <w:pStyle w:val="FTOC6"/>
              <w:tabs>
                <w:tab w:val="clear" w:pos="9072"/>
              </w:tabs>
              <w:rPr>
                <w:lang w:eastAsia="en-AU"/>
              </w:rPr>
            </w:pPr>
            <w:r>
              <w:rPr>
                <w:lang w:eastAsia="en-AU"/>
              </w:rPr>
              <w:fldChar w:fldCharType="begin"/>
            </w:r>
            <w:r>
              <w:rPr>
                <w:lang w:eastAsia="en-AU"/>
              </w:rPr>
              <w:instrText xml:space="preserve"> REF _Ref156496392 \w \h </w:instrText>
            </w:r>
            <w:r>
              <w:rPr>
                <w:lang w:eastAsia="en-AU"/>
              </w:rPr>
            </w:r>
            <w:r>
              <w:rPr>
                <w:lang w:eastAsia="en-AU"/>
              </w:rPr>
              <w:fldChar w:fldCharType="separate"/>
            </w:r>
            <w:r w:rsidR="004249DD">
              <w:rPr>
                <w:lang w:eastAsia="en-AU"/>
              </w:rPr>
              <w:t>5.2</w:t>
            </w:r>
            <w:r>
              <w:rPr>
                <w:lang w:eastAsia="en-AU"/>
              </w:rPr>
              <w:fldChar w:fldCharType="end"/>
            </w:r>
            <w:r>
              <w:rPr>
                <w:lang w:eastAsia="en-AU"/>
              </w:rPr>
              <w:tab/>
            </w:r>
            <w:r>
              <w:rPr>
                <w:lang w:eastAsia="en-AU"/>
              </w:rPr>
              <w:fldChar w:fldCharType="begin"/>
            </w:r>
            <w:r>
              <w:rPr>
                <w:lang w:eastAsia="en-AU"/>
              </w:rPr>
              <w:instrText xml:space="preserve"> REF _Ref156496392 \h </w:instrText>
            </w:r>
            <w:r>
              <w:rPr>
                <w:lang w:eastAsia="en-AU"/>
              </w:rPr>
            </w:r>
            <w:r>
              <w:rPr>
                <w:lang w:eastAsia="en-AU"/>
              </w:rPr>
              <w:fldChar w:fldCharType="separate"/>
            </w:r>
            <w:r w:rsidR="004249DD">
              <w:t>Salient aspects of the chronology</w:t>
            </w:r>
            <w:r>
              <w:rPr>
                <w:lang w:eastAsia="en-AU"/>
              </w:rPr>
              <w:fldChar w:fldCharType="end"/>
            </w:r>
          </w:p>
        </w:tc>
        <w:tc>
          <w:tcPr>
            <w:tcW w:w="1000" w:type="dxa"/>
            <w:shd w:val="clear" w:color="auto" w:fill="auto"/>
            <w:vAlign w:val="bottom"/>
          </w:tcPr>
          <w:p w14:paraId="5465EB18" w14:textId="3085CB3E" w:rsidR="00D029CF" w:rsidRDefault="00D029CF" w:rsidP="00640103">
            <w:pPr>
              <w:spacing w:before="120" w:after="60" w:line="240" w:lineRule="auto"/>
              <w:jc w:val="right"/>
              <w:rPr>
                <w:szCs w:val="24"/>
              </w:rPr>
            </w:pPr>
            <w:r>
              <w:rPr>
                <w:szCs w:val="24"/>
              </w:rPr>
              <w:t>[57]</w:t>
            </w:r>
          </w:p>
        </w:tc>
      </w:tr>
      <w:tr w:rsidR="00D029CF" w:rsidRPr="00D326DB" w14:paraId="7E4D327F" w14:textId="77777777" w:rsidTr="00D029CF">
        <w:tc>
          <w:tcPr>
            <w:tcW w:w="8291" w:type="dxa"/>
            <w:shd w:val="clear" w:color="auto" w:fill="auto"/>
          </w:tcPr>
          <w:p w14:paraId="1ABBED31" w14:textId="4A231462" w:rsidR="00D029CF" w:rsidRPr="00D029CF" w:rsidRDefault="00D029CF" w:rsidP="00D029CF">
            <w:pPr>
              <w:pStyle w:val="FTOC6"/>
              <w:tabs>
                <w:tab w:val="clear" w:pos="9072"/>
              </w:tabs>
              <w:rPr>
                <w:lang w:eastAsia="en-AU"/>
              </w:rPr>
            </w:pPr>
            <w:r>
              <w:rPr>
                <w:lang w:eastAsia="en-AU"/>
              </w:rPr>
              <w:fldChar w:fldCharType="begin"/>
            </w:r>
            <w:r>
              <w:rPr>
                <w:lang w:eastAsia="en-AU"/>
              </w:rPr>
              <w:instrText xml:space="preserve"> REF _Ref156496393 \w \h </w:instrText>
            </w:r>
            <w:r>
              <w:rPr>
                <w:lang w:eastAsia="en-AU"/>
              </w:rPr>
            </w:r>
            <w:r>
              <w:rPr>
                <w:lang w:eastAsia="en-AU"/>
              </w:rPr>
              <w:fldChar w:fldCharType="separate"/>
            </w:r>
            <w:r w:rsidR="004249DD">
              <w:rPr>
                <w:lang w:eastAsia="en-AU"/>
              </w:rPr>
              <w:t>5.3</w:t>
            </w:r>
            <w:r>
              <w:rPr>
                <w:lang w:eastAsia="en-AU"/>
              </w:rPr>
              <w:fldChar w:fldCharType="end"/>
            </w:r>
            <w:r>
              <w:rPr>
                <w:lang w:eastAsia="en-AU"/>
              </w:rPr>
              <w:tab/>
            </w:r>
            <w:r>
              <w:rPr>
                <w:lang w:eastAsia="en-AU"/>
              </w:rPr>
              <w:fldChar w:fldCharType="begin"/>
            </w:r>
            <w:r>
              <w:rPr>
                <w:lang w:eastAsia="en-AU"/>
              </w:rPr>
              <w:instrText xml:space="preserve"> REF _Ref156496393 \h </w:instrText>
            </w:r>
            <w:r>
              <w:rPr>
                <w:lang w:eastAsia="en-AU"/>
              </w:rPr>
            </w:r>
            <w:r>
              <w:rPr>
                <w:lang w:eastAsia="en-AU"/>
              </w:rPr>
              <w:fldChar w:fldCharType="separate"/>
            </w:r>
            <w:r w:rsidR="004249DD">
              <w:t>Disposition of ground two</w:t>
            </w:r>
            <w:r>
              <w:rPr>
                <w:lang w:eastAsia="en-AU"/>
              </w:rPr>
              <w:fldChar w:fldCharType="end"/>
            </w:r>
          </w:p>
        </w:tc>
        <w:tc>
          <w:tcPr>
            <w:tcW w:w="1000" w:type="dxa"/>
            <w:shd w:val="clear" w:color="auto" w:fill="auto"/>
            <w:vAlign w:val="bottom"/>
          </w:tcPr>
          <w:p w14:paraId="3687441F" w14:textId="450C7776" w:rsidR="00D029CF" w:rsidRDefault="00D029CF" w:rsidP="00640103">
            <w:pPr>
              <w:spacing w:before="120" w:after="60" w:line="240" w:lineRule="auto"/>
              <w:jc w:val="right"/>
              <w:rPr>
                <w:szCs w:val="24"/>
              </w:rPr>
            </w:pPr>
            <w:r>
              <w:rPr>
                <w:szCs w:val="24"/>
              </w:rPr>
              <w:t>[68]</w:t>
            </w:r>
          </w:p>
        </w:tc>
      </w:tr>
      <w:tr w:rsidR="00D029CF" w:rsidRPr="00D326DB" w14:paraId="382BC452" w14:textId="77777777" w:rsidTr="00D029CF">
        <w:tc>
          <w:tcPr>
            <w:tcW w:w="8291" w:type="dxa"/>
            <w:shd w:val="clear" w:color="auto" w:fill="auto"/>
          </w:tcPr>
          <w:p w14:paraId="64B1832D" w14:textId="71EC6E88" w:rsidR="00D029CF" w:rsidRPr="00D029CF" w:rsidRDefault="00D029CF" w:rsidP="00D029CF">
            <w:pPr>
              <w:pStyle w:val="FTOC7"/>
              <w:tabs>
                <w:tab w:val="clear" w:pos="9072"/>
              </w:tabs>
              <w:rPr>
                <w:lang w:eastAsia="en-AU"/>
              </w:rPr>
            </w:pPr>
            <w:r>
              <w:rPr>
                <w:lang w:eastAsia="en-AU"/>
              </w:rPr>
              <w:fldChar w:fldCharType="begin"/>
            </w:r>
            <w:r>
              <w:rPr>
                <w:lang w:eastAsia="en-AU"/>
              </w:rPr>
              <w:instrText xml:space="preserve"> REF _Ref156496394 \w \h </w:instrText>
            </w:r>
            <w:r>
              <w:rPr>
                <w:lang w:eastAsia="en-AU"/>
              </w:rPr>
            </w:r>
            <w:r>
              <w:rPr>
                <w:lang w:eastAsia="en-AU"/>
              </w:rPr>
              <w:fldChar w:fldCharType="separate"/>
            </w:r>
            <w:r w:rsidR="004249DD">
              <w:rPr>
                <w:lang w:eastAsia="en-AU"/>
              </w:rPr>
              <w:t>5.3.1</w:t>
            </w:r>
            <w:r>
              <w:rPr>
                <w:lang w:eastAsia="en-AU"/>
              </w:rPr>
              <w:fldChar w:fldCharType="end"/>
            </w:r>
            <w:r>
              <w:rPr>
                <w:lang w:eastAsia="en-AU"/>
              </w:rPr>
              <w:tab/>
            </w:r>
            <w:r>
              <w:rPr>
                <w:lang w:eastAsia="en-AU"/>
              </w:rPr>
              <w:fldChar w:fldCharType="begin"/>
            </w:r>
            <w:r>
              <w:rPr>
                <w:lang w:eastAsia="en-AU"/>
              </w:rPr>
              <w:instrText xml:space="preserve"> REF _Ref156496394 \h </w:instrText>
            </w:r>
            <w:r>
              <w:rPr>
                <w:lang w:eastAsia="en-AU"/>
              </w:rPr>
            </w:r>
            <w:r>
              <w:rPr>
                <w:lang w:eastAsia="en-AU"/>
              </w:rPr>
              <w:fldChar w:fldCharType="separate"/>
            </w:r>
            <w:r w:rsidR="004249DD">
              <w:t>The period before the positive defence</w:t>
            </w:r>
            <w:r>
              <w:rPr>
                <w:lang w:eastAsia="en-AU"/>
              </w:rPr>
              <w:fldChar w:fldCharType="end"/>
            </w:r>
          </w:p>
        </w:tc>
        <w:tc>
          <w:tcPr>
            <w:tcW w:w="1000" w:type="dxa"/>
            <w:shd w:val="clear" w:color="auto" w:fill="auto"/>
            <w:vAlign w:val="bottom"/>
          </w:tcPr>
          <w:p w14:paraId="09024C0A" w14:textId="336D748E" w:rsidR="00D029CF" w:rsidRDefault="00D029CF" w:rsidP="00640103">
            <w:pPr>
              <w:spacing w:before="120" w:after="60" w:line="240" w:lineRule="auto"/>
              <w:jc w:val="right"/>
              <w:rPr>
                <w:szCs w:val="24"/>
              </w:rPr>
            </w:pPr>
            <w:r>
              <w:rPr>
                <w:szCs w:val="24"/>
              </w:rPr>
              <w:t>[68]</w:t>
            </w:r>
          </w:p>
        </w:tc>
      </w:tr>
      <w:tr w:rsidR="00D029CF" w:rsidRPr="00D326DB" w14:paraId="5C7E970E" w14:textId="77777777" w:rsidTr="00D029CF">
        <w:tc>
          <w:tcPr>
            <w:tcW w:w="8291" w:type="dxa"/>
            <w:shd w:val="clear" w:color="auto" w:fill="auto"/>
          </w:tcPr>
          <w:p w14:paraId="1116AC2F" w14:textId="573A3712" w:rsidR="00D029CF" w:rsidRPr="00D029CF" w:rsidRDefault="00D029CF" w:rsidP="00D029CF">
            <w:pPr>
              <w:pStyle w:val="FTOC7"/>
              <w:tabs>
                <w:tab w:val="clear" w:pos="9072"/>
              </w:tabs>
              <w:rPr>
                <w:lang w:eastAsia="en-AU"/>
              </w:rPr>
            </w:pPr>
            <w:r>
              <w:rPr>
                <w:lang w:eastAsia="en-AU"/>
              </w:rPr>
              <w:fldChar w:fldCharType="begin"/>
            </w:r>
            <w:r>
              <w:rPr>
                <w:lang w:eastAsia="en-AU"/>
              </w:rPr>
              <w:instrText xml:space="preserve"> REF _Ref156496395 \w \h </w:instrText>
            </w:r>
            <w:r>
              <w:rPr>
                <w:lang w:eastAsia="en-AU"/>
              </w:rPr>
            </w:r>
            <w:r>
              <w:rPr>
                <w:lang w:eastAsia="en-AU"/>
              </w:rPr>
              <w:fldChar w:fldCharType="separate"/>
            </w:r>
            <w:r w:rsidR="004249DD">
              <w:rPr>
                <w:lang w:eastAsia="en-AU"/>
              </w:rPr>
              <w:t>5.3.2</w:t>
            </w:r>
            <w:r>
              <w:rPr>
                <w:lang w:eastAsia="en-AU"/>
              </w:rPr>
              <w:fldChar w:fldCharType="end"/>
            </w:r>
            <w:r>
              <w:rPr>
                <w:lang w:eastAsia="en-AU"/>
              </w:rPr>
              <w:tab/>
            </w:r>
            <w:r>
              <w:rPr>
                <w:lang w:eastAsia="en-AU"/>
              </w:rPr>
              <w:fldChar w:fldCharType="begin"/>
            </w:r>
            <w:r>
              <w:rPr>
                <w:lang w:eastAsia="en-AU"/>
              </w:rPr>
              <w:instrText xml:space="preserve"> REF _Ref156496395 \h </w:instrText>
            </w:r>
            <w:r>
              <w:rPr>
                <w:lang w:eastAsia="en-AU"/>
              </w:rPr>
            </w:r>
            <w:r>
              <w:rPr>
                <w:lang w:eastAsia="en-AU"/>
              </w:rPr>
              <w:fldChar w:fldCharType="separate"/>
            </w:r>
            <w:r w:rsidR="004249DD">
              <w:t>The period from the positive defence</w:t>
            </w:r>
            <w:r>
              <w:rPr>
                <w:lang w:eastAsia="en-AU"/>
              </w:rPr>
              <w:fldChar w:fldCharType="end"/>
            </w:r>
          </w:p>
        </w:tc>
        <w:tc>
          <w:tcPr>
            <w:tcW w:w="1000" w:type="dxa"/>
            <w:shd w:val="clear" w:color="auto" w:fill="auto"/>
            <w:vAlign w:val="bottom"/>
          </w:tcPr>
          <w:p w14:paraId="2DD84292" w14:textId="334735C7" w:rsidR="00D029CF" w:rsidRDefault="00D029CF" w:rsidP="00640103">
            <w:pPr>
              <w:spacing w:before="120" w:after="60" w:line="240" w:lineRule="auto"/>
              <w:jc w:val="right"/>
              <w:rPr>
                <w:szCs w:val="24"/>
              </w:rPr>
            </w:pPr>
            <w:r>
              <w:rPr>
                <w:szCs w:val="24"/>
              </w:rPr>
              <w:t>[79]</w:t>
            </w:r>
          </w:p>
        </w:tc>
      </w:tr>
      <w:tr w:rsidR="00D029CF" w:rsidRPr="00D326DB" w14:paraId="2B94D959" w14:textId="77777777" w:rsidTr="00D029CF">
        <w:tc>
          <w:tcPr>
            <w:tcW w:w="8291" w:type="dxa"/>
            <w:shd w:val="clear" w:color="auto" w:fill="auto"/>
          </w:tcPr>
          <w:p w14:paraId="70BD3BE2" w14:textId="6F5C276E" w:rsidR="00D029CF" w:rsidRPr="00D029CF" w:rsidRDefault="00D029CF" w:rsidP="00D029CF">
            <w:pPr>
              <w:pStyle w:val="FTOC5"/>
              <w:tabs>
                <w:tab w:val="clear" w:pos="9072"/>
              </w:tabs>
              <w:rPr>
                <w:lang w:eastAsia="en-AU"/>
              </w:rPr>
            </w:pPr>
            <w:r>
              <w:rPr>
                <w:lang w:eastAsia="en-AU"/>
              </w:rPr>
              <w:fldChar w:fldCharType="begin"/>
            </w:r>
            <w:r>
              <w:rPr>
                <w:lang w:eastAsia="en-AU"/>
              </w:rPr>
              <w:instrText xml:space="preserve"> REF _Ref156496396 \w \h </w:instrText>
            </w:r>
            <w:r>
              <w:rPr>
                <w:lang w:eastAsia="en-AU"/>
              </w:rPr>
            </w:r>
            <w:r>
              <w:rPr>
                <w:lang w:eastAsia="en-AU"/>
              </w:rPr>
              <w:fldChar w:fldCharType="separate"/>
            </w:r>
            <w:r w:rsidR="004249DD">
              <w:rPr>
                <w:lang w:eastAsia="en-AU"/>
              </w:rPr>
              <w:t>6</w:t>
            </w:r>
            <w:r>
              <w:rPr>
                <w:lang w:eastAsia="en-AU"/>
              </w:rPr>
              <w:fldChar w:fldCharType="end"/>
            </w:r>
            <w:r>
              <w:rPr>
                <w:lang w:eastAsia="en-AU"/>
              </w:rPr>
              <w:tab/>
            </w:r>
            <w:r>
              <w:rPr>
                <w:lang w:eastAsia="en-AU"/>
              </w:rPr>
              <w:fldChar w:fldCharType="begin"/>
            </w:r>
            <w:r>
              <w:rPr>
                <w:lang w:eastAsia="en-AU"/>
              </w:rPr>
              <w:instrText xml:space="preserve"> REF _Ref156496396 \h </w:instrText>
            </w:r>
            <w:r>
              <w:rPr>
                <w:lang w:eastAsia="en-AU"/>
              </w:rPr>
            </w:r>
            <w:r>
              <w:rPr>
                <w:lang w:eastAsia="en-AU"/>
              </w:rPr>
              <w:fldChar w:fldCharType="separate"/>
            </w:r>
            <w:r w:rsidR="004249DD">
              <w:t>SHOULD COSTS BE AWARDED IN A LUMP SUM?</w:t>
            </w:r>
            <w:r>
              <w:rPr>
                <w:lang w:eastAsia="en-AU"/>
              </w:rPr>
              <w:fldChar w:fldCharType="end"/>
            </w:r>
          </w:p>
        </w:tc>
        <w:tc>
          <w:tcPr>
            <w:tcW w:w="1000" w:type="dxa"/>
            <w:shd w:val="clear" w:color="auto" w:fill="auto"/>
            <w:vAlign w:val="bottom"/>
          </w:tcPr>
          <w:p w14:paraId="26AF3BC6" w14:textId="25AE1531" w:rsidR="00D029CF" w:rsidRDefault="00D029CF" w:rsidP="00640103">
            <w:pPr>
              <w:spacing w:before="120" w:after="60" w:line="240" w:lineRule="auto"/>
              <w:jc w:val="right"/>
              <w:rPr>
                <w:szCs w:val="24"/>
              </w:rPr>
            </w:pPr>
            <w:r>
              <w:rPr>
                <w:szCs w:val="24"/>
              </w:rPr>
              <w:t>[87]</w:t>
            </w:r>
          </w:p>
        </w:tc>
      </w:tr>
      <w:tr w:rsidR="00D029CF" w:rsidRPr="00D326DB" w14:paraId="2E96693F" w14:textId="77777777" w:rsidTr="00D029CF">
        <w:tc>
          <w:tcPr>
            <w:tcW w:w="8291" w:type="dxa"/>
            <w:shd w:val="clear" w:color="auto" w:fill="auto"/>
          </w:tcPr>
          <w:p w14:paraId="419920DB" w14:textId="2126D50E" w:rsidR="00D029CF" w:rsidRPr="00D029CF" w:rsidRDefault="00D029CF" w:rsidP="00D029CF">
            <w:pPr>
              <w:pStyle w:val="FTOC5"/>
              <w:tabs>
                <w:tab w:val="clear" w:pos="9072"/>
              </w:tabs>
              <w:rPr>
                <w:lang w:eastAsia="en-AU"/>
              </w:rPr>
            </w:pPr>
            <w:r>
              <w:rPr>
                <w:lang w:eastAsia="en-AU"/>
              </w:rPr>
              <w:fldChar w:fldCharType="begin"/>
            </w:r>
            <w:r>
              <w:rPr>
                <w:lang w:eastAsia="en-AU"/>
              </w:rPr>
              <w:instrText xml:space="preserve"> REF _Ref156496397 \w \h </w:instrText>
            </w:r>
            <w:r>
              <w:rPr>
                <w:lang w:eastAsia="en-AU"/>
              </w:rPr>
            </w:r>
            <w:r>
              <w:rPr>
                <w:lang w:eastAsia="en-AU"/>
              </w:rPr>
              <w:fldChar w:fldCharType="separate"/>
            </w:r>
            <w:r w:rsidR="004249DD">
              <w:rPr>
                <w:lang w:eastAsia="en-AU"/>
              </w:rPr>
              <w:t>7</w:t>
            </w:r>
            <w:r>
              <w:rPr>
                <w:lang w:eastAsia="en-AU"/>
              </w:rPr>
              <w:fldChar w:fldCharType="end"/>
            </w:r>
            <w:r>
              <w:rPr>
                <w:lang w:eastAsia="en-AU"/>
              </w:rPr>
              <w:tab/>
            </w:r>
            <w:r>
              <w:rPr>
                <w:lang w:eastAsia="en-AU"/>
              </w:rPr>
              <w:fldChar w:fldCharType="begin"/>
            </w:r>
            <w:r>
              <w:rPr>
                <w:lang w:eastAsia="en-AU"/>
              </w:rPr>
              <w:instrText xml:space="preserve"> REF _Ref156496397 \h </w:instrText>
            </w:r>
            <w:r>
              <w:rPr>
                <w:lang w:eastAsia="en-AU"/>
              </w:rPr>
            </w:r>
            <w:r>
              <w:rPr>
                <w:lang w:eastAsia="en-AU"/>
              </w:rPr>
              <w:fldChar w:fldCharType="separate"/>
            </w:r>
            <w:r w:rsidR="004249DD">
              <w:t>CONCLUSION</w:t>
            </w:r>
            <w:r>
              <w:rPr>
                <w:lang w:eastAsia="en-AU"/>
              </w:rPr>
              <w:fldChar w:fldCharType="end"/>
            </w:r>
          </w:p>
        </w:tc>
        <w:tc>
          <w:tcPr>
            <w:tcW w:w="1000" w:type="dxa"/>
            <w:shd w:val="clear" w:color="auto" w:fill="auto"/>
            <w:vAlign w:val="bottom"/>
          </w:tcPr>
          <w:p w14:paraId="2A8E4268" w14:textId="1F2113CF" w:rsidR="00D029CF" w:rsidRDefault="00D029CF" w:rsidP="00640103">
            <w:pPr>
              <w:spacing w:before="120" w:after="60" w:line="240" w:lineRule="auto"/>
              <w:jc w:val="right"/>
              <w:rPr>
                <w:szCs w:val="24"/>
              </w:rPr>
            </w:pPr>
            <w:r>
              <w:rPr>
                <w:szCs w:val="24"/>
              </w:rPr>
              <w:t>[102]</w:t>
            </w:r>
          </w:p>
        </w:tc>
      </w:tr>
    </w:tbl>
    <w:p w14:paraId="202E8D9C" w14:textId="6D0A1F15" w:rsidR="005C4BD4" w:rsidRDefault="008F3E79" w:rsidP="008F3E79">
      <w:pPr>
        <w:pStyle w:val="Heading5"/>
        <w:numPr>
          <w:ilvl w:val="0"/>
          <w:numId w:val="0"/>
        </w:numPr>
        <w:tabs>
          <w:tab w:val="left" w:pos="1134"/>
        </w:tabs>
        <w:ind w:left="1134" w:hanging="1134"/>
      </w:pPr>
      <w:bookmarkStart w:id="21" w:name="_Ref156496384"/>
      <w:bookmarkEnd w:id="20"/>
      <w:r>
        <w:t>1.</w:t>
      </w:r>
      <w:r>
        <w:tab/>
      </w:r>
      <w:r w:rsidR="005C4BD4">
        <w:t>INTRODUCTION</w:t>
      </w:r>
      <w:bookmarkEnd w:id="21"/>
      <w:r w:rsidR="005C4BD4">
        <w:t xml:space="preserve"> </w:t>
      </w:r>
    </w:p>
    <w:p w14:paraId="3FAEC42E" w14:textId="35CF4EAD" w:rsidR="00C91587" w:rsidRDefault="008F3E79" w:rsidP="008F3E79">
      <w:pPr>
        <w:pStyle w:val="ParaNumbering"/>
        <w:numPr>
          <w:ilvl w:val="0"/>
          <w:numId w:val="0"/>
        </w:numPr>
        <w:ind w:hanging="720"/>
      </w:pPr>
      <w:r>
        <w:rPr>
          <w:sz w:val="20"/>
        </w:rPr>
        <w:t>1</w:t>
      </w:r>
      <w:r>
        <w:rPr>
          <w:sz w:val="20"/>
        </w:rPr>
        <w:tab/>
      </w:r>
      <w:r w:rsidR="00C91587">
        <w:t>This case raises an important</w:t>
      </w:r>
      <w:r w:rsidR="00317587">
        <w:t xml:space="preserve"> and </w:t>
      </w:r>
      <w:r w:rsidR="00DC5345">
        <w:t xml:space="preserve">apparently </w:t>
      </w:r>
      <w:r w:rsidR="00317587">
        <w:t>novel</w:t>
      </w:r>
      <w:r w:rsidR="00C91587">
        <w:t xml:space="preserve"> question </w:t>
      </w:r>
      <w:r w:rsidR="00570731">
        <w:t xml:space="preserve">concerning </w:t>
      </w:r>
      <w:r w:rsidR="00C91587">
        <w:t xml:space="preserve">the award of </w:t>
      </w:r>
      <w:r w:rsidR="00570731">
        <w:t xml:space="preserve">indemnity </w:t>
      </w:r>
      <w:r w:rsidR="00C91587">
        <w:t>costs in circumstances where a</w:t>
      </w:r>
      <w:r w:rsidR="00FA1A42">
        <w:t xml:space="preserve">n applicant has been successful in setting aside a judgment </w:t>
      </w:r>
      <w:r w:rsidR="00570731">
        <w:t>on the ground it was</w:t>
      </w:r>
      <w:r w:rsidR="002F7853">
        <w:t xml:space="preserve"> procured by a fraud on the Court.  </w:t>
      </w:r>
    </w:p>
    <w:p w14:paraId="2F90C257" w14:textId="6B26426D" w:rsidR="00CD1346" w:rsidRDefault="008F3E79" w:rsidP="008F3E79">
      <w:pPr>
        <w:pStyle w:val="ParaNumbering"/>
        <w:numPr>
          <w:ilvl w:val="0"/>
          <w:numId w:val="0"/>
        </w:numPr>
        <w:ind w:hanging="720"/>
      </w:pPr>
      <w:r>
        <w:rPr>
          <w:sz w:val="20"/>
        </w:rPr>
        <w:t>2</w:t>
      </w:r>
      <w:r>
        <w:rPr>
          <w:sz w:val="20"/>
        </w:rPr>
        <w:tab/>
      </w:r>
      <w:r w:rsidR="007C47C0">
        <w:t xml:space="preserve">The applicant, the </w:t>
      </w:r>
      <w:r w:rsidR="007C47C0" w:rsidRPr="004D37E2">
        <w:rPr>
          <w:b/>
          <w:bCs/>
        </w:rPr>
        <w:t>Commissioner</w:t>
      </w:r>
      <w:r w:rsidR="007C47C0">
        <w:t xml:space="preserve"> of Taxation, seeks</w:t>
      </w:r>
      <w:r w:rsidR="004473A0">
        <w:t xml:space="preserve"> indemnity costs against the respondent, </w:t>
      </w:r>
      <w:r w:rsidR="004473A0">
        <w:rPr>
          <w:b/>
          <w:bCs/>
        </w:rPr>
        <w:t xml:space="preserve">Rawson </w:t>
      </w:r>
      <w:r w:rsidR="004473A0">
        <w:t>Finances Pty Ltd</w:t>
      </w:r>
      <w:r w:rsidR="00263135">
        <w:t xml:space="preserve">, </w:t>
      </w:r>
      <w:r w:rsidR="00A562C5">
        <w:t xml:space="preserve">fixed in the amount of $3,557,432.89 </w:t>
      </w:r>
      <w:r w:rsidR="00263135">
        <w:t xml:space="preserve">following </w:t>
      </w:r>
      <w:r w:rsidR="004473A0">
        <w:t>judgment</w:t>
      </w:r>
      <w:r w:rsidR="007C47C0">
        <w:t xml:space="preserve"> </w:t>
      </w:r>
      <w:r w:rsidR="004473A0">
        <w:t>on the substantive issues</w:t>
      </w:r>
      <w:r w:rsidR="000A1206">
        <w:t xml:space="preserve"> in which the Commissioner was wholly successful</w:t>
      </w:r>
      <w:r w:rsidR="00E24773">
        <w:t xml:space="preserve">: </w:t>
      </w:r>
      <w:r w:rsidR="00E24773" w:rsidRPr="00F14799">
        <w:rPr>
          <w:i/>
          <w:iCs/>
        </w:rPr>
        <w:t xml:space="preserve">Commissioner of Taxation v Rawson Finances Pty Ltd </w:t>
      </w:r>
      <w:r w:rsidR="00E24773" w:rsidRPr="00F14799">
        <w:t>[2023] FCA 617</w:t>
      </w:r>
      <w:r w:rsidR="00E24773">
        <w:t xml:space="preserve"> (</w:t>
      </w:r>
      <w:r w:rsidR="00E24773" w:rsidRPr="002461F2">
        <w:rPr>
          <w:b/>
          <w:bCs/>
          <w:i/>
          <w:iCs/>
        </w:rPr>
        <w:t>Rawson Primary Judgment</w:t>
      </w:r>
      <w:r w:rsidR="00E24773">
        <w:t xml:space="preserve">).  </w:t>
      </w:r>
      <w:r w:rsidR="000339A3">
        <w:t xml:space="preserve">By </w:t>
      </w:r>
      <w:r w:rsidR="00F25301">
        <w:t xml:space="preserve">the </w:t>
      </w:r>
      <w:r w:rsidR="00F25301">
        <w:rPr>
          <w:i/>
          <w:iCs/>
        </w:rPr>
        <w:t>Rawson Primary Judgment</w:t>
      </w:r>
      <w:r w:rsidR="000339A3">
        <w:t xml:space="preserve">, </w:t>
      </w:r>
      <w:r w:rsidR="00C1102B">
        <w:t xml:space="preserve">the Court </w:t>
      </w:r>
      <w:r w:rsidR="003233FF">
        <w:t>set aside</w:t>
      </w:r>
      <w:r w:rsidR="0083604D">
        <w:t xml:space="preserve"> orders made by the Full</w:t>
      </w:r>
      <w:r w:rsidR="00E24773">
        <w:t xml:space="preserve"> Court of the Federal Court in </w:t>
      </w:r>
      <w:r w:rsidR="00E24773" w:rsidRPr="00F14799">
        <w:rPr>
          <w:i/>
          <w:iCs/>
        </w:rPr>
        <w:t>Rawson Finances Pty Ltd v Commissioner of Taxation</w:t>
      </w:r>
      <w:r w:rsidR="00E24773" w:rsidRPr="00F14799">
        <w:t xml:space="preserve"> [2013] FCAFC 26</w:t>
      </w:r>
      <w:r w:rsidR="006F6046" w:rsidRPr="00F14799">
        <w:t>; (2013) 133 ALD 39</w:t>
      </w:r>
      <w:r w:rsidR="00340A6A">
        <w:t xml:space="preserve"> (</w:t>
      </w:r>
      <w:r w:rsidR="00340A6A">
        <w:rPr>
          <w:i/>
          <w:iCs/>
        </w:rPr>
        <w:t>Rawson FCAFC</w:t>
      </w:r>
      <w:r w:rsidR="00340A6A">
        <w:t>)</w:t>
      </w:r>
      <w:r w:rsidR="00402007">
        <w:t xml:space="preserve">, on the </w:t>
      </w:r>
      <w:r w:rsidR="006F6046">
        <w:t>basis</w:t>
      </w:r>
      <w:r w:rsidR="00402007">
        <w:t xml:space="preserve"> that</w:t>
      </w:r>
      <w:r w:rsidR="003233FF">
        <w:t xml:space="preserve"> </w:t>
      </w:r>
      <w:r w:rsidR="006F6046">
        <w:t>the judgment</w:t>
      </w:r>
      <w:r w:rsidR="0083604D">
        <w:t xml:space="preserve"> was procured by fraud. </w:t>
      </w:r>
      <w:r w:rsidR="00126879">
        <w:t xml:space="preserve"> </w:t>
      </w:r>
      <w:r w:rsidR="00F25301">
        <w:t xml:space="preserve">The Court </w:t>
      </w:r>
      <w:r w:rsidR="00D11926">
        <w:t xml:space="preserve">also </w:t>
      </w:r>
      <w:r w:rsidR="00DE4D01">
        <w:t xml:space="preserve">held </w:t>
      </w:r>
      <w:r w:rsidR="0081618F">
        <w:t xml:space="preserve">in the </w:t>
      </w:r>
      <w:r w:rsidR="0081618F">
        <w:rPr>
          <w:i/>
          <w:iCs/>
        </w:rPr>
        <w:t xml:space="preserve">Rawson Primary Judgment </w:t>
      </w:r>
      <w:r w:rsidR="00126879">
        <w:t xml:space="preserve">that the </w:t>
      </w:r>
      <w:r w:rsidR="00932639">
        <w:t xml:space="preserve">related </w:t>
      </w:r>
      <w:r w:rsidR="00E312EF">
        <w:t>decision of the Administrative Appeals Tribunal (</w:t>
      </w:r>
      <w:r w:rsidR="00E312EF">
        <w:rPr>
          <w:b/>
          <w:bCs/>
        </w:rPr>
        <w:t>AAT</w:t>
      </w:r>
      <w:r w:rsidR="00E312EF">
        <w:t xml:space="preserve">) </w:t>
      </w:r>
      <w:r w:rsidR="0014443A" w:rsidRPr="0014443A">
        <w:t xml:space="preserve">in </w:t>
      </w:r>
      <w:r w:rsidR="0014443A" w:rsidRPr="00F14799">
        <w:rPr>
          <w:i/>
          <w:iCs/>
        </w:rPr>
        <w:t xml:space="preserve">Re </w:t>
      </w:r>
      <w:proofErr w:type="spellStart"/>
      <w:r w:rsidR="0014443A" w:rsidRPr="00F14799">
        <w:rPr>
          <w:i/>
          <w:iCs/>
        </w:rPr>
        <w:t>Areffco</w:t>
      </w:r>
      <w:proofErr w:type="spellEnd"/>
      <w:r w:rsidR="0014443A" w:rsidRPr="00F14799">
        <w:rPr>
          <w:i/>
          <w:iCs/>
        </w:rPr>
        <w:t xml:space="preserve"> and Commissioner of Taxation</w:t>
      </w:r>
      <w:r w:rsidR="0014443A" w:rsidRPr="00F14799">
        <w:t xml:space="preserve"> [2011] AATA 628; (2011) 84 ATR 924</w:t>
      </w:r>
      <w:r w:rsidR="0014443A" w:rsidRPr="0014443A">
        <w:t xml:space="preserve"> (</w:t>
      </w:r>
      <w:r w:rsidR="0014443A" w:rsidRPr="0014443A">
        <w:rPr>
          <w:i/>
          <w:iCs/>
        </w:rPr>
        <w:t>Rawson (AAT)</w:t>
      </w:r>
      <w:r w:rsidR="0014443A">
        <w:t xml:space="preserve">) was similarly </w:t>
      </w:r>
      <w:r w:rsidR="00117012">
        <w:t>procured by fraud.</w:t>
      </w:r>
      <w:r w:rsidR="0014443A">
        <w:t xml:space="preserve"> </w:t>
      </w:r>
    </w:p>
    <w:p w14:paraId="57AFD66B" w14:textId="62B8EB43" w:rsidR="00773B1C" w:rsidRDefault="008F3E79" w:rsidP="008F3E79">
      <w:pPr>
        <w:pStyle w:val="ParaNumbering"/>
        <w:numPr>
          <w:ilvl w:val="0"/>
          <w:numId w:val="0"/>
        </w:numPr>
        <w:ind w:hanging="720"/>
      </w:pPr>
      <w:r>
        <w:rPr>
          <w:sz w:val="20"/>
        </w:rPr>
        <w:lastRenderedPageBreak/>
        <w:t>3</w:t>
      </w:r>
      <w:r>
        <w:rPr>
          <w:sz w:val="20"/>
        </w:rPr>
        <w:tab/>
      </w:r>
      <w:r w:rsidR="0003043B">
        <w:t xml:space="preserve">Given that </w:t>
      </w:r>
      <w:r w:rsidR="00FC38B9">
        <w:t xml:space="preserve">the </w:t>
      </w:r>
      <w:r w:rsidR="00FC38B9" w:rsidRPr="00381944">
        <w:rPr>
          <w:bCs/>
        </w:rPr>
        <w:t>Commissioner</w:t>
      </w:r>
      <w:r w:rsidR="00FC38B9">
        <w:t xml:space="preserve"> </w:t>
      </w:r>
      <w:r w:rsidR="00C1102B">
        <w:t>was wholly successful</w:t>
      </w:r>
      <w:r w:rsidR="0003043B">
        <w:t>,</w:t>
      </w:r>
      <w:r w:rsidR="00DE4D01">
        <w:t xml:space="preserve"> Rawson</w:t>
      </w:r>
      <w:r w:rsidR="00D23506">
        <w:t xml:space="preserve"> accepts</w:t>
      </w:r>
      <w:r w:rsidR="00C1102B">
        <w:t xml:space="preserve"> that the</w:t>
      </w:r>
      <w:r w:rsidR="00FC38B9" w:rsidRPr="00FC38B9">
        <w:t xml:space="preserve"> </w:t>
      </w:r>
      <w:r w:rsidR="00FC38B9">
        <w:t>Commissioner</w:t>
      </w:r>
      <w:r w:rsidR="00DE4D01" w:rsidDel="00DE4D01">
        <w:t xml:space="preserve"> </w:t>
      </w:r>
      <w:r w:rsidR="00C1102B">
        <w:t xml:space="preserve">is </w:t>
      </w:r>
      <w:r w:rsidR="00610D07">
        <w:t xml:space="preserve">entitled to </w:t>
      </w:r>
      <w:r w:rsidR="00DE4D01">
        <w:t xml:space="preserve">his </w:t>
      </w:r>
      <w:r w:rsidR="00610D07">
        <w:t xml:space="preserve">costs </w:t>
      </w:r>
      <w:r w:rsidR="009A63A2">
        <w:t>of</w:t>
      </w:r>
      <w:r w:rsidR="00751CC6">
        <w:t xml:space="preserve"> </w:t>
      </w:r>
      <w:r w:rsidR="005466C7">
        <w:t xml:space="preserve">this </w:t>
      </w:r>
      <w:r w:rsidR="00751CC6">
        <w:t>proceeding</w:t>
      </w:r>
      <w:r w:rsidR="00424354">
        <w:t>.</w:t>
      </w:r>
      <w:r w:rsidR="00274D1A">
        <w:t xml:space="preserve">  </w:t>
      </w:r>
      <w:r w:rsidR="00D23506">
        <w:t xml:space="preserve">However, </w:t>
      </w:r>
      <w:r w:rsidR="00DE4D01">
        <w:t>Rawson</w:t>
      </w:r>
      <w:r w:rsidR="00D23506">
        <w:t xml:space="preserve"> opposes the </w:t>
      </w:r>
      <w:r w:rsidR="0083604D">
        <w:t xml:space="preserve">application that costs </w:t>
      </w:r>
      <w:r w:rsidR="00A562C5">
        <w:t xml:space="preserve">be awarded </w:t>
      </w:r>
      <w:r w:rsidR="0083604D">
        <w:t>on an indemnity basis</w:t>
      </w:r>
      <w:r w:rsidR="00DE4D01">
        <w:t xml:space="preserve">. </w:t>
      </w:r>
      <w:r w:rsidR="00507D7E">
        <w:t xml:space="preserve"> I</w:t>
      </w:r>
      <w:r w:rsidR="00507D7E" w:rsidRPr="00507D7E">
        <w:t xml:space="preserve">n the event that Rawson was unsuccessful </w:t>
      </w:r>
      <w:r w:rsidR="000D7D09">
        <w:t>in resisting</w:t>
      </w:r>
      <w:r w:rsidR="00507D7E" w:rsidRPr="00507D7E">
        <w:t xml:space="preserve"> the application for indemnity costs,</w:t>
      </w:r>
      <w:r w:rsidR="00C75B30" w:rsidRPr="00C75B30">
        <w:t xml:space="preserve"> </w:t>
      </w:r>
      <w:r w:rsidR="00325033">
        <w:t>it did not lead any evidence or make any submissions in opposition to the making of a lump sum costs order; nor did it put in issue the quantum of costs sought by the Commissioner.</w:t>
      </w:r>
    </w:p>
    <w:p w14:paraId="20F0E982" w14:textId="6CB123D7" w:rsidR="00A562C5" w:rsidRDefault="008F3E79" w:rsidP="008F3E79">
      <w:pPr>
        <w:pStyle w:val="ParaNumbering"/>
        <w:numPr>
          <w:ilvl w:val="0"/>
          <w:numId w:val="0"/>
        </w:numPr>
        <w:ind w:hanging="720"/>
      </w:pPr>
      <w:r>
        <w:rPr>
          <w:sz w:val="20"/>
        </w:rPr>
        <w:t>4</w:t>
      </w:r>
      <w:r>
        <w:rPr>
          <w:sz w:val="20"/>
        </w:rPr>
        <w:tab/>
      </w:r>
      <w:r w:rsidR="00773B1C">
        <w:t xml:space="preserve">The </w:t>
      </w:r>
      <w:r w:rsidR="00E84E04">
        <w:t xml:space="preserve">application </w:t>
      </w:r>
      <w:r w:rsidR="00794CDF">
        <w:t>for indemnity</w:t>
      </w:r>
      <w:r w:rsidR="00FE0355">
        <w:t xml:space="preserve"> costs</w:t>
      </w:r>
      <w:r w:rsidR="00794CDF">
        <w:t xml:space="preserve"> </w:t>
      </w:r>
      <w:r w:rsidR="00E84E04">
        <w:t>is made on two</w:t>
      </w:r>
      <w:r w:rsidR="00074A9E">
        <w:t xml:space="preserve"> separate</w:t>
      </w:r>
      <w:r w:rsidR="00E84E04">
        <w:t xml:space="preserve"> </w:t>
      </w:r>
      <w:r w:rsidR="00794CDF">
        <w:t xml:space="preserve">grounds.  </w:t>
      </w:r>
    </w:p>
    <w:p w14:paraId="190F5069" w14:textId="6201734C" w:rsidR="00A562C5" w:rsidRDefault="008F3E79" w:rsidP="008F3E79">
      <w:pPr>
        <w:pStyle w:val="ListNo1"/>
        <w:numPr>
          <w:ilvl w:val="0"/>
          <w:numId w:val="0"/>
        </w:numPr>
        <w:tabs>
          <w:tab w:val="left" w:pos="720"/>
        </w:tabs>
        <w:ind w:left="720" w:hanging="720"/>
      </w:pPr>
      <w:r>
        <w:t>(1)</w:t>
      </w:r>
      <w:r>
        <w:tab/>
      </w:r>
      <w:r w:rsidR="00E84E04">
        <w:t xml:space="preserve">First, the </w:t>
      </w:r>
      <w:r w:rsidR="004968CC">
        <w:t xml:space="preserve">Commissioner </w:t>
      </w:r>
      <w:r w:rsidR="00CA7B81">
        <w:t xml:space="preserve">submits that he </w:t>
      </w:r>
      <w:r w:rsidR="004968CC">
        <w:t>was acting in the public interest in taking steps to have the earlier</w:t>
      </w:r>
      <w:r w:rsidR="00341A69">
        <w:t xml:space="preserve"> Full Court decision set aside on the basis it was obtained by fraud</w:t>
      </w:r>
      <w:r w:rsidR="00F43ABF">
        <w:t>,</w:t>
      </w:r>
      <w:r w:rsidR="00A6615D">
        <w:t xml:space="preserve"> and therefore </w:t>
      </w:r>
      <w:r w:rsidR="005429A5">
        <w:t xml:space="preserve">that </w:t>
      </w:r>
      <w:r w:rsidR="00134563">
        <w:t xml:space="preserve">he </w:t>
      </w:r>
      <w:r w:rsidR="00A6615D">
        <w:t>should be fully indemnified for his costs</w:t>
      </w:r>
      <w:r w:rsidR="00341A69">
        <w:t xml:space="preserve">.  </w:t>
      </w:r>
      <w:r w:rsidR="007E36CE">
        <w:t xml:space="preserve">Senior Counsel for the Commissioner </w:t>
      </w:r>
      <w:r w:rsidR="00134563">
        <w:t>explained that this w</w:t>
      </w:r>
      <w:r w:rsidR="007E36CE">
        <w:t xml:space="preserve">as a </w:t>
      </w:r>
      <w:r w:rsidR="00381944">
        <w:t>“</w:t>
      </w:r>
      <w:r w:rsidR="007E36CE">
        <w:rPr>
          <w:i/>
        </w:rPr>
        <w:t>completely standalone ground for in</w:t>
      </w:r>
      <w:r w:rsidR="001438CD">
        <w:rPr>
          <w:i/>
        </w:rPr>
        <w:t>demnity costs</w:t>
      </w:r>
      <w:r w:rsidR="00E611B1">
        <w:rPr>
          <w:i/>
        </w:rPr>
        <w:t xml:space="preserve"> </w:t>
      </w:r>
      <w:r w:rsidR="000F67F5">
        <w:rPr>
          <w:i/>
        </w:rPr>
        <w:t xml:space="preserve">… </w:t>
      </w:r>
      <w:r w:rsidR="003D7C27">
        <w:rPr>
          <w:i/>
        </w:rPr>
        <w:t xml:space="preserve">[which] </w:t>
      </w:r>
      <w:r w:rsidR="000F67F5">
        <w:rPr>
          <w:i/>
        </w:rPr>
        <w:t xml:space="preserve">is not affected by the conduct of the </w:t>
      </w:r>
      <w:r w:rsidR="000F67F5" w:rsidRPr="000F67F5">
        <w:rPr>
          <w:i/>
          <w:iCs/>
        </w:rPr>
        <w:t>proceedings</w:t>
      </w:r>
      <w:r w:rsidR="000F67F5">
        <w:t>”</w:t>
      </w:r>
      <w:r w:rsidR="00E57521">
        <w:t xml:space="preserve">: </w:t>
      </w:r>
      <w:r w:rsidR="00381944">
        <w:t xml:space="preserve"> </w:t>
      </w:r>
      <w:r w:rsidR="00E57521" w:rsidRPr="006B07C8">
        <w:t>T.10.33.</w:t>
      </w:r>
      <w:r w:rsidR="00E57521">
        <w:t xml:space="preserve">  </w:t>
      </w:r>
      <w:r w:rsidR="000F67F5">
        <w:t xml:space="preserve">  </w:t>
      </w:r>
    </w:p>
    <w:p w14:paraId="3C29BDC2" w14:textId="65E6CADD" w:rsidR="00BD54B8" w:rsidRDefault="008F3E79" w:rsidP="008F3E79">
      <w:pPr>
        <w:pStyle w:val="ListNo1"/>
        <w:numPr>
          <w:ilvl w:val="0"/>
          <w:numId w:val="0"/>
        </w:numPr>
        <w:tabs>
          <w:tab w:val="left" w:pos="720"/>
        </w:tabs>
        <w:ind w:left="720" w:hanging="720"/>
      </w:pPr>
      <w:r>
        <w:t>(2)</w:t>
      </w:r>
      <w:r>
        <w:tab/>
      </w:r>
      <w:r w:rsidR="00CA7B81" w:rsidRPr="000F67F5">
        <w:t>Secondly</w:t>
      </w:r>
      <w:r w:rsidR="00A76989">
        <w:t xml:space="preserve"> and in the alternative</w:t>
      </w:r>
      <w:r w:rsidR="00CA7B81">
        <w:t xml:space="preserve">, the Commissioner contends </w:t>
      </w:r>
      <w:r w:rsidR="0080298F">
        <w:t xml:space="preserve">that Rawson’s conduct in the proceedings warrants an indemnity costs order.  </w:t>
      </w:r>
      <w:r w:rsidR="00CA7B81">
        <w:t xml:space="preserve">As to </w:t>
      </w:r>
      <w:r w:rsidR="00D264B5">
        <w:t>this ground</w:t>
      </w:r>
      <w:r w:rsidR="0030678B">
        <w:t xml:space="preserve">, the Commissioner </w:t>
      </w:r>
      <w:r w:rsidR="00BF7B3E">
        <w:t xml:space="preserve">alleges </w:t>
      </w:r>
      <w:r w:rsidR="0030678B">
        <w:t>that</w:t>
      </w:r>
      <w:r w:rsidR="00BD0685">
        <w:t xml:space="preserve"> </w:t>
      </w:r>
      <w:r w:rsidR="00274479">
        <w:t>Rawson always knew the true position with respect to its fraudulent conduct</w:t>
      </w:r>
      <w:r w:rsidR="001F1E7D">
        <w:t>;</w:t>
      </w:r>
      <w:r w:rsidR="00274479">
        <w:t xml:space="preserve"> </w:t>
      </w:r>
      <w:r w:rsidR="00A62C97">
        <w:t>yet</w:t>
      </w:r>
      <w:r w:rsidR="008A4B38">
        <w:t>,</w:t>
      </w:r>
      <w:r w:rsidR="00A62C97">
        <w:t xml:space="preserve"> </w:t>
      </w:r>
      <w:r w:rsidR="00D4183A">
        <w:t>far from admitting</w:t>
      </w:r>
      <w:r w:rsidR="00274479">
        <w:t xml:space="preserve"> </w:t>
      </w:r>
      <w:r w:rsidR="00D4183A">
        <w:t xml:space="preserve">the </w:t>
      </w:r>
      <w:r w:rsidR="00274479">
        <w:t>fraud</w:t>
      </w:r>
      <w:r w:rsidR="00D4183A">
        <w:t xml:space="preserve">, Rawson </w:t>
      </w:r>
      <w:r w:rsidR="00426A72">
        <w:t>defended</w:t>
      </w:r>
      <w:r w:rsidR="00A10AA0">
        <w:t xml:space="preserve"> </w:t>
      </w:r>
      <w:r w:rsidR="00D4183A">
        <w:t xml:space="preserve">its </w:t>
      </w:r>
      <w:r w:rsidR="00A10AA0">
        <w:t>fraud</w:t>
      </w:r>
      <w:r w:rsidR="00C7129B">
        <w:t>ulent conduct as genuine</w:t>
      </w:r>
      <w:r w:rsidR="00A166DC">
        <w:t xml:space="preserve">. </w:t>
      </w:r>
      <w:r w:rsidR="00241928">
        <w:t xml:space="preserve"> </w:t>
      </w:r>
    </w:p>
    <w:p w14:paraId="214A614F" w14:textId="2FD3A828" w:rsidR="001B5495" w:rsidRDefault="008F3E79" w:rsidP="008F3E79">
      <w:pPr>
        <w:pStyle w:val="ParaNumbering"/>
        <w:numPr>
          <w:ilvl w:val="0"/>
          <w:numId w:val="0"/>
        </w:numPr>
        <w:ind w:hanging="720"/>
      </w:pPr>
      <w:r>
        <w:rPr>
          <w:sz w:val="20"/>
        </w:rPr>
        <w:t>5</w:t>
      </w:r>
      <w:r>
        <w:rPr>
          <w:sz w:val="20"/>
        </w:rPr>
        <w:tab/>
      </w:r>
      <w:r w:rsidR="00961E70">
        <w:t>For the reasons I explain below</w:t>
      </w:r>
      <w:r w:rsidR="00220BBD">
        <w:t>, the Commissioner</w:t>
      </w:r>
      <w:r w:rsidR="00A80237">
        <w:t>’s</w:t>
      </w:r>
      <w:r w:rsidR="00220BBD">
        <w:t xml:space="preserve"> </w:t>
      </w:r>
      <w:r w:rsidR="00916AE0">
        <w:t>first ground</w:t>
      </w:r>
      <w:r w:rsidR="00A80237">
        <w:t xml:space="preserve"> should be upheld</w:t>
      </w:r>
      <w:r w:rsidR="00916AE0">
        <w:t xml:space="preserve"> and indemnity costs </w:t>
      </w:r>
      <w:r w:rsidR="00511075">
        <w:t xml:space="preserve">should therefore be awarded </w:t>
      </w:r>
      <w:r w:rsidR="006F4769">
        <w:t xml:space="preserve">in the exercise of discretion </w:t>
      </w:r>
      <w:r w:rsidR="00916AE0">
        <w:t>against Rawson for the entirety of the proceeding</w:t>
      </w:r>
      <w:r w:rsidR="00511075" w:rsidRPr="00511075">
        <w:t xml:space="preserve"> </w:t>
      </w:r>
      <w:r w:rsidR="0030381E">
        <w:t>fixed in the amount sought</w:t>
      </w:r>
      <w:r w:rsidR="006F4769">
        <w:t xml:space="preserve"> by the Commissioner</w:t>
      </w:r>
      <w:r w:rsidR="00916AE0">
        <w:t xml:space="preserve">.  </w:t>
      </w:r>
      <w:r w:rsidR="00127B6A">
        <w:t>I accept that the Commissioner should bear no part of its expenses in setting that judgment aside</w:t>
      </w:r>
      <w:r w:rsidR="00205DC8">
        <w:t xml:space="preserve"> </w:t>
      </w:r>
      <w:r w:rsidR="00127B6A">
        <w:t>i</w:t>
      </w:r>
      <w:r w:rsidR="002440B1">
        <w:t>n</w:t>
      </w:r>
      <w:r w:rsidR="00205DC8">
        <w:t xml:space="preserve"> circumstances where the public interest is heightened by the seriousness of the fraud perpetrat</w:t>
      </w:r>
      <w:r w:rsidR="001F46FA">
        <w:t>ed</w:t>
      </w:r>
      <w:r w:rsidR="00205DC8">
        <w:t xml:space="preserve"> upon the Commissioner and the Full Court</w:t>
      </w:r>
      <w:r w:rsidR="00645C61">
        <w:t xml:space="preserve">.  </w:t>
      </w:r>
    </w:p>
    <w:p w14:paraId="3CDFEC57" w14:textId="2766DA5B" w:rsidR="00394202" w:rsidRDefault="008F3E79" w:rsidP="008F3E79">
      <w:pPr>
        <w:pStyle w:val="ParaNumbering"/>
        <w:numPr>
          <w:ilvl w:val="0"/>
          <w:numId w:val="0"/>
        </w:numPr>
        <w:ind w:hanging="720"/>
      </w:pPr>
      <w:r>
        <w:rPr>
          <w:sz w:val="20"/>
        </w:rPr>
        <w:t>6</w:t>
      </w:r>
      <w:r>
        <w:rPr>
          <w:sz w:val="20"/>
        </w:rPr>
        <w:tab/>
      </w:r>
      <w:r w:rsidR="00212064">
        <w:t>Given those findings</w:t>
      </w:r>
      <w:r w:rsidR="004F0FE6">
        <w:t xml:space="preserve">, it is not strictly </w:t>
      </w:r>
      <w:r w:rsidR="008B1684">
        <w:t>necessary to address the Commissioner’s</w:t>
      </w:r>
      <w:r w:rsidR="000127C6">
        <w:t xml:space="preserve"> </w:t>
      </w:r>
      <w:r w:rsidR="002D68F8">
        <w:t>alternative</w:t>
      </w:r>
      <w:r w:rsidR="008B1684">
        <w:t xml:space="preserve"> ground</w:t>
      </w:r>
      <w:r w:rsidR="007D46DB">
        <w:t xml:space="preserve"> for seeking indemnity costs</w:t>
      </w:r>
      <w:r w:rsidR="00B052ED">
        <w:t xml:space="preserve"> based on Rawson’s conduct </w:t>
      </w:r>
      <w:r w:rsidR="00FD7AF5">
        <w:t>in</w:t>
      </w:r>
      <w:r w:rsidR="00B052ED">
        <w:t xml:space="preserve"> the proceeding</w:t>
      </w:r>
      <w:r w:rsidR="00770E02">
        <w:t xml:space="preserve">.  </w:t>
      </w:r>
      <w:r w:rsidR="006B02F2">
        <w:t>However,</w:t>
      </w:r>
      <w:r w:rsidR="00FC2C93">
        <w:t xml:space="preserve"> for the reasons also explained below,</w:t>
      </w:r>
      <w:r w:rsidR="006B02F2">
        <w:t xml:space="preserve"> </w:t>
      </w:r>
      <w:r w:rsidR="002D68F8">
        <w:t xml:space="preserve">even if Rawson had </w:t>
      </w:r>
      <w:r w:rsidR="003C49BC">
        <w:t>succe</w:t>
      </w:r>
      <w:r w:rsidR="002D68F8">
        <w:t>ssfully resisted an award of indemnity costs</w:t>
      </w:r>
      <w:r w:rsidR="003C49BC">
        <w:t xml:space="preserve"> on the</w:t>
      </w:r>
      <w:r w:rsidR="00212064">
        <w:t xml:space="preserve"> first ground</w:t>
      </w:r>
      <w:r w:rsidR="002D68F8">
        <w:t>,</w:t>
      </w:r>
      <w:r w:rsidR="00212064">
        <w:t xml:space="preserve"> </w:t>
      </w:r>
      <w:r w:rsidR="00031369" w:rsidRPr="00013725">
        <w:t xml:space="preserve">I </w:t>
      </w:r>
      <w:r w:rsidR="00E00EE7">
        <w:t xml:space="preserve">would have </w:t>
      </w:r>
      <w:r w:rsidR="00FC2C93">
        <w:t>held</w:t>
      </w:r>
      <w:r w:rsidR="00FC2C93" w:rsidRPr="00013725">
        <w:t xml:space="preserve"> </w:t>
      </w:r>
      <w:r w:rsidR="0054098B">
        <w:t xml:space="preserve">that </w:t>
      </w:r>
      <w:r w:rsidR="0037675B" w:rsidRPr="00013725">
        <w:t xml:space="preserve">Rawson’s </w:t>
      </w:r>
      <w:r w:rsidR="0054098B">
        <w:t xml:space="preserve">conduct </w:t>
      </w:r>
      <w:r w:rsidR="00856265">
        <w:t xml:space="preserve">in the proceeding </w:t>
      </w:r>
      <w:r w:rsidR="00E00EE7">
        <w:t>was</w:t>
      </w:r>
      <w:r w:rsidR="00856265">
        <w:t xml:space="preserve"> such as to justify an order for indemnity costs</w:t>
      </w:r>
      <w:r w:rsidR="00E00EE7">
        <w:t>, but only</w:t>
      </w:r>
      <w:r w:rsidR="00856265">
        <w:t xml:space="preserve"> </w:t>
      </w:r>
      <w:r w:rsidR="00253772">
        <w:t xml:space="preserve">on and </w:t>
      </w:r>
      <w:r w:rsidR="00C20FFB">
        <w:t xml:space="preserve">from </w:t>
      </w:r>
      <w:r w:rsidR="00DE0BCA">
        <w:t>27 August 2020</w:t>
      </w:r>
      <w:r w:rsidR="006160DB">
        <w:t>.</w:t>
      </w:r>
      <w:r w:rsidR="009F4AF4">
        <w:t xml:space="preserve">  </w:t>
      </w:r>
      <w:r w:rsidR="00A03EEE">
        <w:t>This is because on</w:t>
      </w:r>
      <w:r w:rsidR="009F4AF4">
        <w:t xml:space="preserve"> that date Rawson</w:t>
      </w:r>
      <w:r w:rsidR="006160DB">
        <w:t xml:space="preserve"> </w:t>
      </w:r>
      <w:r w:rsidR="009F4AF4">
        <w:t>filed written submissions in which it</w:t>
      </w:r>
      <w:r w:rsidR="00394202">
        <w:t>:</w:t>
      </w:r>
    </w:p>
    <w:p w14:paraId="766F91C5" w14:textId="60B55410" w:rsidR="00394202" w:rsidRDefault="008F3E79" w:rsidP="008F3E79">
      <w:pPr>
        <w:pStyle w:val="ListNo1"/>
        <w:numPr>
          <w:ilvl w:val="0"/>
          <w:numId w:val="0"/>
        </w:numPr>
        <w:tabs>
          <w:tab w:val="left" w:pos="720"/>
        </w:tabs>
        <w:ind w:left="720" w:hanging="720"/>
      </w:pPr>
      <w:r>
        <w:t>(1)</w:t>
      </w:r>
      <w:r>
        <w:tab/>
      </w:r>
      <w:r w:rsidR="009F4AF4">
        <w:t xml:space="preserve">admitted the existence of </w:t>
      </w:r>
      <w:r w:rsidR="00793CB9">
        <w:t xml:space="preserve">the </w:t>
      </w:r>
      <w:r w:rsidR="00C83652">
        <w:t>back-to-back</w:t>
      </w:r>
      <w:r w:rsidR="009F4AF4">
        <w:t xml:space="preserve"> </w:t>
      </w:r>
      <w:r w:rsidR="00793CB9">
        <w:t>deposit accounts held in code names</w:t>
      </w:r>
      <w:r w:rsidR="009F4AF4">
        <w:t xml:space="preserve"> </w:t>
      </w:r>
      <w:r w:rsidR="00793CB9">
        <w:t xml:space="preserve">with Israeli banks </w:t>
      </w:r>
      <w:r w:rsidR="009F4AF4">
        <w:t xml:space="preserve">for the first time </w:t>
      </w:r>
      <w:r w:rsidR="0020511F">
        <w:t xml:space="preserve">following </w:t>
      </w:r>
      <w:r w:rsidR="009F4AF4">
        <w:t xml:space="preserve">evidence </w:t>
      </w:r>
      <w:r w:rsidR="0020511F">
        <w:t xml:space="preserve">having been </w:t>
      </w:r>
      <w:r w:rsidR="00394202">
        <w:t xml:space="preserve">obtained </w:t>
      </w:r>
      <w:r w:rsidR="009F4AF4">
        <w:t>from Israel</w:t>
      </w:r>
      <w:r w:rsidR="00394202">
        <w:t xml:space="preserve"> </w:t>
      </w:r>
      <w:r w:rsidR="00394202">
        <w:lastRenderedPageBreak/>
        <w:t xml:space="preserve">pursuant to letters of request which </w:t>
      </w:r>
      <w:r w:rsidR="009F4AF4">
        <w:t>irrefutably establis</w:t>
      </w:r>
      <w:r w:rsidR="00394202">
        <w:t>hed</w:t>
      </w:r>
      <w:r w:rsidR="009F4AF4">
        <w:t xml:space="preserve"> the existence of </w:t>
      </w:r>
      <w:r w:rsidR="00C83652">
        <w:t>those accounts</w:t>
      </w:r>
      <w:r w:rsidR="00394202">
        <w:t>;</w:t>
      </w:r>
      <w:r w:rsidR="00E452DC">
        <w:t xml:space="preserve"> </w:t>
      </w:r>
      <w:r w:rsidR="00846ED3">
        <w:t>but</w:t>
      </w:r>
    </w:p>
    <w:p w14:paraId="12DE382C" w14:textId="1A58EE29" w:rsidR="00394202" w:rsidRDefault="008F3E79" w:rsidP="008F3E79">
      <w:pPr>
        <w:pStyle w:val="ListNo1"/>
        <w:numPr>
          <w:ilvl w:val="0"/>
          <w:numId w:val="0"/>
        </w:numPr>
        <w:tabs>
          <w:tab w:val="left" w:pos="720"/>
        </w:tabs>
        <w:ind w:left="720" w:hanging="720"/>
      </w:pPr>
      <w:r>
        <w:t>(2)</w:t>
      </w:r>
      <w:r>
        <w:tab/>
      </w:r>
      <w:r w:rsidR="009F4AF4">
        <w:t>positively put</w:t>
      </w:r>
      <w:r w:rsidR="00846ED3">
        <w:t xml:space="preserve"> forward</w:t>
      </w:r>
      <w:r w:rsidR="009F4AF4">
        <w:t xml:space="preserve"> </w:t>
      </w:r>
      <w:r w:rsidR="006160DB">
        <w:t xml:space="preserve">a knowingly false case that the loans the subject of the Full Court decision were </w:t>
      </w:r>
      <w:r w:rsidR="00E452DC">
        <w:t xml:space="preserve">nonetheless </w:t>
      </w:r>
      <w:r w:rsidR="006160DB">
        <w:t>genuine</w:t>
      </w:r>
      <w:r w:rsidR="005B5F0E" w:rsidRPr="00B70088">
        <w:t xml:space="preserve">.  </w:t>
      </w:r>
    </w:p>
    <w:p w14:paraId="7E4AC6B7" w14:textId="08D97B39" w:rsidR="00E83DE8" w:rsidRPr="00010E8B" w:rsidRDefault="008F3E79" w:rsidP="008F3E79">
      <w:pPr>
        <w:pStyle w:val="ParaNumbering"/>
        <w:numPr>
          <w:ilvl w:val="0"/>
          <w:numId w:val="0"/>
        </w:numPr>
        <w:ind w:hanging="720"/>
      </w:pPr>
      <w:r w:rsidRPr="00010E8B">
        <w:rPr>
          <w:sz w:val="20"/>
        </w:rPr>
        <w:t>7</w:t>
      </w:r>
      <w:r w:rsidRPr="00010E8B">
        <w:rPr>
          <w:sz w:val="20"/>
        </w:rPr>
        <w:tab/>
      </w:r>
      <w:r w:rsidR="00E83DE8">
        <w:t xml:space="preserve">As I reiterate below, </w:t>
      </w:r>
      <w:r w:rsidR="00690E40">
        <w:t xml:space="preserve">in so finding no criticism is made of Rawson’s legal representatives who were, no doubt, acting on instructions. </w:t>
      </w:r>
    </w:p>
    <w:p w14:paraId="738DD5C2" w14:textId="5E76A009" w:rsidR="003F16BB" w:rsidRDefault="008F3E79" w:rsidP="008F3E79">
      <w:pPr>
        <w:pStyle w:val="Heading5"/>
        <w:numPr>
          <w:ilvl w:val="0"/>
          <w:numId w:val="0"/>
        </w:numPr>
        <w:tabs>
          <w:tab w:val="left" w:pos="1134"/>
        </w:tabs>
        <w:ind w:left="1134" w:hanging="1134"/>
      </w:pPr>
      <w:bookmarkStart w:id="22" w:name="_Ref156496385"/>
      <w:r>
        <w:t>2.</w:t>
      </w:r>
      <w:r>
        <w:tab/>
      </w:r>
      <w:r w:rsidR="003F16BB">
        <w:t>BACKGROUND</w:t>
      </w:r>
      <w:bookmarkEnd w:id="22"/>
    </w:p>
    <w:p w14:paraId="6045212B" w14:textId="37A8B6B9" w:rsidR="003F16BB" w:rsidRDefault="008F3E79" w:rsidP="008F3E79">
      <w:pPr>
        <w:pStyle w:val="ParaNumbering"/>
        <w:numPr>
          <w:ilvl w:val="0"/>
          <w:numId w:val="0"/>
        </w:numPr>
        <w:ind w:hanging="720"/>
      </w:pPr>
      <w:r>
        <w:rPr>
          <w:sz w:val="20"/>
        </w:rPr>
        <w:t>8</w:t>
      </w:r>
      <w:r>
        <w:rPr>
          <w:sz w:val="20"/>
        </w:rPr>
        <w:tab/>
      </w:r>
      <w:r w:rsidR="003F16BB">
        <w:t xml:space="preserve">The key aspects of my decision in the </w:t>
      </w:r>
      <w:r w:rsidR="003F16BB">
        <w:rPr>
          <w:i/>
          <w:iCs/>
        </w:rPr>
        <w:t xml:space="preserve">Rawson Primary Judgment </w:t>
      </w:r>
      <w:r w:rsidR="003F16BB">
        <w:t>were summarised at [2]-[1</w:t>
      </w:r>
      <w:r w:rsidR="00EA6BDD">
        <w:t>4</w:t>
      </w:r>
      <w:r w:rsidR="003F16BB">
        <w:t>], and are conveniently repeated here:</w:t>
      </w:r>
    </w:p>
    <w:p w14:paraId="59FEC040" w14:textId="566CCC80" w:rsidR="008A2A69" w:rsidRPr="008A2A69" w:rsidRDefault="00D25D3F" w:rsidP="00D25D3F">
      <w:pPr>
        <w:pStyle w:val="Quote1"/>
        <w:ind w:left="1440" w:hanging="703"/>
      </w:pPr>
      <w:r>
        <w:t xml:space="preserve">2. </w:t>
      </w:r>
      <w:r>
        <w:tab/>
      </w:r>
      <w:r w:rsidR="008A2A69" w:rsidRPr="008A2A69">
        <w:t xml:space="preserve">The applicant, the </w:t>
      </w:r>
      <w:r w:rsidR="008A2A69" w:rsidRPr="008A2A69">
        <w:rPr>
          <w:b/>
        </w:rPr>
        <w:t>Commissioner</w:t>
      </w:r>
      <w:r w:rsidR="008A2A69" w:rsidRPr="008A2A69">
        <w:t xml:space="preserve"> of Taxation, seeks to set aside the decision of the Full Federal Court in </w:t>
      </w:r>
      <w:r w:rsidR="008A2A69" w:rsidRPr="008A2A69">
        <w:rPr>
          <w:i/>
          <w:iCs/>
        </w:rPr>
        <w:t>Rawson Finances Pty Ltd v Commissioner of Taxation</w:t>
      </w:r>
      <w:r w:rsidR="008A2A69" w:rsidRPr="008A2A69">
        <w:t xml:space="preserve"> [2013] FCAFC 26; (2013) 133 ALD 39 (</w:t>
      </w:r>
      <w:r w:rsidR="008A2A69" w:rsidRPr="008A2A69">
        <w:rPr>
          <w:b/>
          <w:i/>
        </w:rPr>
        <w:t>Rawson (FCAFC)</w:t>
      </w:r>
      <w:r w:rsidR="008A2A69" w:rsidRPr="008A2A69">
        <w:t>)</w:t>
      </w:r>
      <w:r w:rsidR="008A2A69" w:rsidRPr="008A2A69">
        <w:rPr>
          <w:i/>
        </w:rPr>
        <w:t xml:space="preserve"> </w:t>
      </w:r>
      <w:r w:rsidR="008A2A69" w:rsidRPr="008A2A69">
        <w:t xml:space="preserve">on the ground that it was procured by fraud.  Further, or in the alternative, the Commissioner seeks to set aside on the same ground both the decisions in </w:t>
      </w:r>
      <w:r w:rsidR="008A2A69" w:rsidRPr="008A2A69">
        <w:rPr>
          <w:i/>
        </w:rPr>
        <w:t>Rawson (FCAFC)</w:t>
      </w:r>
      <w:r w:rsidR="008A2A69" w:rsidRPr="008A2A69">
        <w:rPr>
          <w:b/>
          <w:i/>
        </w:rPr>
        <w:t xml:space="preserve"> </w:t>
      </w:r>
      <w:r w:rsidR="008A2A69" w:rsidRPr="008A2A69">
        <w:t>and of the Administrative Appeals Tribunal (</w:t>
      </w:r>
      <w:r w:rsidR="008A2A69" w:rsidRPr="008A2A69">
        <w:rPr>
          <w:b/>
        </w:rPr>
        <w:t>Tribunal</w:t>
      </w:r>
      <w:r w:rsidR="008A2A69" w:rsidRPr="008A2A69">
        <w:t xml:space="preserve"> or </w:t>
      </w:r>
      <w:r w:rsidR="008A2A69" w:rsidRPr="008A2A69">
        <w:rPr>
          <w:b/>
          <w:bCs/>
        </w:rPr>
        <w:t>AAT</w:t>
      </w:r>
      <w:r w:rsidR="008A2A69" w:rsidRPr="008A2A69">
        <w:t xml:space="preserve">) in </w:t>
      </w:r>
      <w:r w:rsidR="008A2A69" w:rsidRPr="008A2A69">
        <w:rPr>
          <w:i/>
        </w:rPr>
        <w:t>Re</w:t>
      </w:r>
      <w:r w:rsidR="008A2A69" w:rsidRPr="008A2A69">
        <w:t xml:space="preserve"> </w:t>
      </w:r>
      <w:proofErr w:type="spellStart"/>
      <w:r w:rsidR="008A2A69" w:rsidRPr="008A2A69">
        <w:rPr>
          <w:i/>
          <w:iCs/>
        </w:rPr>
        <w:t>Areffco</w:t>
      </w:r>
      <w:proofErr w:type="spellEnd"/>
      <w:r w:rsidR="008A2A69" w:rsidRPr="008A2A69">
        <w:rPr>
          <w:i/>
          <w:iCs/>
        </w:rPr>
        <w:t xml:space="preserve"> and Commissioner of Taxation</w:t>
      </w:r>
      <w:r w:rsidR="008A2A69" w:rsidRPr="008A2A69">
        <w:t xml:space="preserve"> [2011] AATA 628; (2011) 84 ATR 924 (</w:t>
      </w:r>
      <w:r w:rsidR="008A2A69" w:rsidRPr="008A2A69">
        <w:rPr>
          <w:b/>
          <w:i/>
        </w:rPr>
        <w:t>Rawson (AAT)</w:t>
      </w:r>
      <w:r w:rsidR="008A2A69" w:rsidRPr="008A2A69">
        <w:t xml:space="preserve">).  </w:t>
      </w:r>
      <w:proofErr w:type="spellStart"/>
      <w:r w:rsidR="008A2A69" w:rsidRPr="008A2A69">
        <w:t>Areffco</w:t>
      </w:r>
      <w:proofErr w:type="spellEnd"/>
      <w:r w:rsidR="008A2A69" w:rsidRPr="008A2A69">
        <w:t xml:space="preserve"> was the pseudonym used by the AAT for the respondent, </w:t>
      </w:r>
      <w:r w:rsidR="008A2A69" w:rsidRPr="008A2A69">
        <w:rPr>
          <w:b/>
        </w:rPr>
        <w:t>Rawson</w:t>
      </w:r>
      <w:r w:rsidR="008A2A69" w:rsidRPr="008A2A69">
        <w:t xml:space="preserve"> Finances Pty Ltd, which was one of a number of entities owned and controlled by members of the Binetter family.</w:t>
      </w:r>
    </w:p>
    <w:p w14:paraId="1D22300B" w14:textId="2F628B3E" w:rsidR="008A2A69" w:rsidRPr="008A2A69" w:rsidRDefault="00D25D3F" w:rsidP="00D25D3F">
      <w:pPr>
        <w:pStyle w:val="Quote1"/>
        <w:ind w:left="1440" w:hanging="703"/>
      </w:pPr>
      <w:r>
        <w:t>3.</w:t>
      </w:r>
      <w:r>
        <w:tab/>
      </w:r>
      <w:r w:rsidR="008A2A69" w:rsidRPr="008A2A69">
        <w:t xml:space="preserve">By way </w:t>
      </w:r>
      <w:r w:rsidR="008A2A69" w:rsidRPr="008A2A69">
        <w:rPr>
          <w:szCs w:val="24"/>
        </w:rPr>
        <w:t xml:space="preserve">of overview, the decisions in </w:t>
      </w:r>
      <w:r w:rsidR="008A2A69" w:rsidRPr="008A2A69">
        <w:rPr>
          <w:i/>
          <w:szCs w:val="24"/>
        </w:rPr>
        <w:t>Rawson (AAT)</w:t>
      </w:r>
      <w:r w:rsidR="008A2A69" w:rsidRPr="008A2A69">
        <w:rPr>
          <w:szCs w:val="24"/>
        </w:rPr>
        <w:t xml:space="preserve"> and </w:t>
      </w:r>
      <w:r w:rsidR="008A2A69" w:rsidRPr="008A2A69">
        <w:rPr>
          <w:i/>
          <w:szCs w:val="24"/>
        </w:rPr>
        <w:t xml:space="preserve">Rawson (FCAFC) </w:t>
      </w:r>
      <w:r w:rsidR="008A2A69" w:rsidRPr="008A2A69">
        <w:rPr>
          <w:szCs w:val="24"/>
        </w:rPr>
        <w:t xml:space="preserve">arose in context of Project </w:t>
      </w:r>
      <w:proofErr w:type="spellStart"/>
      <w:r w:rsidR="008A2A69" w:rsidRPr="008A2A69">
        <w:rPr>
          <w:szCs w:val="24"/>
        </w:rPr>
        <w:t>Wickenby</w:t>
      </w:r>
      <w:proofErr w:type="spellEnd"/>
      <w:r w:rsidR="008A2A69" w:rsidRPr="008A2A69">
        <w:rPr>
          <w:szCs w:val="24"/>
        </w:rPr>
        <w:t>, a project by the Australian Taxation Office (</w:t>
      </w:r>
      <w:r w:rsidR="008A2A69" w:rsidRPr="008A2A69">
        <w:rPr>
          <w:b/>
          <w:szCs w:val="24"/>
        </w:rPr>
        <w:t>ATO</w:t>
      </w:r>
      <w:r w:rsidR="008A2A69" w:rsidRPr="008A2A69">
        <w:rPr>
          <w:szCs w:val="24"/>
        </w:rPr>
        <w:t>)</w:t>
      </w:r>
      <w:r w:rsidR="008A2A69" w:rsidRPr="008A2A69">
        <w:t xml:space="preserve"> which investigated whether Australian taxpayers were returning profits earned abroad to Australia disguised as “loans” from overseas banks</w:t>
      </w:r>
      <w:r w:rsidR="008A2A69" w:rsidRPr="008A2A69">
        <w:rPr>
          <w:szCs w:val="24"/>
        </w:rPr>
        <w:t xml:space="preserve">.  Following an audit commenced in July 2006, the Commissioner issued under s 167 of the </w:t>
      </w:r>
      <w:r w:rsidR="008A2A69" w:rsidRPr="008A2A69">
        <w:rPr>
          <w:i/>
          <w:szCs w:val="24"/>
        </w:rPr>
        <w:t>Income Tax Assessment Act 1936</w:t>
      </w:r>
      <w:r w:rsidR="008A2A69" w:rsidRPr="008A2A69">
        <w:rPr>
          <w:szCs w:val="24"/>
        </w:rPr>
        <w:t xml:space="preserve"> (</w:t>
      </w:r>
      <w:proofErr w:type="spellStart"/>
      <w:r w:rsidR="008A2A69" w:rsidRPr="008A2A69">
        <w:rPr>
          <w:szCs w:val="24"/>
        </w:rPr>
        <w:t>Cth</w:t>
      </w:r>
      <w:proofErr w:type="spellEnd"/>
      <w:r w:rsidR="008A2A69" w:rsidRPr="008A2A69">
        <w:rPr>
          <w:szCs w:val="24"/>
        </w:rPr>
        <w:t>) (</w:t>
      </w:r>
      <w:r w:rsidR="008A2A69" w:rsidRPr="008A2A69">
        <w:rPr>
          <w:b/>
          <w:szCs w:val="24"/>
        </w:rPr>
        <w:t>ITAA 36</w:t>
      </w:r>
      <w:r w:rsidR="008A2A69" w:rsidRPr="008A2A69">
        <w:rPr>
          <w:szCs w:val="24"/>
        </w:rPr>
        <w:t>) notices</w:t>
      </w:r>
      <w:r w:rsidR="008A2A69" w:rsidRPr="008A2A69">
        <w:t xml:space="preserve"> of assessment and amended assessment of the amount of taxable income of Rawson for the financial years ending 30 June 1997 to 30 June 2008 (the </w:t>
      </w:r>
      <w:r w:rsidR="008A2A69" w:rsidRPr="008A2A69">
        <w:rPr>
          <w:b/>
        </w:rPr>
        <w:t>relevant period</w:t>
      </w:r>
      <w:r w:rsidR="008A2A69" w:rsidRPr="008A2A69">
        <w:t xml:space="preserve">) and penalty assessments for the years ended 30 June 2001 to 30 June 2008 inclusive (the </w:t>
      </w:r>
      <w:r w:rsidR="008A2A69" w:rsidRPr="008A2A69">
        <w:rPr>
          <w:b/>
        </w:rPr>
        <w:t xml:space="preserve">taxation assessments </w:t>
      </w:r>
      <w:r w:rsidR="008A2A69" w:rsidRPr="008A2A69">
        <w:t>and the</w:t>
      </w:r>
      <w:r w:rsidR="008A2A69" w:rsidRPr="008A2A69">
        <w:rPr>
          <w:b/>
        </w:rPr>
        <w:t xml:space="preserve"> penalty assessments </w:t>
      </w:r>
      <w:r w:rsidR="008A2A69" w:rsidRPr="008A2A69">
        <w:t>respectively)</w:t>
      </w:r>
      <w:r w:rsidR="008A2A69" w:rsidRPr="008A2A69">
        <w:rPr>
          <w:szCs w:val="24"/>
        </w:rPr>
        <w:t xml:space="preserve">.  First, the Commissioner </w:t>
      </w:r>
      <w:r w:rsidR="008A2A69" w:rsidRPr="008A2A69">
        <w:t>disallowed amounts which Rawson claimed for the relevant period were allowable deductions representing interest incurred by it on alleged loans from the Mercantile Discount Bank (</w:t>
      </w:r>
      <w:r w:rsidR="008A2A69" w:rsidRPr="008A2A69">
        <w:rPr>
          <w:b/>
        </w:rPr>
        <w:t>MDB</w:t>
      </w:r>
      <w:r w:rsidR="008A2A69" w:rsidRPr="008A2A69">
        <w:t xml:space="preserve">) in Israel to Rawson.  Secondly, by assessments for the years of income ended 30 June 1997 and 1998, the Commissioner included in Rawson’s assessable income, amounts received by Rawson in Australia from MDB by way of purported loans.  This resulted in the Commissioner assessing Rawson’s taxable income in the sum of $3,007,550.00 for the year ending 30 June 1998 and in the sum of $1,971,088 for the year ending 30 June 1999.  </w:t>
      </w:r>
    </w:p>
    <w:p w14:paraId="4399D2D7" w14:textId="2AC80B61" w:rsidR="008A2A69" w:rsidRPr="008A2A69" w:rsidRDefault="00D25D3F" w:rsidP="00D25D3F">
      <w:pPr>
        <w:pStyle w:val="Quote1"/>
        <w:ind w:left="1440" w:hanging="703"/>
      </w:pPr>
      <w:r>
        <w:t>4.</w:t>
      </w:r>
      <w:r>
        <w:tab/>
      </w:r>
      <w:r w:rsidR="008A2A69" w:rsidRPr="008A2A69">
        <w:t>Rawson, however, contended that the amounts that the Commissioner had assessed as taxable income for the years ending 30 June 1998 and 1999 were loans made to it from MDB and claimed</w:t>
      </w:r>
      <w:r w:rsidR="008A2A69" w:rsidRPr="008A2A69">
        <w:rPr>
          <w:sz w:val="23"/>
          <w:szCs w:val="23"/>
        </w:rPr>
        <w:t xml:space="preserve"> </w:t>
      </w:r>
      <w:r w:rsidR="008A2A69" w:rsidRPr="008A2A69">
        <w:rPr>
          <w:szCs w:val="24"/>
        </w:rPr>
        <w:t>deductions over the relevant period for interest allegedly paid by Rawson on those loans.</w:t>
      </w:r>
      <w:r w:rsidR="008A2A69" w:rsidRPr="008A2A69">
        <w:t xml:space="preserve">  It lodged taxation objections to the taxation assessments (the </w:t>
      </w:r>
      <w:r w:rsidR="008A2A69" w:rsidRPr="008A2A69">
        <w:rPr>
          <w:b/>
        </w:rPr>
        <w:t>taxation objections</w:t>
      </w:r>
      <w:r w:rsidR="008A2A69" w:rsidRPr="008A2A69">
        <w:t xml:space="preserve">), and objections to the penalty assessments (the </w:t>
      </w:r>
      <w:r w:rsidR="008A2A69" w:rsidRPr="008A2A69">
        <w:rPr>
          <w:b/>
        </w:rPr>
        <w:t>penalty objections</w:t>
      </w:r>
      <w:r w:rsidR="008A2A69" w:rsidRPr="008A2A69">
        <w:t>) in September 2009.</w:t>
      </w:r>
    </w:p>
    <w:p w14:paraId="7F3A4876" w14:textId="0E2253E4" w:rsidR="008A2A69" w:rsidRPr="008A2A69" w:rsidRDefault="00D25D3F" w:rsidP="00D25D3F">
      <w:pPr>
        <w:pStyle w:val="Quote1"/>
        <w:ind w:left="1440" w:hanging="703"/>
      </w:pPr>
      <w:r>
        <w:lastRenderedPageBreak/>
        <w:t>5.</w:t>
      </w:r>
      <w:r>
        <w:tab/>
      </w:r>
      <w:r w:rsidR="008A2A69" w:rsidRPr="008A2A69">
        <w:t>Rawson’s taxation and penalty objections were disallowed by the Commissioner on 27 May 2010.</w:t>
      </w:r>
    </w:p>
    <w:p w14:paraId="79FAC635" w14:textId="47B858B7" w:rsidR="008A2A69" w:rsidRPr="008A2A69" w:rsidRDefault="00D25D3F" w:rsidP="00D25D3F">
      <w:pPr>
        <w:pStyle w:val="Quote1"/>
        <w:ind w:left="1440" w:hanging="703"/>
        <w:rPr>
          <w:szCs w:val="24"/>
        </w:rPr>
      </w:pPr>
      <w:r>
        <w:rPr>
          <w:szCs w:val="24"/>
        </w:rPr>
        <w:t>6.</w:t>
      </w:r>
      <w:r>
        <w:rPr>
          <w:szCs w:val="24"/>
        </w:rPr>
        <w:tab/>
      </w:r>
      <w:r w:rsidR="008A2A69" w:rsidRPr="008A2A69">
        <w:rPr>
          <w:szCs w:val="24"/>
        </w:rPr>
        <w:t xml:space="preserve">On 11 June 2010, Rawson commenced merits review proceedings against the Commissioner’s decision in the AAT under Part IVC of the </w:t>
      </w:r>
      <w:r w:rsidR="008A2A69" w:rsidRPr="008A2A69">
        <w:rPr>
          <w:i/>
          <w:szCs w:val="24"/>
        </w:rPr>
        <w:t xml:space="preserve">Taxation Administration Act 1953 </w:t>
      </w:r>
      <w:r w:rsidR="008A2A69" w:rsidRPr="008A2A69">
        <w:rPr>
          <w:szCs w:val="24"/>
        </w:rPr>
        <w:t>(</w:t>
      </w:r>
      <w:proofErr w:type="spellStart"/>
      <w:r w:rsidR="008A2A69" w:rsidRPr="008A2A69">
        <w:rPr>
          <w:szCs w:val="24"/>
        </w:rPr>
        <w:t>Cth</w:t>
      </w:r>
      <w:proofErr w:type="spellEnd"/>
      <w:r w:rsidR="008A2A69" w:rsidRPr="008A2A69">
        <w:rPr>
          <w:szCs w:val="24"/>
        </w:rPr>
        <w:t>)</w:t>
      </w:r>
      <w:r w:rsidR="008A2A69" w:rsidRPr="008A2A69">
        <w:rPr>
          <w:i/>
          <w:szCs w:val="24"/>
        </w:rPr>
        <w:t xml:space="preserve"> </w:t>
      </w:r>
      <w:r w:rsidR="008A2A69" w:rsidRPr="008A2A69">
        <w:rPr>
          <w:szCs w:val="24"/>
        </w:rPr>
        <w:t>(</w:t>
      </w:r>
      <w:r w:rsidR="008A2A69" w:rsidRPr="008A2A69">
        <w:rPr>
          <w:b/>
          <w:szCs w:val="24"/>
        </w:rPr>
        <w:t>TAA 53</w:t>
      </w:r>
      <w:r w:rsidR="008A2A69" w:rsidRPr="008A2A69">
        <w:rPr>
          <w:szCs w:val="24"/>
        </w:rPr>
        <w:t>).  The proceedings were heard from 9 to 13 May 2011, 8 to 10 June 2011, and on 17 June 2011.  Section 14ZZK of the TAA 53 imposed the onus of proving that the Commissioner’s assessments were excessive upon Rawson.</w:t>
      </w:r>
      <w:r w:rsidR="008A2A69" w:rsidRPr="008A2A69">
        <w:rPr>
          <w:b/>
          <w:szCs w:val="24"/>
        </w:rPr>
        <w:t xml:space="preserve">  </w:t>
      </w:r>
      <w:r w:rsidR="008A2A69" w:rsidRPr="008A2A69">
        <w:rPr>
          <w:szCs w:val="24"/>
        </w:rPr>
        <w:t xml:space="preserve"> </w:t>
      </w:r>
    </w:p>
    <w:p w14:paraId="2492DC76" w14:textId="29BA5A2F" w:rsidR="008A2A69" w:rsidRPr="008A2A69" w:rsidRDefault="00D25D3F" w:rsidP="00D25D3F">
      <w:pPr>
        <w:pStyle w:val="Quote1"/>
        <w:ind w:left="1440" w:hanging="703"/>
      </w:pPr>
      <w:r>
        <w:t>7.</w:t>
      </w:r>
      <w:r>
        <w:tab/>
      </w:r>
      <w:r w:rsidR="008A2A69" w:rsidRPr="008A2A69">
        <w:t xml:space="preserve">In the course of the </w:t>
      </w:r>
      <w:r w:rsidR="008A2A69" w:rsidRPr="008A2A69">
        <w:rPr>
          <w:i/>
        </w:rPr>
        <w:t>Rawson (AAT)</w:t>
      </w:r>
      <w:r w:rsidR="008A2A69" w:rsidRPr="008A2A69">
        <w:t xml:space="preserve"> proceedings, Rawson adduced evidence from several witnesses.  Shortly stated, the effect of that evidence and Rawson’s submissions was as follows:</w:t>
      </w:r>
    </w:p>
    <w:p w14:paraId="3120626D" w14:textId="22267023" w:rsidR="008A2A69" w:rsidRPr="008A2A69" w:rsidRDefault="008F3E79" w:rsidP="00AF2AB1">
      <w:pPr>
        <w:pStyle w:val="Quote2"/>
        <w:ind w:left="2160" w:hanging="720"/>
      </w:pPr>
      <w:r w:rsidRPr="008A2A69">
        <w:t>(1)</w:t>
      </w:r>
      <w:r w:rsidRPr="008A2A69">
        <w:tab/>
      </w:r>
      <w:r w:rsidR="008A2A69" w:rsidRPr="008A2A69">
        <w:t xml:space="preserve">the Binetter family had a business practice of setting up special purpose vehicles to take out loans from </w:t>
      </w:r>
      <w:r w:rsidR="008A2A69" w:rsidRPr="008A2A69">
        <w:rPr>
          <w:b/>
        </w:rPr>
        <w:t>Israeli banks</w:t>
      </w:r>
      <w:r w:rsidR="008A2A69" w:rsidRPr="008A2A69">
        <w:t>, being MDB, Israel Discount Bank (</w:t>
      </w:r>
      <w:r w:rsidR="008A2A69" w:rsidRPr="008A2A69">
        <w:rPr>
          <w:b/>
        </w:rPr>
        <w:t>IDB</w:t>
      </w:r>
      <w:r w:rsidR="008A2A69" w:rsidRPr="008A2A69">
        <w:t xml:space="preserve">) and Bank </w:t>
      </w:r>
      <w:proofErr w:type="spellStart"/>
      <w:r w:rsidR="008A2A69" w:rsidRPr="008A2A69">
        <w:t>Hapoalim</w:t>
      </w:r>
      <w:proofErr w:type="spellEnd"/>
      <w:r w:rsidR="008A2A69" w:rsidRPr="008A2A69">
        <w:t>;</w:t>
      </w:r>
    </w:p>
    <w:p w14:paraId="426CB4FB" w14:textId="66E60A4F" w:rsidR="008A2A69" w:rsidRPr="008A2A69" w:rsidRDefault="008F3E79" w:rsidP="00AF2AB1">
      <w:pPr>
        <w:pStyle w:val="Quote2"/>
        <w:ind w:left="2160" w:hanging="720"/>
      </w:pPr>
      <w:r w:rsidRPr="008A2A69">
        <w:t>(2)</w:t>
      </w:r>
      <w:r w:rsidRPr="008A2A69">
        <w:tab/>
      </w:r>
      <w:r w:rsidR="008A2A69" w:rsidRPr="008A2A69">
        <w:t>Israeli banks operated differently from Australian banks because Israeli banks were willing to lend to foreign entities on the basis only of personal guarantees and relationships;</w:t>
      </w:r>
    </w:p>
    <w:p w14:paraId="5F67E2AA" w14:textId="51BD5155" w:rsidR="008A2A69" w:rsidRPr="008A2A69" w:rsidRDefault="008F3E79" w:rsidP="00AF2AB1">
      <w:pPr>
        <w:pStyle w:val="Quote2"/>
        <w:ind w:left="2160" w:hanging="720"/>
      </w:pPr>
      <w:r w:rsidRPr="008A2A69">
        <w:t>(3)</w:t>
      </w:r>
      <w:r w:rsidRPr="008A2A69">
        <w:tab/>
      </w:r>
      <w:r w:rsidR="008A2A69" w:rsidRPr="008A2A69">
        <w:t>members of the Binetter family, including the directors of Rawson, had direct involvement with Israeli banks through various entities including:</w:t>
      </w:r>
    </w:p>
    <w:p w14:paraId="2F6F79A9" w14:textId="1D0E897D" w:rsidR="008A2A69" w:rsidRPr="008A2A69" w:rsidRDefault="008F3E79" w:rsidP="00AF2AB1">
      <w:pPr>
        <w:pStyle w:val="Quote3"/>
        <w:ind w:left="2880" w:hanging="720"/>
      </w:pPr>
      <w:r w:rsidRPr="008A2A69">
        <w:t>(a)</w:t>
      </w:r>
      <w:r w:rsidRPr="008A2A69">
        <w:tab/>
      </w:r>
      <w:r w:rsidR="008A2A69" w:rsidRPr="008A2A69">
        <w:rPr>
          <w:b/>
        </w:rPr>
        <w:t>BCI</w:t>
      </w:r>
      <w:r w:rsidR="008A2A69" w:rsidRPr="008A2A69">
        <w:t xml:space="preserve"> Finances Pty Ltd;</w:t>
      </w:r>
    </w:p>
    <w:p w14:paraId="629B236E" w14:textId="3381FE88" w:rsidR="008A2A69" w:rsidRPr="008A2A69" w:rsidRDefault="008F3E79" w:rsidP="00AF2AB1">
      <w:pPr>
        <w:pStyle w:val="Quote3"/>
        <w:ind w:left="2880" w:hanging="720"/>
      </w:pPr>
      <w:r w:rsidRPr="008A2A69">
        <w:t>(b)</w:t>
      </w:r>
      <w:r w:rsidRPr="008A2A69">
        <w:tab/>
      </w:r>
      <w:r w:rsidR="008A2A69" w:rsidRPr="008A2A69">
        <w:t xml:space="preserve">ACN 078 272 867 Pty Limited, formerly </w:t>
      </w:r>
      <w:r w:rsidR="008A2A69" w:rsidRPr="008A2A69">
        <w:rPr>
          <w:b/>
        </w:rPr>
        <w:t>Advance</w:t>
      </w:r>
      <w:r w:rsidR="008A2A69" w:rsidRPr="008A2A69">
        <w:t xml:space="preserve"> Finances Pty Ltd;</w:t>
      </w:r>
    </w:p>
    <w:p w14:paraId="74AB2766" w14:textId="403B06D5" w:rsidR="008A2A69" w:rsidRPr="008A2A69" w:rsidRDefault="008F3E79" w:rsidP="00AF2AB1">
      <w:pPr>
        <w:pStyle w:val="Quote3"/>
        <w:ind w:left="2880" w:hanging="720"/>
      </w:pPr>
      <w:r w:rsidRPr="008A2A69">
        <w:t>(c)</w:t>
      </w:r>
      <w:r w:rsidRPr="008A2A69">
        <w:tab/>
      </w:r>
      <w:r w:rsidR="008A2A69" w:rsidRPr="008A2A69">
        <w:t xml:space="preserve">ACN 087 623 541 Pty Limited, formerly </w:t>
      </w:r>
      <w:r w:rsidR="008A2A69" w:rsidRPr="008A2A69">
        <w:rPr>
          <w:b/>
        </w:rPr>
        <w:t>Civic</w:t>
      </w:r>
      <w:r w:rsidR="008A2A69" w:rsidRPr="008A2A69">
        <w:t xml:space="preserve"> Finances Pty Ltd; and </w:t>
      </w:r>
    </w:p>
    <w:p w14:paraId="6513583B" w14:textId="0DDF07CD" w:rsidR="008A2A69" w:rsidRPr="008A2A69" w:rsidRDefault="008F3E79" w:rsidP="00AF2AB1">
      <w:pPr>
        <w:pStyle w:val="Quote3"/>
        <w:ind w:left="2880" w:hanging="720"/>
      </w:pPr>
      <w:r w:rsidRPr="008A2A69">
        <w:t>(d)</w:t>
      </w:r>
      <w:r w:rsidRPr="008A2A69">
        <w:tab/>
      </w:r>
      <w:r w:rsidR="008A2A69" w:rsidRPr="008A2A69">
        <w:rPr>
          <w:b/>
        </w:rPr>
        <w:t>EGL</w:t>
      </w:r>
      <w:r w:rsidR="008A2A69" w:rsidRPr="008A2A69">
        <w:t xml:space="preserve"> Development (Canberra) Pty Ltd;</w:t>
      </w:r>
    </w:p>
    <w:p w14:paraId="322CCA18" w14:textId="796AB642" w:rsidR="008A2A69" w:rsidRPr="008A2A69" w:rsidRDefault="008F3E79" w:rsidP="00AF2AB1">
      <w:pPr>
        <w:pStyle w:val="Quote2"/>
        <w:ind w:left="2160" w:hanging="720"/>
      </w:pPr>
      <w:r w:rsidRPr="008A2A69">
        <w:t>(4)</w:t>
      </w:r>
      <w:r w:rsidRPr="008A2A69">
        <w:tab/>
      </w:r>
      <w:r w:rsidR="008A2A69" w:rsidRPr="008A2A69">
        <w:t xml:space="preserve">BCI, Advance, Civic, and EGL, each received significant loans from Israeli banks which were not supported by any form of security, whether a back-to-back (abbreviated in some documents as </w:t>
      </w:r>
      <w:r w:rsidR="008A2A69" w:rsidRPr="008A2A69">
        <w:rPr>
          <w:b/>
        </w:rPr>
        <w:t>BTB</w:t>
      </w:r>
      <w:r w:rsidR="008A2A69" w:rsidRPr="008A2A69">
        <w:t>)</w:t>
      </w:r>
      <w:r w:rsidR="008A2A69" w:rsidRPr="008A2A69" w:rsidDel="00A054B7">
        <w:t xml:space="preserve"> </w:t>
      </w:r>
      <w:r w:rsidR="008A2A69" w:rsidRPr="008A2A69">
        <w:t>cash deposit or any other form of security, but only by personal guarantees; and</w:t>
      </w:r>
    </w:p>
    <w:p w14:paraId="7B51BB74" w14:textId="5C2E5B20" w:rsidR="008A2A69" w:rsidRPr="008A2A69" w:rsidRDefault="008F3E79" w:rsidP="00AF2AB1">
      <w:pPr>
        <w:pStyle w:val="Quote2"/>
        <w:ind w:left="2160" w:hanging="720"/>
      </w:pPr>
      <w:r w:rsidRPr="008A2A69">
        <w:t>(5)</w:t>
      </w:r>
      <w:r w:rsidRPr="008A2A69">
        <w:tab/>
      </w:r>
      <w:r w:rsidR="008A2A69" w:rsidRPr="008A2A69">
        <w:t xml:space="preserve">by inference, the Rawson loans were also not supported by any deposit or back-to-back arrangement, and MDB was willing to loan monies to Rawson on the strength of a personal guarantee from a former director of Rawson. </w:t>
      </w:r>
    </w:p>
    <w:p w14:paraId="09914EF3" w14:textId="2BA195C7" w:rsidR="008A2A69" w:rsidRPr="008A2A69" w:rsidRDefault="000D4D6A" w:rsidP="000D4D6A">
      <w:pPr>
        <w:pStyle w:val="Quote1"/>
        <w:ind w:left="1440" w:hanging="703"/>
      </w:pPr>
      <w:r>
        <w:t>8.</w:t>
      </w:r>
      <w:r>
        <w:tab/>
      </w:r>
      <w:r w:rsidR="008A2A69" w:rsidRPr="008A2A69">
        <w:t xml:space="preserve">In </w:t>
      </w:r>
      <w:r w:rsidR="008A2A69" w:rsidRPr="008A2A69">
        <w:rPr>
          <w:i/>
        </w:rPr>
        <w:t>Rawson (AAT)</w:t>
      </w:r>
      <w:r w:rsidR="008A2A69" w:rsidRPr="008A2A69">
        <w:t xml:space="preserve">, the Tribunal accepted that Rawson had established that the taxation assessments were excessive.  Accordingly, on 6 September 2011, the Tribunal set aside the Commissioner’s decisions insofar as the Commissioner had:  (a) included in Rawson’s assessable income any part of the funds transferred from MDB; and (b) disallowed deductions for interest.  As the Commissioner submitted, in so finding, the Tribunal accepted that: </w:t>
      </w:r>
    </w:p>
    <w:p w14:paraId="268E72DB" w14:textId="7786D643" w:rsidR="008A2A69" w:rsidRPr="008A2A69" w:rsidRDefault="008A2A69" w:rsidP="00E75C5D">
      <w:pPr>
        <w:pStyle w:val="Quote3"/>
      </w:pPr>
      <w:r w:rsidRPr="008A2A69">
        <w:t xml:space="preserve">Rawson, a recently incorporated Australian company with no net assets and issued share capital of $2 was able to obtain a loan for AUD4.75 million from a reputable Israeli bank whilst providing no security and was able to seemingly default on its interest payment </w:t>
      </w:r>
      <w:r w:rsidRPr="008A2A69">
        <w:lastRenderedPageBreak/>
        <w:t>obligations for lengthy periods of time without any recovery steps being taken, or without any apparent response from MDB.</w:t>
      </w:r>
    </w:p>
    <w:p w14:paraId="41D90656" w14:textId="77777777" w:rsidR="008A2A69" w:rsidRPr="008A2A69" w:rsidRDefault="008A2A69" w:rsidP="00E75C5D">
      <w:pPr>
        <w:pStyle w:val="Quote3"/>
      </w:pPr>
      <w:r w:rsidRPr="008A2A69">
        <w:t>(Applicant’s Outline of Submissions (</w:t>
      </w:r>
      <w:r w:rsidRPr="008A2A69">
        <w:rPr>
          <w:b/>
        </w:rPr>
        <w:t>AS</w:t>
      </w:r>
      <w:r w:rsidRPr="008A2A69">
        <w:t>) at [10].)</w:t>
      </w:r>
    </w:p>
    <w:p w14:paraId="3DD4F5B9" w14:textId="54BFDDF2" w:rsidR="008A2A69" w:rsidRPr="008A2A69" w:rsidRDefault="00E75C5D" w:rsidP="00E75C5D">
      <w:pPr>
        <w:pStyle w:val="Quote1"/>
        <w:ind w:left="1440" w:hanging="703"/>
      </w:pPr>
      <w:r>
        <w:t>9.</w:t>
      </w:r>
      <w:r>
        <w:tab/>
      </w:r>
      <w:r w:rsidR="008A2A69" w:rsidRPr="008A2A69">
        <w:t xml:space="preserve">The Commissioner instituted an appeal against the AAT decision in the Federal Court under s 44 of the </w:t>
      </w:r>
      <w:r w:rsidR="008A2A69" w:rsidRPr="008A2A69">
        <w:rPr>
          <w:i/>
        </w:rPr>
        <w:t>Administrative Appeals Tribunal Act 1975</w:t>
      </w:r>
      <w:r w:rsidR="008A2A69" w:rsidRPr="008A2A69">
        <w:t xml:space="preserve"> (</w:t>
      </w:r>
      <w:proofErr w:type="spellStart"/>
      <w:r w:rsidR="008A2A69" w:rsidRPr="008A2A69">
        <w:t>Cth</w:t>
      </w:r>
      <w:proofErr w:type="spellEnd"/>
      <w:r w:rsidR="008A2A69" w:rsidRPr="008A2A69">
        <w:t>) (</w:t>
      </w:r>
      <w:r w:rsidR="008A2A69" w:rsidRPr="008A2A69">
        <w:rPr>
          <w:b/>
        </w:rPr>
        <w:t>AAT Act</w:t>
      </w:r>
      <w:r w:rsidR="008A2A69" w:rsidRPr="008A2A69">
        <w:t xml:space="preserve">).  This was an appeal on a question of law only and not as to the merits of the AAT decision.  In other words, as Jessup J held in </w:t>
      </w:r>
      <w:r w:rsidR="008A2A69" w:rsidRPr="008A2A69">
        <w:rPr>
          <w:i/>
        </w:rPr>
        <w:t xml:space="preserve">Rawson (FCAFC) </w:t>
      </w:r>
      <w:r w:rsidR="008A2A69" w:rsidRPr="008A2A69">
        <w:t>at [60], disagreement, or even strong disagreement, with the findings by the AAT would not suffice to establish a basis on which the Court could interfere with the AAT’s decision.</w:t>
      </w:r>
    </w:p>
    <w:p w14:paraId="2DE383F0" w14:textId="150E8095" w:rsidR="008A2A69" w:rsidRPr="008A2A69" w:rsidRDefault="00E75C5D" w:rsidP="00E75C5D">
      <w:pPr>
        <w:pStyle w:val="Quote1"/>
        <w:ind w:left="1440" w:hanging="703"/>
      </w:pPr>
      <w:r>
        <w:t>10.</w:t>
      </w:r>
      <w:r>
        <w:tab/>
      </w:r>
      <w:r w:rsidR="008A2A69" w:rsidRPr="008A2A69">
        <w:t>On 17 July 2012, Edmonds J allowed the Commissioner’s appeal on the ground that the AAT’s conclusion, that the Tribunal’s characterisation of Rawson’s funds received from MDB in 1997 as “loans”, was not open on the evidence, and Rawson had not therefore discharged its onus of proof under s 14ZZK(b)(</w:t>
      </w:r>
      <w:proofErr w:type="spellStart"/>
      <w:r w:rsidR="008A2A69" w:rsidRPr="008A2A69">
        <w:t>i</w:t>
      </w:r>
      <w:proofErr w:type="spellEnd"/>
      <w:r w:rsidR="008A2A69" w:rsidRPr="008A2A69">
        <w:t xml:space="preserve">) of the TAA:  </w:t>
      </w:r>
      <w:r w:rsidR="008A2A69" w:rsidRPr="008A2A69">
        <w:rPr>
          <w:i/>
        </w:rPr>
        <w:t>Commissioner of Taxation v Rawson Finances Pty Ltd</w:t>
      </w:r>
      <w:r w:rsidR="008A2A69" w:rsidRPr="008A2A69">
        <w:t xml:space="preserve"> [2012] FCA 753; (2012) 89 ATR 357 (</w:t>
      </w:r>
      <w:r w:rsidR="008A2A69" w:rsidRPr="008A2A69">
        <w:rPr>
          <w:b/>
          <w:i/>
        </w:rPr>
        <w:t>Rawson (FCA)</w:t>
      </w:r>
      <w:r w:rsidR="008A2A69" w:rsidRPr="008A2A69">
        <w:t xml:space="preserve"> at [18]).  Rawson then appealed from that decision to the Full Court, alleging that the primary judge had erred in failing to consider evidence which supported the inference that the 1997 transfers were by way of loans.  </w:t>
      </w:r>
      <w:r w:rsidR="008A2A69" w:rsidRPr="008A2A69">
        <w:rPr>
          <w:sz w:val="23"/>
          <w:szCs w:val="23"/>
        </w:rPr>
        <w:t xml:space="preserve">On 5 March 2013, the Full Court in </w:t>
      </w:r>
      <w:r w:rsidR="008A2A69" w:rsidRPr="008A2A69">
        <w:rPr>
          <w:i/>
          <w:sz w:val="23"/>
          <w:szCs w:val="23"/>
        </w:rPr>
        <w:t>Rawson (FCAFC)</w:t>
      </w:r>
      <w:r w:rsidR="008A2A69" w:rsidRPr="008A2A69">
        <w:rPr>
          <w:sz w:val="23"/>
          <w:szCs w:val="23"/>
        </w:rPr>
        <w:t xml:space="preserve"> allowed Rawson’s </w:t>
      </w:r>
      <w:r w:rsidR="008A2A69" w:rsidRPr="008A2A69">
        <w:t>appeal, set aside the orders of the primary judge, and in lieu thereof, ordered that the application by way of appeal from the AAT be dismissed</w:t>
      </w:r>
      <w:r w:rsidR="008A2A69" w:rsidRPr="008A2A69">
        <w:rPr>
          <w:sz w:val="23"/>
          <w:szCs w:val="23"/>
        </w:rPr>
        <w:t xml:space="preserve">. </w:t>
      </w:r>
    </w:p>
    <w:p w14:paraId="7276473A" w14:textId="409B66EF" w:rsidR="008A2A69" w:rsidRPr="008A2A69" w:rsidRDefault="00111121" w:rsidP="00111121">
      <w:pPr>
        <w:pStyle w:val="Quote1"/>
        <w:ind w:left="1440"/>
      </w:pPr>
      <w:r>
        <w:t>…</w:t>
      </w:r>
    </w:p>
    <w:p w14:paraId="3E976798" w14:textId="586D26A0" w:rsidR="008A2A69" w:rsidRPr="008A2A69" w:rsidRDefault="009E461F" w:rsidP="009E461F">
      <w:pPr>
        <w:pStyle w:val="Quote1"/>
        <w:ind w:left="1440" w:hanging="703"/>
      </w:pPr>
      <w:r>
        <w:t>12.</w:t>
      </w:r>
      <w:r>
        <w:tab/>
      </w:r>
      <w:r w:rsidR="008A2A69" w:rsidRPr="008A2A69">
        <w:t xml:space="preserve">The Commissioner contends that he subsequently obtained a substantial body of new evidence since judgment in </w:t>
      </w:r>
      <w:r w:rsidR="008A2A69" w:rsidRPr="008A2A69">
        <w:rPr>
          <w:i/>
        </w:rPr>
        <w:t xml:space="preserve">Rawson (FCAFC).  </w:t>
      </w:r>
      <w:r w:rsidR="008A2A69" w:rsidRPr="008A2A69">
        <w:t xml:space="preserve">The </w:t>
      </w:r>
      <w:r w:rsidR="008A2A69" w:rsidRPr="008A2A69">
        <w:rPr>
          <w:b/>
        </w:rPr>
        <w:t>new evidence</w:t>
      </w:r>
      <w:r w:rsidR="008A2A69" w:rsidRPr="008A2A69">
        <w:t xml:space="preserve"> (which, together with the evidence and other documents pertaining to the </w:t>
      </w:r>
      <w:r w:rsidR="008A2A69" w:rsidRPr="008A2A69">
        <w:rPr>
          <w:i/>
        </w:rPr>
        <w:t>Rawson (AAT)</w:t>
      </w:r>
      <w:r w:rsidR="008A2A69" w:rsidRPr="008A2A69">
        <w:t xml:space="preserve"> proceedings, comprised </w:t>
      </w:r>
      <w:r w:rsidR="008A2A69" w:rsidRPr="008A2A69">
        <w:rPr>
          <w:b/>
        </w:rPr>
        <w:t xml:space="preserve">56 </w:t>
      </w:r>
      <w:r w:rsidR="008A2A69" w:rsidRPr="008A2A69">
        <w:t>volumes) includes the following:</w:t>
      </w:r>
    </w:p>
    <w:p w14:paraId="2EFF2713" w14:textId="25260F0C" w:rsidR="009E461F" w:rsidRDefault="009E461F" w:rsidP="00AF2AB1">
      <w:pPr>
        <w:pStyle w:val="Quote2"/>
        <w:ind w:left="2160" w:hanging="720"/>
      </w:pPr>
      <w:r>
        <w:t>(1)</w:t>
      </w:r>
      <w:r>
        <w:tab/>
      </w:r>
      <w:r w:rsidR="008A2A69" w:rsidRPr="008A2A69">
        <w:t xml:space="preserve">documents and translated transcripts of examinations of officers of Bank </w:t>
      </w:r>
      <w:proofErr w:type="spellStart"/>
      <w:r w:rsidR="008A2A69" w:rsidRPr="008A2A69">
        <w:t>Hapoalim</w:t>
      </w:r>
      <w:proofErr w:type="spellEnd"/>
      <w:r w:rsidR="008A2A69" w:rsidRPr="008A2A69">
        <w:t xml:space="preserve"> obtained pursuant to the letter of request in the </w:t>
      </w:r>
      <w:r w:rsidR="008A2A69" w:rsidRPr="009E461F">
        <w:rPr>
          <w:b/>
        </w:rPr>
        <w:t>BCI proceedings</w:t>
      </w:r>
      <w:r w:rsidR="008A2A69" w:rsidRPr="008A2A69">
        <w:t xml:space="preserve"> (</w:t>
      </w:r>
      <w:r w:rsidR="008A2A69" w:rsidRPr="009E461F">
        <w:rPr>
          <w:i/>
        </w:rPr>
        <w:t>BCI Finances Pty Ltd v Commissioner of Taxation</w:t>
      </w:r>
      <w:r w:rsidR="008A2A69" w:rsidRPr="008A2A69">
        <w:t xml:space="preserve"> [2012] FCA 855; (2012) 89 ATR 861) (</w:t>
      </w:r>
      <w:r w:rsidR="008A2A69" w:rsidRPr="009E461F">
        <w:rPr>
          <w:b/>
        </w:rPr>
        <w:t>BCI letter of request</w:t>
      </w:r>
      <w:r w:rsidR="008A2A69" w:rsidRPr="008A2A69">
        <w:t>) (noting that leave was granted to use these documents in the present proceeding);</w:t>
      </w:r>
      <w:r>
        <w:t xml:space="preserve"> </w:t>
      </w:r>
    </w:p>
    <w:p w14:paraId="03D783E3" w14:textId="55F5D310" w:rsidR="008A2A69" w:rsidRPr="008A2A69" w:rsidRDefault="009E461F" w:rsidP="00AF2AB1">
      <w:pPr>
        <w:pStyle w:val="Quote2"/>
        <w:ind w:left="2160" w:hanging="720"/>
      </w:pPr>
      <w:r>
        <w:t>(2)</w:t>
      </w:r>
      <w:r>
        <w:tab/>
      </w:r>
      <w:r w:rsidR="008A2A69" w:rsidRPr="008A2A69">
        <w:t xml:space="preserve">documents produced by the liquidators of Advance and Civic in March and July 2015; </w:t>
      </w:r>
    </w:p>
    <w:p w14:paraId="7DEB4AE4" w14:textId="29AAC6B5" w:rsidR="008A2A69" w:rsidRPr="008A2A69" w:rsidRDefault="009E461F" w:rsidP="00AF2AB1">
      <w:pPr>
        <w:pStyle w:val="Quote2"/>
        <w:ind w:left="2160" w:hanging="720"/>
      </w:pPr>
      <w:r>
        <w:t>(3)</w:t>
      </w:r>
      <w:r>
        <w:tab/>
      </w:r>
      <w:r w:rsidR="008A2A69" w:rsidRPr="008A2A69">
        <w:t xml:space="preserve">documents produced on 2 February 2020 and 21 April 2020 in answer to the subpoena issued in these proceedings; </w:t>
      </w:r>
    </w:p>
    <w:p w14:paraId="46A50C35" w14:textId="1680F2B6" w:rsidR="008A2A69" w:rsidRPr="008A2A69" w:rsidRDefault="009E461F" w:rsidP="00AF2AB1">
      <w:pPr>
        <w:pStyle w:val="Quote2"/>
        <w:ind w:left="2160" w:hanging="720"/>
      </w:pPr>
      <w:r>
        <w:t>(4)</w:t>
      </w:r>
      <w:r>
        <w:tab/>
        <w:t>t</w:t>
      </w:r>
      <w:r w:rsidR="008A2A69" w:rsidRPr="008A2A69">
        <w:t>ranslated transcripts of examinations of Messrs Zamir, Septon and Antebi</w:t>
      </w:r>
      <w:r>
        <w:t xml:space="preserve">  </w:t>
      </w:r>
      <w:r w:rsidR="008A2A69" w:rsidRPr="008A2A69">
        <w:t>conducted pursuant to the Rawson letters of request; and</w:t>
      </w:r>
    </w:p>
    <w:p w14:paraId="44D21F00" w14:textId="65A3119E" w:rsidR="008A2A69" w:rsidRPr="008A2A69" w:rsidRDefault="009E461F" w:rsidP="00AF2AB1">
      <w:pPr>
        <w:pStyle w:val="Quote2"/>
        <w:ind w:left="2160" w:hanging="720"/>
      </w:pPr>
      <w:r>
        <w:t>(5)</w:t>
      </w:r>
      <w:r>
        <w:tab/>
      </w:r>
      <w:r w:rsidR="008A2A69" w:rsidRPr="008A2A69">
        <w:t>documents produced by MDB pursuant to the Rawson letters of request.</w:t>
      </w:r>
    </w:p>
    <w:p w14:paraId="4BFC235B" w14:textId="08F62C77" w:rsidR="008A2A69" w:rsidRPr="008A2A69" w:rsidRDefault="009E461F" w:rsidP="009E461F">
      <w:pPr>
        <w:pStyle w:val="Quote1"/>
        <w:ind w:left="1440" w:hanging="703"/>
      </w:pPr>
      <w:r>
        <w:t>13.</w:t>
      </w:r>
      <w:r>
        <w:tab/>
      </w:r>
      <w:r w:rsidR="008A2A69" w:rsidRPr="008A2A69">
        <w:t xml:space="preserve">The Commissioner contends that the new evidence establishes </w:t>
      </w:r>
      <w:r w:rsidR="008A2A69" w:rsidRPr="008A2A69">
        <w:rPr>
          <w:b/>
          <w:i/>
        </w:rPr>
        <w:t>first</w:t>
      </w:r>
      <w:r w:rsidR="008A2A69" w:rsidRPr="008A2A69">
        <w:t xml:space="preserve"> that the loans to BCI, Advance, Civic and EGL were in fact secured by secret cash deposits and described as back-to-back loans, and that these matters were</w:t>
      </w:r>
      <w:r w:rsidR="009C2064">
        <w:t xml:space="preserve"> </w:t>
      </w:r>
      <w:r w:rsidR="008A2A69" w:rsidRPr="008A2A69">
        <w:t xml:space="preserve">known to witnesses who gave false or misleading evidence to the contrary on behalf of, and to the knowledge of, Rawson in the </w:t>
      </w:r>
      <w:r w:rsidR="008A2A69" w:rsidRPr="008A2A69">
        <w:rPr>
          <w:i/>
        </w:rPr>
        <w:t>Rawson (AAT)</w:t>
      </w:r>
      <w:r w:rsidR="008A2A69" w:rsidRPr="008A2A69">
        <w:t xml:space="preserve"> proceedings.  </w:t>
      </w:r>
      <w:r w:rsidR="008A2A69" w:rsidRPr="008A2A69">
        <w:rPr>
          <w:b/>
          <w:i/>
        </w:rPr>
        <w:t>Secondly</w:t>
      </w:r>
      <w:r w:rsidR="008A2A69" w:rsidRPr="008A2A69">
        <w:t xml:space="preserve">, the Commissioner alleges that the new evidence establishes that the </w:t>
      </w:r>
      <w:r w:rsidR="008A2A69" w:rsidRPr="008A2A69">
        <w:lastRenderedPageBreak/>
        <w:t xml:space="preserve">Rawson loans were supported by a secret linked deposit account in a code name and that Rawson’s case that they were secured only by personal guarantees was knowingly false.  </w:t>
      </w:r>
      <w:r w:rsidR="008A2A69" w:rsidRPr="008A2A69">
        <w:rPr>
          <w:b/>
          <w:i/>
        </w:rPr>
        <w:t>Thirdly</w:t>
      </w:r>
      <w:r w:rsidR="008A2A69" w:rsidRPr="008A2A69">
        <w:t>,</w:t>
      </w:r>
      <w:r w:rsidR="008A2A69" w:rsidRPr="008A2A69">
        <w:rPr>
          <w:b/>
          <w:i/>
        </w:rPr>
        <w:t xml:space="preserve"> </w:t>
      </w:r>
      <w:r w:rsidR="008A2A69" w:rsidRPr="008A2A69">
        <w:t xml:space="preserve">and also based upon the new evidence, the Commissioner alleges that the decisions in </w:t>
      </w:r>
      <w:r w:rsidR="008A2A69" w:rsidRPr="008A2A69">
        <w:rPr>
          <w:i/>
        </w:rPr>
        <w:t xml:space="preserve">Rawson (AAT) </w:t>
      </w:r>
      <w:r w:rsidR="008A2A69" w:rsidRPr="008A2A69">
        <w:t xml:space="preserve">and </w:t>
      </w:r>
      <w:r w:rsidR="008A2A69" w:rsidRPr="008A2A69">
        <w:rPr>
          <w:i/>
        </w:rPr>
        <w:t xml:space="preserve">Rawson (FCAFC) </w:t>
      </w:r>
      <w:r w:rsidR="008A2A69" w:rsidRPr="008A2A69">
        <w:t xml:space="preserve">were obtained by fraud and that the fraud was material to the outcome of the </w:t>
      </w:r>
      <w:r w:rsidR="008A2A69" w:rsidRPr="008A2A69">
        <w:rPr>
          <w:i/>
        </w:rPr>
        <w:t>Rawson (AAT)</w:t>
      </w:r>
      <w:r w:rsidR="008A2A69" w:rsidRPr="008A2A69">
        <w:t xml:space="preserve"> proceedings.  </w:t>
      </w:r>
    </w:p>
    <w:p w14:paraId="5168E92B" w14:textId="26B1A790" w:rsidR="008A2A69" w:rsidRDefault="009E461F" w:rsidP="00EA6BDD">
      <w:pPr>
        <w:pStyle w:val="Quote1"/>
        <w:ind w:left="1440" w:hanging="703"/>
      </w:pPr>
      <w:r>
        <w:t>14.</w:t>
      </w:r>
      <w:r>
        <w:tab/>
      </w:r>
      <w:r w:rsidR="008A2A69" w:rsidRPr="008A2A69">
        <w:t xml:space="preserve">For the reasons given below, the new evidence overwhelmingly establishes that the decisions of the AAT and the FCAFC were obtained by fraud on the part of Rawson (but not on the part of the legal practitioners making submissions in the </w:t>
      </w:r>
      <w:r w:rsidR="008A2A69" w:rsidRPr="008A2A69">
        <w:rPr>
          <w:i/>
        </w:rPr>
        <w:t xml:space="preserve">Rawson (AAT) </w:t>
      </w:r>
      <w:r w:rsidR="008A2A69" w:rsidRPr="008A2A69">
        <w:t>and Federal Court</w:t>
      </w:r>
      <w:r w:rsidR="008A2A69" w:rsidRPr="008A2A69">
        <w:rPr>
          <w:i/>
        </w:rPr>
        <w:t xml:space="preserve"> </w:t>
      </w:r>
      <w:r w:rsidR="008A2A69" w:rsidRPr="008A2A69">
        <w:t xml:space="preserve">proceedings).  </w:t>
      </w:r>
      <w:r w:rsidR="008A2A69" w:rsidRPr="008A2A69">
        <w:rPr>
          <w:b/>
          <w:i/>
        </w:rPr>
        <w:t>First</w:t>
      </w:r>
      <w:r w:rsidR="008A2A69" w:rsidRPr="008A2A69">
        <w:t xml:space="preserve">, this is now established by direct evidence of Rawson’s loan arrangements with MDB and Rawson’s knowledge of the fraud through its director and company secretary, </w:t>
      </w:r>
      <w:r w:rsidR="008A2A69" w:rsidRPr="008A2A69">
        <w:rPr>
          <w:b/>
        </w:rPr>
        <w:t>Andrew</w:t>
      </w:r>
      <w:r w:rsidR="008A2A69" w:rsidRPr="008A2A69">
        <w:t xml:space="preserve"> Binetter.  </w:t>
      </w:r>
      <w:r w:rsidR="008A2A69" w:rsidRPr="008A2A69">
        <w:rPr>
          <w:b/>
          <w:i/>
        </w:rPr>
        <w:t>Secondly</w:t>
      </w:r>
      <w:r w:rsidR="008A2A69" w:rsidRPr="008A2A69">
        <w:t>, the Commissioner also adduced new evidence in relation to other Binetter family entities (including BCI, Advance, Civic and EGL) because Rawson ran an inferential case before the AAT that it followed the same “</w:t>
      </w:r>
      <w:r w:rsidR="008A2A69" w:rsidRPr="008A2A69">
        <w:rPr>
          <w:i/>
        </w:rPr>
        <w:t>business practice</w:t>
      </w:r>
      <w:r w:rsidR="008A2A69" w:rsidRPr="008A2A69">
        <w:t xml:space="preserve">” as its related entities.  Accordingly, the new evidence of the actual business practices of those entities was relied upon by the Commissioner in support of the alleged fraud perpetrated by Rawson.  While, given direct evidence of the fraud, it might not be strictly necessary for me to make findings in relation to Rawson’s case in the AAT to the extent that it was based upon the alleged business practices of those related entities, I have nonetheless addressed that evidence.  In particular, as trial judge, it is incumbent upon me to make findings with respect to all material issues.  Furthermore, that evidence further strengthens the finding of fraud that I have made and exposes the extent of the fraud perpetrated by Rawson on the AAT and the Full Court.  It also exposes the lengths to which Rawson went to conceal the back-to-back nature of its arrangement with MDB, seeking at every stage to conceal the fraud.  </w:t>
      </w:r>
      <w:r w:rsidR="008A2A69" w:rsidRPr="008A2A69">
        <w:rPr>
          <w:b/>
          <w:i/>
        </w:rPr>
        <w:t>Thirdly</w:t>
      </w:r>
      <w:r w:rsidR="008A2A69" w:rsidRPr="008A2A69">
        <w:t xml:space="preserve">, I have no doubt that the fraud was material to the outcome of the AAT and in turn to the decision of the Full Court.  </w:t>
      </w:r>
    </w:p>
    <w:p w14:paraId="25AD8620" w14:textId="529FEC05" w:rsidR="00147A33" w:rsidRDefault="008F3E79" w:rsidP="008F3E79">
      <w:pPr>
        <w:pStyle w:val="ParaNumbering"/>
        <w:numPr>
          <w:ilvl w:val="0"/>
          <w:numId w:val="0"/>
        </w:numPr>
        <w:ind w:hanging="720"/>
      </w:pPr>
      <w:r>
        <w:rPr>
          <w:sz w:val="20"/>
        </w:rPr>
        <w:t>9</w:t>
      </w:r>
      <w:r>
        <w:rPr>
          <w:sz w:val="20"/>
        </w:rPr>
        <w:tab/>
      </w:r>
      <w:r w:rsidR="0083048B">
        <w:t>O</w:t>
      </w:r>
      <w:r w:rsidR="00953F27">
        <w:t xml:space="preserve">ne further </w:t>
      </w:r>
      <w:r w:rsidR="0083048B">
        <w:t>aspect</w:t>
      </w:r>
      <w:r w:rsidR="00953F27">
        <w:t xml:space="preserve"> of the </w:t>
      </w:r>
      <w:r w:rsidR="00D87589">
        <w:rPr>
          <w:i/>
          <w:iCs/>
        </w:rPr>
        <w:t xml:space="preserve">Rawson Primary Judgment </w:t>
      </w:r>
      <w:r w:rsidR="00D87589">
        <w:t xml:space="preserve">proceeding </w:t>
      </w:r>
      <w:r w:rsidR="003F05F1">
        <w:t>shoul</w:t>
      </w:r>
      <w:r w:rsidR="00973772">
        <w:t>d be</w:t>
      </w:r>
      <w:r w:rsidR="003F05F1">
        <w:t xml:space="preserve"> </w:t>
      </w:r>
      <w:r w:rsidR="00D87589">
        <w:t>emphasis</w:t>
      </w:r>
      <w:r w:rsidR="00973772">
        <w:t>ed at the outset</w:t>
      </w:r>
      <w:r w:rsidR="00D87589">
        <w:t xml:space="preserve">.  </w:t>
      </w:r>
      <w:r w:rsidR="00941608">
        <w:t xml:space="preserve">The </w:t>
      </w:r>
      <w:r w:rsidR="00941608">
        <w:rPr>
          <w:i/>
          <w:iCs/>
        </w:rPr>
        <w:t xml:space="preserve">Rawson Primary </w:t>
      </w:r>
      <w:r w:rsidR="007F058D">
        <w:rPr>
          <w:i/>
          <w:iCs/>
        </w:rPr>
        <w:t xml:space="preserve">Judgment </w:t>
      </w:r>
      <w:r w:rsidR="007F058D">
        <w:t xml:space="preserve">concerned an application to set aside a judgment for fraud.  </w:t>
      </w:r>
      <w:r w:rsidR="007D3E08">
        <w:t xml:space="preserve">Importantly, </w:t>
      </w:r>
      <w:r w:rsidR="00044CCE">
        <w:t>a “</w:t>
      </w:r>
      <w:r w:rsidR="00044CCE" w:rsidRPr="00044CCE">
        <w:rPr>
          <w:i/>
          <w:iCs/>
        </w:rPr>
        <w:t>cause of action to set aside a judgment for fraud is independent of the cause of action asserted in the earlier proceeding</w:t>
      </w:r>
      <w:r w:rsidR="00044CCE">
        <w:t xml:space="preserve">”:  </w:t>
      </w:r>
      <w:r w:rsidR="006770A5" w:rsidRPr="00F14799">
        <w:rPr>
          <w:b/>
          <w:bCs/>
          <w:i/>
          <w:iCs/>
        </w:rPr>
        <w:t>Takhar</w:t>
      </w:r>
      <w:r w:rsidR="006770A5" w:rsidRPr="00F14799">
        <w:rPr>
          <w:i/>
          <w:iCs/>
        </w:rPr>
        <w:t xml:space="preserve"> v </w:t>
      </w:r>
      <w:proofErr w:type="spellStart"/>
      <w:r w:rsidR="006770A5" w:rsidRPr="00F14799">
        <w:rPr>
          <w:i/>
          <w:iCs/>
        </w:rPr>
        <w:t>Gracefield</w:t>
      </w:r>
      <w:proofErr w:type="spellEnd"/>
      <w:r w:rsidR="006770A5" w:rsidRPr="00F14799">
        <w:rPr>
          <w:i/>
          <w:iCs/>
        </w:rPr>
        <w:t xml:space="preserve"> Developments Ltd</w:t>
      </w:r>
      <w:r w:rsidR="006770A5" w:rsidRPr="00F14799">
        <w:t xml:space="preserve"> [2019] UKSC 13; [2020] AC 450</w:t>
      </w:r>
      <w:r w:rsidR="006770A5" w:rsidRPr="006770A5">
        <w:t xml:space="preserve"> at [61]</w:t>
      </w:r>
      <w:r w:rsidR="00044CCE">
        <w:t xml:space="preserve"> </w:t>
      </w:r>
      <w:r w:rsidR="006770A5">
        <w:t xml:space="preserve">(Lord Sumption, with whom </w:t>
      </w:r>
      <w:r w:rsidR="006770A5" w:rsidRPr="006770A5">
        <w:t>Lord Hodge, Lord Lloyd-Jones and Lord Kitchin agreed)</w:t>
      </w:r>
      <w:r w:rsidR="006770A5">
        <w:t>.</w:t>
      </w:r>
      <w:r w:rsidR="009C4F2C">
        <w:t xml:space="preserve">  </w:t>
      </w:r>
      <w:r w:rsidR="00CC6D87">
        <w:t>The Commissioner</w:t>
      </w:r>
      <w:r w:rsidR="00917417">
        <w:t xml:space="preserve"> did not therefore seek to re-open the </w:t>
      </w:r>
      <w:r w:rsidR="006C49AF">
        <w:t xml:space="preserve">earlier Full Court proceeding </w:t>
      </w:r>
      <w:r w:rsidR="0050677A">
        <w:t>to set aside</w:t>
      </w:r>
      <w:r w:rsidR="006C49AF">
        <w:t xml:space="preserve"> the orders </w:t>
      </w:r>
      <w:r w:rsidR="0050677A">
        <w:t xml:space="preserve">that had been </w:t>
      </w:r>
      <w:r w:rsidR="006C49AF">
        <w:t xml:space="preserve">obtained by fraud.  Rather, in </w:t>
      </w:r>
      <w:r w:rsidR="009C45AA">
        <w:t>accordance</w:t>
      </w:r>
      <w:r w:rsidR="006C49AF">
        <w:t xml:space="preserve"> with well-established authority</w:t>
      </w:r>
      <w:r w:rsidR="008B39C6">
        <w:t xml:space="preserve"> as explained in the </w:t>
      </w:r>
      <w:r w:rsidR="008B39C6">
        <w:rPr>
          <w:i/>
        </w:rPr>
        <w:t>Rawson Primary Judgment</w:t>
      </w:r>
      <w:r w:rsidR="009F1DF3">
        <w:rPr>
          <w:i/>
        </w:rPr>
        <w:t xml:space="preserve"> </w:t>
      </w:r>
      <w:r w:rsidR="009F1DF3">
        <w:t>at</w:t>
      </w:r>
      <w:r w:rsidR="00633738">
        <w:t> </w:t>
      </w:r>
      <w:r w:rsidR="009F1DF3">
        <w:t>[</w:t>
      </w:r>
      <w:r w:rsidR="00502DDE">
        <w:t>62</w:t>
      </w:r>
      <w:r w:rsidR="009F1DF3">
        <w:t>]</w:t>
      </w:r>
      <w:r w:rsidR="006C49AF">
        <w:t xml:space="preserve">, </w:t>
      </w:r>
      <w:r w:rsidR="009C45AA">
        <w:t xml:space="preserve">the Commissioner </w:t>
      </w:r>
      <w:r w:rsidR="009F1DF3">
        <w:t>instituted</w:t>
      </w:r>
      <w:r w:rsidR="009C45AA">
        <w:t xml:space="preserve"> </w:t>
      </w:r>
      <w:r w:rsidR="009F1DF3">
        <w:t xml:space="preserve">fresh </w:t>
      </w:r>
      <w:r w:rsidR="00BD42DE">
        <w:t>proceeding</w:t>
      </w:r>
      <w:r w:rsidR="006C49AF">
        <w:t>s</w:t>
      </w:r>
      <w:r w:rsidR="00BD42DE">
        <w:t xml:space="preserve"> based on </w:t>
      </w:r>
      <w:r w:rsidR="00CC6D87">
        <w:t xml:space="preserve">a distinct and separate cause of action </w:t>
      </w:r>
      <w:r w:rsidR="00FB1879">
        <w:t>in</w:t>
      </w:r>
      <w:r w:rsidR="009F1DF3">
        <w:t xml:space="preserve"> fraud</w:t>
      </w:r>
      <w:r w:rsidR="006549F3">
        <w:t>.</w:t>
      </w:r>
      <w:r w:rsidR="00117428">
        <w:t xml:space="preserve">  </w:t>
      </w:r>
    </w:p>
    <w:p w14:paraId="6346674A" w14:textId="0AB165ED" w:rsidR="006549F3" w:rsidRPr="008A2A69" w:rsidRDefault="008F3E79" w:rsidP="008F3E79">
      <w:pPr>
        <w:pStyle w:val="ParaNumbering"/>
        <w:numPr>
          <w:ilvl w:val="0"/>
          <w:numId w:val="0"/>
        </w:numPr>
        <w:ind w:hanging="720"/>
      </w:pPr>
      <w:r w:rsidRPr="008A2A69">
        <w:rPr>
          <w:sz w:val="20"/>
        </w:rPr>
        <w:t>10</w:t>
      </w:r>
      <w:r w:rsidRPr="008A2A69">
        <w:rPr>
          <w:sz w:val="20"/>
        </w:rPr>
        <w:tab/>
      </w:r>
      <w:r w:rsidR="00DB47A5">
        <w:t>As I later explain, t</w:t>
      </w:r>
      <w:r w:rsidR="003544ED">
        <w:t xml:space="preserve">his </w:t>
      </w:r>
      <w:r w:rsidR="00117428">
        <w:t>feature of the</w:t>
      </w:r>
      <w:r w:rsidR="003544ED">
        <w:t xml:space="preserve"> proceedings before me </w:t>
      </w:r>
      <w:r w:rsidR="00147A33">
        <w:t xml:space="preserve">is </w:t>
      </w:r>
      <w:r w:rsidR="00117428">
        <w:t>significan</w:t>
      </w:r>
      <w:r w:rsidR="00147A33">
        <w:t>t</w:t>
      </w:r>
      <w:r w:rsidR="00117428">
        <w:t xml:space="preserve"> in terms of assessing </w:t>
      </w:r>
      <w:r w:rsidR="00917417">
        <w:t xml:space="preserve">whether </w:t>
      </w:r>
      <w:r w:rsidR="00117428">
        <w:t xml:space="preserve">indemnity costs </w:t>
      </w:r>
      <w:r w:rsidR="00917417">
        <w:t xml:space="preserve">should be awarded </w:t>
      </w:r>
      <w:r w:rsidR="00B917EB">
        <w:t>in</w:t>
      </w:r>
      <w:r w:rsidR="00117428">
        <w:t xml:space="preserve"> this proceeding.</w:t>
      </w:r>
      <w:r w:rsidR="00147A33">
        <w:t xml:space="preserve">  </w:t>
      </w:r>
      <w:r w:rsidR="006549F3">
        <w:t xml:space="preserve">For present purposes, </w:t>
      </w:r>
      <w:r w:rsidR="009F2ED4">
        <w:t>it suffices to not</w:t>
      </w:r>
      <w:r w:rsidR="0020541A">
        <w:t>e</w:t>
      </w:r>
      <w:r w:rsidR="009F2ED4">
        <w:t xml:space="preserve"> </w:t>
      </w:r>
      <w:r w:rsidR="006549F3">
        <w:t xml:space="preserve">that </w:t>
      </w:r>
      <w:r w:rsidR="00D02718">
        <w:t>the application for indemnity costs</w:t>
      </w:r>
      <w:r w:rsidR="004C5EAB">
        <w:t xml:space="preserve"> as pressed</w:t>
      </w:r>
      <w:r w:rsidR="00D02718">
        <w:t xml:space="preserve"> relate</w:t>
      </w:r>
      <w:r w:rsidR="0020364E">
        <w:t>s</w:t>
      </w:r>
      <w:r w:rsidR="00D02718">
        <w:t xml:space="preserve"> only to the </w:t>
      </w:r>
      <w:r w:rsidR="006549F3">
        <w:t xml:space="preserve">costs </w:t>
      </w:r>
      <w:r w:rsidR="00252CC4">
        <w:t xml:space="preserve">of </w:t>
      </w:r>
      <w:r w:rsidR="005D6F14">
        <w:t xml:space="preserve">the </w:t>
      </w:r>
      <w:r w:rsidR="005D6F14" w:rsidRPr="00B770FD">
        <w:rPr>
          <w:i/>
          <w:iCs/>
        </w:rPr>
        <w:t>Rawson Primary Judgment</w:t>
      </w:r>
      <w:r w:rsidR="00252CC4">
        <w:t xml:space="preserve">, and not the costs </w:t>
      </w:r>
      <w:r w:rsidR="00B917EB">
        <w:t>of the</w:t>
      </w:r>
      <w:r w:rsidR="00252CC4">
        <w:t xml:space="preserve"> earlier Federal Court proceedings.  </w:t>
      </w:r>
      <w:r w:rsidR="00F542A3">
        <w:t xml:space="preserve">In this respect, </w:t>
      </w:r>
      <w:r w:rsidR="008315D2">
        <w:t>I note that the</w:t>
      </w:r>
      <w:r w:rsidR="002C58D7">
        <w:t xml:space="preserve"> orders made </w:t>
      </w:r>
      <w:r w:rsidR="00D02718">
        <w:t xml:space="preserve">in </w:t>
      </w:r>
      <w:r w:rsidR="00D02718" w:rsidRPr="00B770FD">
        <w:rPr>
          <w:i/>
        </w:rPr>
        <w:t xml:space="preserve">Rawson Primary Judgment </w:t>
      </w:r>
      <w:r w:rsidR="00712472" w:rsidRPr="00B770FD">
        <w:rPr>
          <w:iCs/>
        </w:rPr>
        <w:t>set aside the Ful</w:t>
      </w:r>
      <w:r w:rsidR="00C16863">
        <w:rPr>
          <w:iCs/>
        </w:rPr>
        <w:t>l</w:t>
      </w:r>
      <w:r w:rsidR="00712472" w:rsidRPr="00B770FD">
        <w:rPr>
          <w:iCs/>
        </w:rPr>
        <w:t xml:space="preserve"> Court’s orders i</w:t>
      </w:r>
      <w:r w:rsidR="00A45EC5" w:rsidRPr="00B770FD">
        <w:rPr>
          <w:iCs/>
        </w:rPr>
        <w:t xml:space="preserve">n </w:t>
      </w:r>
      <w:r w:rsidR="00A45EC5" w:rsidRPr="00B770FD">
        <w:rPr>
          <w:i/>
        </w:rPr>
        <w:lastRenderedPageBreak/>
        <w:t>Rawson FCAFC</w:t>
      </w:r>
      <w:r w:rsidR="00A45EC5" w:rsidRPr="00B770FD">
        <w:rPr>
          <w:iCs/>
        </w:rPr>
        <w:t xml:space="preserve">.  </w:t>
      </w:r>
      <w:r w:rsidR="00A90A0A">
        <w:rPr>
          <w:iCs/>
        </w:rPr>
        <w:t>The Full Court</w:t>
      </w:r>
      <w:r w:rsidR="00A90A0A" w:rsidRPr="00B770FD">
        <w:rPr>
          <w:iCs/>
        </w:rPr>
        <w:t xml:space="preserve"> </w:t>
      </w:r>
      <w:r w:rsidR="00C16863">
        <w:rPr>
          <w:iCs/>
        </w:rPr>
        <w:t xml:space="preserve">orders had </w:t>
      </w:r>
      <w:r w:rsidR="002D35CC" w:rsidRPr="00B770FD">
        <w:rPr>
          <w:iCs/>
        </w:rPr>
        <w:t>allowed Rawson</w:t>
      </w:r>
      <w:r w:rsidR="002D35CC">
        <w:t>’s appeal from</w:t>
      </w:r>
      <w:r w:rsidR="00B770FD">
        <w:t>, and set aside</w:t>
      </w:r>
      <w:r w:rsidR="002D35CC">
        <w:t xml:space="preserve"> the orders of</w:t>
      </w:r>
      <w:r w:rsidR="00B770FD">
        <w:t>,</w:t>
      </w:r>
      <w:r w:rsidR="002D35CC">
        <w:t xml:space="preserve"> Edmonds J in </w:t>
      </w:r>
      <w:r w:rsidR="002D35CC" w:rsidRPr="00F14799">
        <w:rPr>
          <w:i/>
        </w:rPr>
        <w:t xml:space="preserve">Commissioner of Taxation v Rawson Finances Pty Ltd </w:t>
      </w:r>
      <w:r w:rsidR="002D35CC" w:rsidRPr="00F14799">
        <w:t>[2012] FCA 753</w:t>
      </w:r>
      <w:r w:rsidR="002D35CC">
        <w:t xml:space="preserve"> (</w:t>
      </w:r>
      <w:r w:rsidR="002D35CC" w:rsidRPr="00B770FD">
        <w:rPr>
          <w:b/>
          <w:i/>
        </w:rPr>
        <w:t>Rawson FCA</w:t>
      </w:r>
      <w:r w:rsidR="002D35CC">
        <w:t>)</w:t>
      </w:r>
      <w:r w:rsidR="00B770FD">
        <w:t xml:space="preserve">, and also </w:t>
      </w:r>
      <w:r w:rsidR="00943E71" w:rsidRPr="00B770FD">
        <w:rPr>
          <w:iCs/>
        </w:rPr>
        <w:t xml:space="preserve">awarded Rawson </w:t>
      </w:r>
      <w:r w:rsidR="005668B3">
        <w:rPr>
          <w:iCs/>
        </w:rPr>
        <w:t xml:space="preserve">its </w:t>
      </w:r>
      <w:r w:rsidR="00943E71" w:rsidRPr="00B770FD">
        <w:rPr>
          <w:iCs/>
        </w:rPr>
        <w:t>costs against the Commissioner</w:t>
      </w:r>
      <w:r w:rsidR="001D39E6" w:rsidRPr="00B770FD">
        <w:rPr>
          <w:iCs/>
        </w:rPr>
        <w:t xml:space="preserve"> in the Full Court</w:t>
      </w:r>
      <w:r w:rsidR="00B770FD">
        <w:rPr>
          <w:iCs/>
        </w:rPr>
        <w:t xml:space="preserve">.  </w:t>
      </w:r>
      <w:r w:rsidR="00E86710">
        <w:rPr>
          <w:iCs/>
        </w:rPr>
        <w:t>T</w:t>
      </w:r>
      <w:r w:rsidR="00B770FD">
        <w:rPr>
          <w:iCs/>
        </w:rPr>
        <w:t xml:space="preserve">he orders made in the </w:t>
      </w:r>
      <w:r w:rsidR="00B770FD">
        <w:rPr>
          <w:i/>
        </w:rPr>
        <w:t>Rawson Primary Judgment</w:t>
      </w:r>
      <w:r w:rsidR="00B770FD">
        <w:rPr>
          <w:iCs/>
        </w:rPr>
        <w:t xml:space="preserve"> therefore</w:t>
      </w:r>
      <w:r w:rsidR="0020364E">
        <w:rPr>
          <w:iCs/>
        </w:rPr>
        <w:t xml:space="preserve"> resulted in </w:t>
      </w:r>
      <w:r w:rsidR="00B770FD">
        <w:rPr>
          <w:iCs/>
        </w:rPr>
        <w:t xml:space="preserve">the </w:t>
      </w:r>
      <w:r w:rsidR="00B762CF">
        <w:t>order</w:t>
      </w:r>
      <w:r w:rsidR="00D66644">
        <w:t>s</w:t>
      </w:r>
      <w:r w:rsidR="00B762CF">
        <w:t xml:space="preserve"> made by </w:t>
      </w:r>
      <w:r w:rsidR="007C57BF">
        <w:t xml:space="preserve">Edmonds J in </w:t>
      </w:r>
      <w:r w:rsidR="007C57BF" w:rsidRPr="00B770FD">
        <w:rPr>
          <w:i/>
        </w:rPr>
        <w:t xml:space="preserve">Rawson FCA </w:t>
      </w:r>
      <w:r w:rsidR="007C57BF">
        <w:t>be</w:t>
      </w:r>
      <w:r w:rsidR="00E86710">
        <w:t>ing</w:t>
      </w:r>
      <w:r w:rsidR="007C57BF">
        <w:t xml:space="preserve"> reinstated</w:t>
      </w:r>
      <w:r w:rsidR="00633954">
        <w:t>, including the orders awarding the Commissioner his costs in that proceeding</w:t>
      </w:r>
      <w:r w:rsidR="009E3B4C">
        <w:t>:</w:t>
      </w:r>
      <w:r w:rsidR="00BB68C3">
        <w:t xml:space="preserve"> </w:t>
      </w:r>
      <w:r w:rsidR="009E3B4C">
        <w:t xml:space="preserve"> </w:t>
      </w:r>
      <w:r w:rsidR="009E3B4C">
        <w:rPr>
          <w:i/>
          <w:iCs/>
        </w:rPr>
        <w:t xml:space="preserve">Rawson Primary Judgment </w:t>
      </w:r>
      <w:r w:rsidR="009E3B4C">
        <w:t xml:space="preserve">at [654]. </w:t>
      </w:r>
      <w:r w:rsidR="00C81205">
        <w:t xml:space="preserve"> </w:t>
      </w:r>
      <w:r w:rsidR="004C5EAB">
        <w:t xml:space="preserve">While the </w:t>
      </w:r>
      <w:r w:rsidR="0009021D">
        <w:t xml:space="preserve">originating application filed in this proceeding sought an order among other things that Rawson pay the costs of the proceedings in the Full Federal Court </w:t>
      </w:r>
      <w:r w:rsidR="00FA321F">
        <w:t xml:space="preserve">on an indemnity basis, no submissions were made by the Commissioner in support of this </w:t>
      </w:r>
      <w:r w:rsidR="00840E66">
        <w:t>order</w:t>
      </w:r>
      <w:r w:rsidR="00BB68C3">
        <w:t>; n</w:t>
      </w:r>
      <w:r w:rsidR="00840E66">
        <w:t xml:space="preserve">or </w:t>
      </w:r>
      <w:r w:rsidR="00BB68C3">
        <w:t xml:space="preserve">was any </w:t>
      </w:r>
      <w:r w:rsidR="00840E66">
        <w:t>evidence</w:t>
      </w:r>
      <w:r w:rsidR="00BB68C3">
        <w:t xml:space="preserve"> specifically on this issue led</w:t>
      </w:r>
      <w:r w:rsidR="00663F3A">
        <w:t xml:space="preserve"> such as evidence as to quantum</w:t>
      </w:r>
      <w:r w:rsidR="00840E66">
        <w:t xml:space="preserve">.  </w:t>
      </w:r>
      <w:r w:rsidR="00083724">
        <w:t>Furthermore,</w:t>
      </w:r>
      <w:r w:rsidR="00D81B0C">
        <w:t xml:space="preserve"> the interlocutory application filed by the Commissioner</w:t>
      </w:r>
      <w:r w:rsidR="00F02CF3">
        <w:t xml:space="preserve"> on 21 July 2023</w:t>
      </w:r>
      <w:r w:rsidR="00D81B0C">
        <w:t xml:space="preserve"> following judgment on the substantive issues</w:t>
      </w:r>
      <w:r w:rsidR="00F02CF3">
        <w:t xml:space="preserve"> (and following the Commissioner’s request to be heard on costs)</w:t>
      </w:r>
      <w:r w:rsidR="00D81B0C">
        <w:t xml:space="preserve"> </w:t>
      </w:r>
      <w:r w:rsidR="00083724">
        <w:t xml:space="preserve">did not </w:t>
      </w:r>
      <w:r w:rsidR="00D81B0C">
        <w:t xml:space="preserve">raise </w:t>
      </w:r>
      <w:r w:rsidR="001276AD">
        <w:t xml:space="preserve">the question of any orders with respect to the costs incurred in the Full Court proceedings.  In those circumstances, I have assumed that the Commissioner did not press this aspect of the relief sought in the originating application. </w:t>
      </w:r>
    </w:p>
    <w:p w14:paraId="71E2E024" w14:textId="36CA7A0B" w:rsidR="0083604D" w:rsidRDefault="008F3E79" w:rsidP="008F3E79">
      <w:pPr>
        <w:pStyle w:val="Heading5"/>
        <w:numPr>
          <w:ilvl w:val="0"/>
          <w:numId w:val="0"/>
        </w:numPr>
        <w:tabs>
          <w:tab w:val="left" w:pos="1134"/>
        </w:tabs>
        <w:ind w:left="1134" w:hanging="1134"/>
      </w:pPr>
      <w:bookmarkStart w:id="23" w:name="_Ref156496386"/>
      <w:r>
        <w:t>3.</w:t>
      </w:r>
      <w:r>
        <w:tab/>
      </w:r>
      <w:r w:rsidR="007808FF">
        <w:t>G</w:t>
      </w:r>
      <w:r w:rsidR="00C65424">
        <w:t>ENERAL PRINCIPLES ON INDEMNITY COSTS</w:t>
      </w:r>
      <w:bookmarkEnd w:id="23"/>
    </w:p>
    <w:p w14:paraId="1FE0598B" w14:textId="4D8D0A21" w:rsidR="00B917EB" w:rsidRDefault="008F3E79" w:rsidP="008F3E79">
      <w:pPr>
        <w:pStyle w:val="ParaNumbering"/>
        <w:numPr>
          <w:ilvl w:val="0"/>
          <w:numId w:val="0"/>
        </w:numPr>
        <w:ind w:hanging="720"/>
      </w:pPr>
      <w:r>
        <w:rPr>
          <w:sz w:val="20"/>
        </w:rPr>
        <w:t>11</w:t>
      </w:r>
      <w:r>
        <w:rPr>
          <w:sz w:val="20"/>
        </w:rPr>
        <w:tab/>
      </w:r>
      <w:r w:rsidR="00AD075D">
        <w:t>T</w:t>
      </w:r>
      <w:r w:rsidR="0023049B">
        <w:t>h</w:t>
      </w:r>
      <w:r w:rsidR="00AD075D">
        <w:t>is</w:t>
      </w:r>
      <w:r w:rsidR="0023049B">
        <w:t xml:space="preserve"> Court has a broad discretion to order cost</w:t>
      </w:r>
      <w:r w:rsidR="007E52C3">
        <w:t>s</w:t>
      </w:r>
      <w:r w:rsidR="0023049B">
        <w:t xml:space="preserve"> under </w:t>
      </w:r>
      <w:r w:rsidR="0023049B" w:rsidRPr="00F14799">
        <w:t xml:space="preserve">s 43 of the </w:t>
      </w:r>
      <w:r w:rsidR="0023049B" w:rsidRPr="00F14799">
        <w:rPr>
          <w:i/>
          <w:iCs/>
        </w:rPr>
        <w:t xml:space="preserve">Federal Court of Australia Act 1976 </w:t>
      </w:r>
      <w:r w:rsidR="0023049B" w:rsidRPr="00F14799">
        <w:t>(</w:t>
      </w:r>
      <w:proofErr w:type="spellStart"/>
      <w:r w:rsidR="0023049B" w:rsidRPr="00F14799">
        <w:t>Cth</w:t>
      </w:r>
      <w:proofErr w:type="spellEnd"/>
      <w:r w:rsidR="0023049B" w:rsidRPr="00F14799">
        <w:t>)</w:t>
      </w:r>
      <w:r w:rsidR="00367B14">
        <w:t xml:space="preserve">: </w:t>
      </w:r>
      <w:r w:rsidR="00A37C8C" w:rsidRPr="007214EC">
        <w:rPr>
          <w:i/>
          <w:iCs/>
          <w:szCs w:val="24"/>
        </w:rPr>
        <w:t>Wills</w:t>
      </w:r>
      <w:r w:rsidR="00A37C8C" w:rsidRPr="00F14799">
        <w:rPr>
          <w:i/>
          <w:iCs/>
          <w:szCs w:val="24"/>
        </w:rPr>
        <w:t xml:space="preserve"> v Chief Executive Officer of the Australian Skills Quality Authority (Costs)</w:t>
      </w:r>
      <w:r w:rsidR="00A37C8C" w:rsidRPr="00F14799">
        <w:rPr>
          <w:szCs w:val="24"/>
        </w:rPr>
        <w:t xml:space="preserve"> [2022] FCAFC 43</w:t>
      </w:r>
      <w:r w:rsidR="003C0189">
        <w:t xml:space="preserve"> </w:t>
      </w:r>
      <w:r w:rsidR="000A4082">
        <w:t>at [20] (</w:t>
      </w:r>
      <w:r w:rsidR="004C3E19">
        <w:t xml:space="preserve">Logan, Griffiths and Perry JJ).  That discretion includes power to order </w:t>
      </w:r>
      <w:r w:rsidR="009837B0">
        <w:t xml:space="preserve">that costs be paid on an indemnity, rather than a </w:t>
      </w:r>
      <w:r w:rsidR="00DF62A6">
        <w:t>party</w:t>
      </w:r>
      <w:r w:rsidR="006E06E0">
        <w:t>/</w:t>
      </w:r>
      <w:r w:rsidR="00DF62A6">
        <w:t>party</w:t>
      </w:r>
      <w:r w:rsidR="00BF27D4">
        <w:t>,</w:t>
      </w:r>
      <w:r w:rsidR="00DF62A6">
        <w:t xml:space="preserve"> basis:  </w:t>
      </w:r>
      <w:r w:rsidR="00443C17" w:rsidRPr="00F14799">
        <w:rPr>
          <w:b/>
          <w:bCs/>
          <w:i/>
          <w:iCs/>
        </w:rPr>
        <w:t>Colgate-Palmolive</w:t>
      </w:r>
      <w:r w:rsidR="00443C17" w:rsidRPr="00F14799">
        <w:rPr>
          <w:i/>
          <w:iCs/>
        </w:rPr>
        <w:t xml:space="preserve"> Co v Cussons Pty Ltd</w:t>
      </w:r>
      <w:r w:rsidR="00443C17" w:rsidRPr="00F14799">
        <w:t xml:space="preserve"> </w:t>
      </w:r>
      <w:r w:rsidR="00FD1368" w:rsidRPr="00F14799">
        <w:t xml:space="preserve">[1993] FCA 801; </w:t>
      </w:r>
      <w:r w:rsidR="00443C17" w:rsidRPr="00F14799">
        <w:t>(1993) 46 FCR 225</w:t>
      </w:r>
      <w:r w:rsidR="00443C17">
        <w:t xml:space="preserve"> at 232–233</w:t>
      </w:r>
      <w:r w:rsidR="00FD1368">
        <w:t xml:space="preserve"> (</w:t>
      </w:r>
      <w:r w:rsidR="00141727">
        <w:t>Sheppard</w:t>
      </w:r>
      <w:r w:rsidR="00C9105C">
        <w:t> </w:t>
      </w:r>
      <w:r w:rsidR="00141727">
        <w:t>J)</w:t>
      </w:r>
      <w:r w:rsidR="00C9105C">
        <w:t>.</w:t>
      </w:r>
      <w:r w:rsidR="005D6F14">
        <w:t xml:space="preserve"> </w:t>
      </w:r>
    </w:p>
    <w:p w14:paraId="381D6E4C" w14:textId="49F816BC" w:rsidR="00682BCE" w:rsidRDefault="008F3E79" w:rsidP="008F3E79">
      <w:pPr>
        <w:pStyle w:val="ParaNumbering"/>
        <w:numPr>
          <w:ilvl w:val="0"/>
          <w:numId w:val="0"/>
        </w:numPr>
        <w:ind w:hanging="720"/>
      </w:pPr>
      <w:r>
        <w:rPr>
          <w:sz w:val="20"/>
        </w:rPr>
        <w:t>12</w:t>
      </w:r>
      <w:r>
        <w:rPr>
          <w:sz w:val="20"/>
        </w:rPr>
        <w:tab/>
      </w:r>
      <w:r w:rsidR="007628D7">
        <w:t>The ordinary rule is that a party is entitled to costs on a party</w:t>
      </w:r>
      <w:r w:rsidR="002A7B8A">
        <w:t>/</w:t>
      </w:r>
      <w:r w:rsidR="007628D7">
        <w:t>party basis only.</w:t>
      </w:r>
      <w:r w:rsidR="00EE4F6E">
        <w:t xml:space="preserve">  </w:t>
      </w:r>
      <w:r w:rsidR="005D6F14">
        <w:t xml:space="preserve">However, </w:t>
      </w:r>
      <w:r w:rsidR="007C57BF">
        <w:t xml:space="preserve">the </w:t>
      </w:r>
      <w:r w:rsidR="0029064F">
        <w:t>ordinary rule may be departed from where there is “</w:t>
      </w:r>
      <w:r w:rsidR="0029064F" w:rsidRPr="005D6F14">
        <w:rPr>
          <w:i/>
          <w:iCs/>
        </w:rPr>
        <w:t>some special or unusual feature in the case to justify the Court in departing from the ordinary practice</w:t>
      </w:r>
      <w:r w:rsidR="0029064F">
        <w:t>”</w:t>
      </w:r>
      <w:r w:rsidR="0009152A">
        <w:t xml:space="preserve">:  </w:t>
      </w:r>
      <w:r w:rsidR="0009152A" w:rsidRPr="005D6F14">
        <w:rPr>
          <w:i/>
          <w:iCs/>
        </w:rPr>
        <w:t xml:space="preserve">Colgate-Palmolive </w:t>
      </w:r>
      <w:r w:rsidR="0009152A">
        <w:t>at 233 (Sheppard J).</w:t>
      </w:r>
      <w:r w:rsidR="0085333C">
        <w:t xml:space="preserve">  </w:t>
      </w:r>
      <w:r w:rsidR="00966A28">
        <w:t xml:space="preserve">That said, </w:t>
      </w:r>
      <w:r w:rsidR="0026113C">
        <w:t>as the applicant submits</w:t>
      </w:r>
      <w:r w:rsidR="0026113C" w:rsidRPr="000D0573">
        <w:t xml:space="preserve">, </w:t>
      </w:r>
      <w:r w:rsidR="0026113C" w:rsidRPr="002740F3">
        <w:rPr>
          <w:iCs/>
        </w:rPr>
        <w:t xml:space="preserve">references </w:t>
      </w:r>
      <w:r w:rsidR="00CB498A">
        <w:rPr>
          <w:iCs/>
        </w:rPr>
        <w:t xml:space="preserve">in the cases </w:t>
      </w:r>
      <w:r w:rsidR="0026113C" w:rsidRPr="002740F3">
        <w:rPr>
          <w:iCs/>
        </w:rPr>
        <w:t xml:space="preserve">to general rules </w:t>
      </w:r>
      <w:r w:rsidR="000D0573" w:rsidRPr="002740F3">
        <w:rPr>
          <w:iCs/>
        </w:rPr>
        <w:t xml:space="preserve">or ordinary practices </w:t>
      </w:r>
      <w:r w:rsidR="0026113C" w:rsidRPr="002740F3">
        <w:rPr>
          <w:iCs/>
        </w:rPr>
        <w:t xml:space="preserve">for the award of costs should not be understood as </w:t>
      </w:r>
      <w:r w:rsidR="00CB498A">
        <w:rPr>
          <w:iCs/>
        </w:rPr>
        <w:t>fettering</w:t>
      </w:r>
      <w:r w:rsidR="0026113C" w:rsidRPr="002740F3">
        <w:rPr>
          <w:iCs/>
        </w:rPr>
        <w:t xml:space="preserve"> the discretionary </w:t>
      </w:r>
      <w:r w:rsidR="000D0573" w:rsidRPr="002740F3">
        <w:rPr>
          <w:iCs/>
        </w:rPr>
        <w:t xml:space="preserve">nature </w:t>
      </w:r>
      <w:r w:rsidR="0026113C" w:rsidRPr="002740F3">
        <w:rPr>
          <w:iCs/>
        </w:rPr>
        <w:t>of such decision</w:t>
      </w:r>
      <w:r w:rsidR="0026113C" w:rsidRPr="005D6F14">
        <w:rPr>
          <w:i/>
          <w:iCs/>
        </w:rPr>
        <w:t>s</w:t>
      </w:r>
      <w:r w:rsidR="0026113C">
        <w:t>:</w:t>
      </w:r>
      <w:r w:rsidR="002F15DB">
        <w:t xml:space="preserve"> </w:t>
      </w:r>
      <w:r w:rsidR="0026113C">
        <w:t xml:space="preserve"> </w:t>
      </w:r>
      <w:r w:rsidR="00AF40E4" w:rsidRPr="00F14799">
        <w:rPr>
          <w:i/>
          <w:iCs/>
        </w:rPr>
        <w:t xml:space="preserve">GR Vaughan (Holdings) Pty Ltd v Vogt </w:t>
      </w:r>
      <w:r w:rsidR="00AF40E4" w:rsidRPr="00F14799">
        <w:t>[2006] NSWCA 263</w:t>
      </w:r>
      <w:r w:rsidR="00AF40E4" w:rsidRPr="00AF40E4">
        <w:t xml:space="preserve"> at [20]</w:t>
      </w:r>
      <w:r w:rsidR="0026113C">
        <w:t xml:space="preserve"> </w:t>
      </w:r>
      <w:r w:rsidR="0071432B">
        <w:t>Bryson JA at [</w:t>
      </w:r>
      <w:r w:rsidR="008614D0">
        <w:t>20</w:t>
      </w:r>
      <w:r w:rsidR="0071432B">
        <w:t xml:space="preserve">] </w:t>
      </w:r>
      <w:r w:rsidR="00A039D8">
        <w:t xml:space="preserve">(with whose reasons </w:t>
      </w:r>
      <w:r w:rsidR="0071432B">
        <w:t xml:space="preserve">Hodgson and Santow JA </w:t>
      </w:r>
      <w:r w:rsidR="00A039D8">
        <w:t xml:space="preserve">agreed </w:t>
      </w:r>
      <w:r w:rsidR="0071432B">
        <w:t>at [1] and [2]</w:t>
      </w:r>
      <w:r w:rsidR="00A039D8">
        <w:t>)</w:t>
      </w:r>
      <w:r w:rsidR="0071432B">
        <w:t>.  Th</w:t>
      </w:r>
      <w:r w:rsidR="00CB498A">
        <w:t>us, the</w:t>
      </w:r>
      <w:r w:rsidR="00966A28">
        <w:t xml:space="preserve"> “</w:t>
      </w:r>
      <w:r w:rsidR="00966A28" w:rsidRPr="005D6F14">
        <w:rPr>
          <w:i/>
          <w:iCs/>
        </w:rPr>
        <w:t>categories in which the discretion may be exercised are not closed</w:t>
      </w:r>
      <w:r w:rsidR="00966A28">
        <w:t xml:space="preserve">”:  </w:t>
      </w:r>
      <w:proofErr w:type="spellStart"/>
      <w:r w:rsidR="003B2569" w:rsidRPr="00F14799">
        <w:rPr>
          <w:i/>
          <w:iCs/>
        </w:rPr>
        <w:t>Tetijo</w:t>
      </w:r>
      <w:proofErr w:type="spellEnd"/>
      <w:r w:rsidR="003B2569" w:rsidRPr="00F14799">
        <w:rPr>
          <w:i/>
          <w:iCs/>
        </w:rPr>
        <w:t xml:space="preserve"> Holdings Pty Ltd v </w:t>
      </w:r>
      <w:proofErr w:type="spellStart"/>
      <w:r w:rsidR="003B2569" w:rsidRPr="00F14799">
        <w:rPr>
          <w:i/>
          <w:iCs/>
        </w:rPr>
        <w:t>Keeprite</w:t>
      </w:r>
      <w:proofErr w:type="spellEnd"/>
      <w:r w:rsidR="003B2569" w:rsidRPr="00F14799">
        <w:rPr>
          <w:i/>
          <w:iCs/>
        </w:rPr>
        <w:t xml:space="preserve"> Australia Pty Ltd</w:t>
      </w:r>
      <w:r w:rsidR="003B2569" w:rsidRPr="00F14799">
        <w:t xml:space="preserve"> [1991] FCA 187</w:t>
      </w:r>
      <w:r w:rsidR="003B2569">
        <w:t xml:space="preserve"> at [8]</w:t>
      </w:r>
      <w:r w:rsidR="00B64C17">
        <w:t xml:space="preserve"> (French J)</w:t>
      </w:r>
      <w:r w:rsidR="007D2204">
        <w:t xml:space="preserve">.  </w:t>
      </w:r>
      <w:r w:rsidR="002E0C7B" w:rsidRPr="002E0C7B">
        <w:t>“</w:t>
      </w:r>
      <w:r w:rsidR="002E0C7B" w:rsidRPr="005D6F14">
        <w:rPr>
          <w:i/>
          <w:iCs/>
        </w:rPr>
        <w:t>The question</w:t>
      </w:r>
      <w:r w:rsidR="002E0C7B" w:rsidRPr="002E0C7B">
        <w:t>”, as Sheppard</w:t>
      </w:r>
      <w:r w:rsidR="00DD0C7F">
        <w:t> </w:t>
      </w:r>
      <w:r w:rsidR="002E0C7B" w:rsidRPr="002E0C7B">
        <w:t xml:space="preserve">J </w:t>
      </w:r>
      <w:r w:rsidR="007C57BF">
        <w:t>explained</w:t>
      </w:r>
      <w:r w:rsidR="007C57BF" w:rsidRPr="002E0C7B">
        <w:t xml:space="preserve"> </w:t>
      </w:r>
      <w:r w:rsidR="002E0C7B" w:rsidRPr="002E0C7B">
        <w:t xml:space="preserve">in </w:t>
      </w:r>
      <w:r w:rsidR="002E0C7B" w:rsidRPr="005D6F14">
        <w:rPr>
          <w:i/>
          <w:iCs/>
        </w:rPr>
        <w:t>Colgate-Palmolive</w:t>
      </w:r>
      <w:r w:rsidR="002E0C7B" w:rsidRPr="002E0C7B">
        <w:t xml:space="preserve"> at 234, “</w:t>
      </w:r>
      <w:r w:rsidR="002E0C7B" w:rsidRPr="005D6F14">
        <w:rPr>
          <w:i/>
          <w:iCs/>
        </w:rPr>
        <w:t xml:space="preserve">must always be whether the particular </w:t>
      </w:r>
      <w:r w:rsidR="002E0C7B" w:rsidRPr="005D6F14">
        <w:rPr>
          <w:i/>
          <w:iCs/>
        </w:rPr>
        <w:lastRenderedPageBreak/>
        <w:t>facts and circumstances of the case in question warrant the making of an order for payment of costs other than on a party and party basis</w:t>
      </w:r>
      <w:r w:rsidR="002E0C7B" w:rsidRPr="002E0C7B">
        <w:t>”</w:t>
      </w:r>
      <w:r w:rsidR="002E0C7B">
        <w:t>.</w:t>
      </w:r>
    </w:p>
    <w:p w14:paraId="3684818B" w14:textId="6E9AF6B9" w:rsidR="00062AA7" w:rsidRDefault="008F3E79" w:rsidP="008F3E79">
      <w:pPr>
        <w:pStyle w:val="ParaNumbering"/>
        <w:numPr>
          <w:ilvl w:val="0"/>
          <w:numId w:val="0"/>
        </w:numPr>
        <w:ind w:hanging="720"/>
      </w:pPr>
      <w:r>
        <w:rPr>
          <w:sz w:val="20"/>
        </w:rPr>
        <w:t>13</w:t>
      </w:r>
      <w:r>
        <w:rPr>
          <w:sz w:val="20"/>
        </w:rPr>
        <w:tab/>
      </w:r>
      <w:r w:rsidR="009F2FFC">
        <w:t>It</w:t>
      </w:r>
      <w:r w:rsidR="00416543">
        <w:t xml:space="preserve"> is </w:t>
      </w:r>
      <w:r w:rsidR="00E16E9E">
        <w:t xml:space="preserve">also </w:t>
      </w:r>
      <w:r w:rsidR="00416543">
        <w:t xml:space="preserve">well-established that </w:t>
      </w:r>
      <w:r w:rsidR="008137F3">
        <w:t>“</w:t>
      </w:r>
      <w:r w:rsidR="008137F3" w:rsidRPr="001A221B">
        <w:rPr>
          <w:i/>
          <w:iCs/>
        </w:rPr>
        <w:t xml:space="preserve">costs are awarded to indemnify a successful party in litigation, </w:t>
      </w:r>
      <w:r w:rsidR="008137F3" w:rsidRPr="00895282">
        <w:rPr>
          <w:bCs/>
          <w:i/>
          <w:iCs/>
        </w:rPr>
        <w:t>not</w:t>
      </w:r>
      <w:r w:rsidR="008137F3" w:rsidRPr="001A221B">
        <w:rPr>
          <w:i/>
          <w:iCs/>
        </w:rPr>
        <w:t xml:space="preserve"> by way of punishment</w:t>
      </w:r>
      <w:r w:rsidR="008137F3">
        <w:t>”</w:t>
      </w:r>
      <w:r w:rsidR="00134A01">
        <w:t xml:space="preserve">: </w:t>
      </w:r>
      <w:r w:rsidR="00134A01" w:rsidRPr="00F14799">
        <w:t xml:space="preserve"> </w:t>
      </w:r>
      <w:proofErr w:type="spellStart"/>
      <w:r w:rsidR="00F76337" w:rsidRPr="00F14799">
        <w:rPr>
          <w:b/>
          <w:bCs/>
          <w:i/>
          <w:iCs/>
        </w:rPr>
        <w:t>Oshlack</w:t>
      </w:r>
      <w:proofErr w:type="spellEnd"/>
      <w:r w:rsidR="00F76337" w:rsidRPr="00F14799">
        <w:rPr>
          <w:i/>
          <w:iCs/>
        </w:rPr>
        <w:t xml:space="preserve"> v Richmond River Council</w:t>
      </w:r>
      <w:r w:rsidR="00F76337" w:rsidRPr="00F14799">
        <w:t xml:space="preserve"> [1998] HCA 11; (1998) 193 CLR 72</w:t>
      </w:r>
      <w:r w:rsidR="00F76337">
        <w:t xml:space="preserve"> at</w:t>
      </w:r>
      <w:r w:rsidR="00297530">
        <w:t xml:space="preserve"> [1] (Brennan CJ).</w:t>
      </w:r>
      <w:r w:rsidR="00043B74">
        <w:t xml:space="preserve">  </w:t>
      </w:r>
      <w:r w:rsidR="00895282">
        <w:t>A</w:t>
      </w:r>
      <w:r w:rsidR="001A2577">
        <w:t xml:space="preserve">s Gray J </w:t>
      </w:r>
      <w:r w:rsidR="00093EA9">
        <w:t xml:space="preserve">helpfully </w:t>
      </w:r>
      <w:r w:rsidR="001A2577">
        <w:t xml:space="preserve">explained in </w:t>
      </w:r>
      <w:proofErr w:type="spellStart"/>
      <w:r w:rsidR="001A2577" w:rsidRPr="00F14799">
        <w:rPr>
          <w:i/>
          <w:iCs/>
        </w:rPr>
        <w:t>Hamod</w:t>
      </w:r>
      <w:proofErr w:type="spellEnd"/>
      <w:r w:rsidR="001A2577" w:rsidRPr="00F14799">
        <w:rPr>
          <w:i/>
          <w:iCs/>
        </w:rPr>
        <w:t xml:space="preserve"> </w:t>
      </w:r>
      <w:r w:rsidR="001A2577" w:rsidRPr="00F14799">
        <w:rPr>
          <w:i/>
        </w:rPr>
        <w:t>v N</w:t>
      </w:r>
      <w:r w:rsidR="00397000" w:rsidRPr="00F14799">
        <w:rPr>
          <w:i/>
        </w:rPr>
        <w:t>ew South Wales</w:t>
      </w:r>
      <w:r w:rsidR="00397000" w:rsidRPr="00F14799">
        <w:t xml:space="preserve"> [</w:t>
      </w:r>
      <w:r w:rsidR="001A2577" w:rsidRPr="00F14799">
        <w:t>2002</w:t>
      </w:r>
      <w:r w:rsidR="00397000" w:rsidRPr="00F14799">
        <w:t>]</w:t>
      </w:r>
      <w:r w:rsidR="001A2577" w:rsidRPr="00F14799">
        <w:t xml:space="preserve"> </w:t>
      </w:r>
      <w:r w:rsidR="00397000" w:rsidRPr="00F14799">
        <w:t>FCA 424</w:t>
      </w:r>
      <w:r w:rsidR="003A7FCE" w:rsidRPr="00F14799">
        <w:t>; (2002) 188 ALR 659</w:t>
      </w:r>
      <w:r w:rsidR="00397000">
        <w:t xml:space="preserve"> at </w:t>
      </w:r>
      <w:r w:rsidR="005C09E8">
        <w:t>[20]</w:t>
      </w:r>
      <w:r w:rsidR="00E40EB9">
        <w:t xml:space="preserve"> (Carr J at [26] and Goldberg J at [27] agreeing</w:t>
      </w:r>
      <w:r w:rsidR="00E27AEF">
        <w:t>)</w:t>
      </w:r>
      <w:r w:rsidR="00E40EB9">
        <w:t>:</w:t>
      </w:r>
    </w:p>
    <w:p w14:paraId="00968D88" w14:textId="0047C3AE" w:rsidR="00013725" w:rsidRDefault="00E27AEF" w:rsidP="0007213A">
      <w:pPr>
        <w:pStyle w:val="Quote1"/>
      </w:pPr>
      <w:r>
        <w:t>I</w:t>
      </w:r>
      <w:r w:rsidRPr="00E27AEF">
        <w:t>ndemnity costs are not designed to punish a party for persisting with a case that turns out to fail. They are not awarded as a means of deterring litigants from putting forward arguments that might be attended by uncertainty. Rather, they serve the purpose of compensating a party fully for costs incurred, as a normal costs order could not be expected to do, when the Court takes the view that it was unreasonable for the party against whom the order is made to have subjected the innocent party to the expenditure of costs</w:t>
      </w:r>
      <w:r w:rsidR="001B3E16">
        <w:t>.</w:t>
      </w:r>
      <w:r w:rsidR="003C0189">
        <w:t xml:space="preserve"> </w:t>
      </w:r>
    </w:p>
    <w:p w14:paraId="20538DAE" w14:textId="6A0D856B" w:rsidR="00155703" w:rsidRDefault="008F3E79" w:rsidP="008F3E79">
      <w:pPr>
        <w:pStyle w:val="Heading5"/>
        <w:numPr>
          <w:ilvl w:val="0"/>
          <w:numId w:val="0"/>
        </w:numPr>
        <w:tabs>
          <w:tab w:val="left" w:pos="1134"/>
        </w:tabs>
        <w:ind w:left="1134" w:hanging="1134"/>
      </w:pPr>
      <w:bookmarkStart w:id="24" w:name="_Ref156496387"/>
      <w:r>
        <w:t>4.</w:t>
      </w:r>
      <w:r>
        <w:tab/>
      </w:r>
      <w:r w:rsidR="001D165A">
        <w:t>GROUND ONE</w:t>
      </w:r>
      <w:r w:rsidR="004C0B1B">
        <w:t xml:space="preserve">: THE PUBLIC INTEREST </w:t>
      </w:r>
      <w:r w:rsidR="000E6580">
        <w:t>ARGUMENT</w:t>
      </w:r>
      <w:bookmarkEnd w:id="24"/>
    </w:p>
    <w:p w14:paraId="60544233" w14:textId="2FB76F96" w:rsidR="00B934DA" w:rsidRDefault="008F3E79" w:rsidP="008F3E79">
      <w:pPr>
        <w:pStyle w:val="Heading6"/>
        <w:numPr>
          <w:ilvl w:val="0"/>
          <w:numId w:val="0"/>
        </w:numPr>
        <w:tabs>
          <w:tab w:val="left" w:pos="1134"/>
        </w:tabs>
        <w:ind w:left="1134" w:hanging="1134"/>
      </w:pPr>
      <w:bookmarkStart w:id="25" w:name="_Ref156496388"/>
      <w:r>
        <w:t>4.1</w:t>
      </w:r>
      <w:r>
        <w:tab/>
      </w:r>
      <w:r w:rsidR="000E6580">
        <w:t xml:space="preserve">The </w:t>
      </w:r>
      <w:r w:rsidR="006A5687">
        <w:t>i</w:t>
      </w:r>
      <w:r w:rsidR="005E7C1D">
        <w:t xml:space="preserve">ssue and the </w:t>
      </w:r>
      <w:r w:rsidR="006A5687">
        <w:t>p</w:t>
      </w:r>
      <w:r w:rsidR="005E7C1D">
        <w:t xml:space="preserve">arties’ </w:t>
      </w:r>
      <w:r w:rsidR="006A5687">
        <w:t>s</w:t>
      </w:r>
      <w:r w:rsidR="005E7C1D">
        <w:t>ubmissions</w:t>
      </w:r>
      <w:bookmarkEnd w:id="25"/>
    </w:p>
    <w:p w14:paraId="5DF5432D" w14:textId="20F69B7B" w:rsidR="00803C1E" w:rsidRDefault="008F3E79" w:rsidP="008F3E79">
      <w:pPr>
        <w:pStyle w:val="ParaNumbering"/>
        <w:numPr>
          <w:ilvl w:val="0"/>
          <w:numId w:val="0"/>
        </w:numPr>
        <w:ind w:hanging="720"/>
      </w:pPr>
      <w:r>
        <w:rPr>
          <w:sz w:val="20"/>
        </w:rPr>
        <w:t>14</w:t>
      </w:r>
      <w:r>
        <w:rPr>
          <w:sz w:val="20"/>
        </w:rPr>
        <w:tab/>
      </w:r>
      <w:r w:rsidR="004B2B91">
        <w:t xml:space="preserve">By </w:t>
      </w:r>
      <w:r w:rsidR="000843D4">
        <w:t xml:space="preserve">his </w:t>
      </w:r>
      <w:r w:rsidR="004B2B91">
        <w:t xml:space="preserve">first ground, </w:t>
      </w:r>
      <w:r w:rsidR="00416543" w:rsidRPr="00AC119C">
        <w:t>t</w:t>
      </w:r>
      <w:r w:rsidR="00B934DA" w:rsidRPr="00AC119C">
        <w:t xml:space="preserve">he Commissioner submits that, having regard to the </w:t>
      </w:r>
      <w:r w:rsidR="00303BF6" w:rsidRPr="00AC119C">
        <w:t xml:space="preserve">significant </w:t>
      </w:r>
      <w:r w:rsidR="00B934DA" w:rsidRPr="00AC119C">
        <w:t xml:space="preserve">public interest in ensuring that judgments obtained by fraud are set aside, it would be inappropriate for the Commissioner to </w:t>
      </w:r>
      <w:r w:rsidR="000843D4">
        <w:t xml:space="preserve">be left to </w:t>
      </w:r>
      <w:r w:rsidR="00B934DA" w:rsidRPr="00AC119C">
        <w:t>meet any part of his costs</w:t>
      </w:r>
      <w:r w:rsidR="00E37F04" w:rsidRPr="00AC119C">
        <w:t xml:space="preserve"> for its application in this case</w:t>
      </w:r>
      <w:r w:rsidR="00B934DA" w:rsidRPr="00AC119C">
        <w:t>.</w:t>
      </w:r>
      <w:r w:rsidR="00CD3A65" w:rsidRPr="00AC119C">
        <w:t xml:space="preserve">  </w:t>
      </w:r>
      <w:r w:rsidR="00F06EFB" w:rsidRPr="00AC119C">
        <w:t xml:space="preserve">Rather in these circumstances, </w:t>
      </w:r>
      <w:r w:rsidR="009E34DB" w:rsidRPr="00AC119C">
        <w:t>the Commissioner submits</w:t>
      </w:r>
      <w:r w:rsidR="00BE2FF4" w:rsidRPr="00AC119C">
        <w:t xml:space="preserve"> that </w:t>
      </w:r>
      <w:r w:rsidR="00F06EFB" w:rsidRPr="00AC119C">
        <w:t xml:space="preserve">he </w:t>
      </w:r>
      <w:r w:rsidR="009E34DB" w:rsidRPr="00AC119C">
        <w:t xml:space="preserve">should be </w:t>
      </w:r>
      <w:r w:rsidR="002618C0" w:rsidRPr="00AC119C">
        <w:t xml:space="preserve">fully indemnified in relation to any expense </w:t>
      </w:r>
      <w:r w:rsidR="003F6042" w:rsidRPr="00AC119C">
        <w:t xml:space="preserve">incurred </w:t>
      </w:r>
      <w:r w:rsidR="00BE2FF4" w:rsidRPr="00AC119C">
        <w:t xml:space="preserve">in seeking to set aside </w:t>
      </w:r>
      <w:r w:rsidR="00F06EFB" w:rsidRPr="00AC119C">
        <w:t xml:space="preserve">the </w:t>
      </w:r>
      <w:r w:rsidR="00F630D2" w:rsidRPr="00AC119C">
        <w:t>fraudulently</w:t>
      </w:r>
      <w:r w:rsidR="00E37F04" w:rsidRPr="00AC119C">
        <w:t xml:space="preserve"> </w:t>
      </w:r>
      <w:r w:rsidR="00F630D2" w:rsidRPr="00AC119C">
        <w:t>procured</w:t>
      </w:r>
      <w:r w:rsidR="00BE2FF4" w:rsidRPr="00AC119C">
        <w:t xml:space="preserve"> judgment</w:t>
      </w:r>
      <w:r w:rsidR="00001FC2" w:rsidRPr="00AC119C">
        <w:t>.</w:t>
      </w:r>
      <w:r w:rsidR="00BE2FF4" w:rsidRPr="00AC119C">
        <w:t xml:space="preserve"> </w:t>
      </w:r>
    </w:p>
    <w:p w14:paraId="05CA15E6" w14:textId="148DDA26" w:rsidR="00ED1E23" w:rsidRPr="001C2D81" w:rsidRDefault="008F3E79" w:rsidP="008F3E79">
      <w:pPr>
        <w:pStyle w:val="ParaNumbering"/>
        <w:numPr>
          <w:ilvl w:val="0"/>
          <w:numId w:val="0"/>
        </w:numPr>
        <w:ind w:hanging="720"/>
        <w:rPr>
          <w:szCs w:val="24"/>
        </w:rPr>
      </w:pPr>
      <w:r w:rsidRPr="001C2D81">
        <w:rPr>
          <w:sz w:val="20"/>
          <w:szCs w:val="24"/>
        </w:rPr>
        <w:t>15</w:t>
      </w:r>
      <w:r w:rsidRPr="001C2D81">
        <w:rPr>
          <w:sz w:val="20"/>
          <w:szCs w:val="24"/>
        </w:rPr>
        <w:tab/>
      </w:r>
      <w:r w:rsidR="00F30C85">
        <w:rPr>
          <w:szCs w:val="24"/>
        </w:rPr>
        <w:t>Rawson</w:t>
      </w:r>
      <w:r w:rsidR="001B737B">
        <w:rPr>
          <w:szCs w:val="24"/>
        </w:rPr>
        <w:t>, however, submits that</w:t>
      </w:r>
      <w:r w:rsidR="00210D74" w:rsidRPr="001C2D81">
        <w:rPr>
          <w:szCs w:val="24"/>
        </w:rPr>
        <w:t xml:space="preserve"> </w:t>
      </w:r>
      <w:r w:rsidR="00846925" w:rsidRPr="001C2D81">
        <w:rPr>
          <w:szCs w:val="24"/>
        </w:rPr>
        <w:t xml:space="preserve">indemnity costs can be awarded </w:t>
      </w:r>
      <w:r w:rsidR="00D4138F" w:rsidRPr="001C2D81">
        <w:rPr>
          <w:szCs w:val="24"/>
        </w:rPr>
        <w:t xml:space="preserve">only </w:t>
      </w:r>
      <w:r w:rsidR="00846925" w:rsidRPr="001C2D81">
        <w:rPr>
          <w:szCs w:val="24"/>
        </w:rPr>
        <w:t>on the basis of delinquenc</w:t>
      </w:r>
      <w:r w:rsidR="00634048" w:rsidRPr="001C2D81">
        <w:rPr>
          <w:szCs w:val="24"/>
        </w:rPr>
        <w:t>y in the conduct of the present proceedings</w:t>
      </w:r>
      <w:r w:rsidR="00B22360" w:rsidRPr="001C2D81">
        <w:rPr>
          <w:szCs w:val="24"/>
        </w:rPr>
        <w:t>.</w:t>
      </w:r>
      <w:r w:rsidR="0007213A" w:rsidRPr="001C2D81">
        <w:rPr>
          <w:szCs w:val="24"/>
        </w:rPr>
        <w:t xml:space="preserve">  In </w:t>
      </w:r>
      <w:r w:rsidR="00F30C85">
        <w:rPr>
          <w:szCs w:val="24"/>
        </w:rPr>
        <w:t xml:space="preserve">Rawson’s </w:t>
      </w:r>
      <w:r w:rsidR="0007213A" w:rsidRPr="001C2D81">
        <w:rPr>
          <w:szCs w:val="24"/>
        </w:rPr>
        <w:t xml:space="preserve">submission, even where a party’s immoral or unethical conduct </w:t>
      </w:r>
      <w:r w:rsidR="001B737B">
        <w:rPr>
          <w:szCs w:val="24"/>
        </w:rPr>
        <w:t xml:space="preserve">in the past </w:t>
      </w:r>
      <w:r w:rsidR="0007213A" w:rsidRPr="001C2D81">
        <w:rPr>
          <w:szCs w:val="24"/>
        </w:rPr>
        <w:t xml:space="preserve">has given rise to </w:t>
      </w:r>
      <w:r w:rsidR="001B737B">
        <w:rPr>
          <w:szCs w:val="24"/>
        </w:rPr>
        <w:t>the</w:t>
      </w:r>
      <w:r w:rsidR="0007213A" w:rsidRPr="001C2D81">
        <w:rPr>
          <w:szCs w:val="24"/>
        </w:rPr>
        <w:t xml:space="preserve"> proceeding, that past conduct alone cannot justify the making of an indemnity costs order</w:t>
      </w:r>
      <w:r w:rsidR="00EC0071" w:rsidRPr="001C2D81">
        <w:rPr>
          <w:szCs w:val="24"/>
        </w:rPr>
        <w:t xml:space="preserve">.  On that basis, </w:t>
      </w:r>
      <w:r w:rsidR="00F30C85">
        <w:rPr>
          <w:szCs w:val="24"/>
        </w:rPr>
        <w:t xml:space="preserve">Rawson </w:t>
      </w:r>
      <w:r w:rsidR="00EC0071" w:rsidRPr="001C2D81">
        <w:rPr>
          <w:szCs w:val="24"/>
        </w:rPr>
        <w:t>submits that the Commi</w:t>
      </w:r>
      <w:r w:rsidR="00EC0071" w:rsidRPr="006B07C8">
        <w:rPr>
          <w:szCs w:val="24"/>
        </w:rPr>
        <w:t xml:space="preserve">ssioner’s public interest argument — in seeking indemnity costs </w:t>
      </w:r>
      <w:r w:rsidR="00045F81" w:rsidRPr="006B07C8">
        <w:rPr>
          <w:szCs w:val="24"/>
        </w:rPr>
        <w:t xml:space="preserve">which arise from </w:t>
      </w:r>
      <w:r w:rsidR="00EC0071" w:rsidRPr="006B07C8">
        <w:rPr>
          <w:szCs w:val="24"/>
        </w:rPr>
        <w:t xml:space="preserve">the </w:t>
      </w:r>
      <w:r w:rsidR="005D73C0" w:rsidRPr="006B07C8">
        <w:rPr>
          <w:szCs w:val="24"/>
        </w:rPr>
        <w:t xml:space="preserve">nature of the antecedent conduct giving rise to proceedings </w:t>
      </w:r>
      <w:r w:rsidR="005D73C0" w:rsidRPr="00332C59">
        <w:rPr>
          <w:szCs w:val="24"/>
        </w:rPr>
        <w:t xml:space="preserve">— provides no </w:t>
      </w:r>
      <w:r w:rsidR="002A0B8F" w:rsidRPr="00332C59">
        <w:rPr>
          <w:szCs w:val="24"/>
        </w:rPr>
        <w:t xml:space="preserve">basis </w:t>
      </w:r>
      <w:r w:rsidR="005D73C0" w:rsidRPr="00332C59">
        <w:rPr>
          <w:szCs w:val="24"/>
        </w:rPr>
        <w:t xml:space="preserve">for </w:t>
      </w:r>
      <w:r w:rsidR="002A0B8F" w:rsidRPr="00332C59">
        <w:rPr>
          <w:szCs w:val="24"/>
        </w:rPr>
        <w:t xml:space="preserve">the </w:t>
      </w:r>
      <w:r w:rsidR="005D73C0" w:rsidRPr="00332C59">
        <w:rPr>
          <w:szCs w:val="24"/>
        </w:rPr>
        <w:t>award of indemnity costs.</w:t>
      </w:r>
      <w:r w:rsidR="00045F81" w:rsidRPr="00332C59">
        <w:rPr>
          <w:szCs w:val="24"/>
        </w:rPr>
        <w:t xml:space="preserve">  </w:t>
      </w:r>
      <w:r w:rsidR="006922CA" w:rsidRPr="00332C59">
        <w:rPr>
          <w:szCs w:val="24"/>
        </w:rPr>
        <w:t xml:space="preserve">Importantly in this respect, senior counsel for the </w:t>
      </w:r>
      <w:r w:rsidR="00F30C85">
        <w:rPr>
          <w:szCs w:val="24"/>
        </w:rPr>
        <w:t>Commissioner</w:t>
      </w:r>
      <w:r w:rsidR="006922CA" w:rsidRPr="00332C59">
        <w:rPr>
          <w:szCs w:val="24"/>
        </w:rPr>
        <w:t xml:space="preserve"> </w:t>
      </w:r>
      <w:r w:rsidR="002C0168">
        <w:rPr>
          <w:szCs w:val="24"/>
        </w:rPr>
        <w:t>explained</w:t>
      </w:r>
      <w:r w:rsidR="002C0168" w:rsidRPr="00332C59">
        <w:rPr>
          <w:szCs w:val="24"/>
        </w:rPr>
        <w:t xml:space="preserve"> </w:t>
      </w:r>
      <w:r w:rsidR="006922CA" w:rsidRPr="00332C59">
        <w:rPr>
          <w:szCs w:val="24"/>
        </w:rPr>
        <w:t xml:space="preserve">that </w:t>
      </w:r>
      <w:r w:rsidR="001C2D81" w:rsidRPr="00332C59">
        <w:rPr>
          <w:szCs w:val="24"/>
        </w:rPr>
        <w:t xml:space="preserve">ground </w:t>
      </w:r>
      <w:r w:rsidR="00D90F75" w:rsidRPr="00332C59">
        <w:rPr>
          <w:szCs w:val="24"/>
        </w:rPr>
        <w:t xml:space="preserve">one of the interlocutory application </w:t>
      </w:r>
      <w:r w:rsidR="00F405EA">
        <w:t>is</w:t>
      </w:r>
      <w:r w:rsidR="001C2D81" w:rsidRPr="006B07C8">
        <w:t xml:space="preserve"> a “</w:t>
      </w:r>
      <w:r w:rsidR="001C2D81" w:rsidRPr="006B07C8">
        <w:rPr>
          <w:i/>
        </w:rPr>
        <w:t xml:space="preserve">completely standalone ground for indemnity costs … it is </w:t>
      </w:r>
      <w:r w:rsidR="001C2D81" w:rsidRPr="006B07C8">
        <w:rPr>
          <w:b/>
          <w:i/>
        </w:rPr>
        <w:t>not</w:t>
      </w:r>
      <w:r w:rsidR="001C2D81" w:rsidRPr="006B07C8">
        <w:rPr>
          <w:i/>
        </w:rPr>
        <w:t xml:space="preserve"> affected by the conduct of [this] </w:t>
      </w:r>
      <w:r w:rsidR="001C2D81" w:rsidRPr="006B07C8">
        <w:rPr>
          <w:i/>
          <w:iCs/>
        </w:rPr>
        <w:t>proceeding</w:t>
      </w:r>
      <w:r w:rsidR="001C2D81" w:rsidRPr="006B07C8">
        <w:t>”: T.10.33</w:t>
      </w:r>
      <w:r w:rsidR="006425F0">
        <w:t xml:space="preserve"> (emphasis added)</w:t>
      </w:r>
      <w:r w:rsidR="001C2D81" w:rsidRPr="006B07C8">
        <w:t>.</w:t>
      </w:r>
      <w:r w:rsidR="004D061D">
        <w:t xml:space="preserve">  </w:t>
      </w:r>
    </w:p>
    <w:p w14:paraId="4586CE08" w14:textId="2D72D28A" w:rsidR="008C5389" w:rsidRDefault="008F3E79" w:rsidP="008F3E79">
      <w:pPr>
        <w:pStyle w:val="Heading6"/>
        <w:numPr>
          <w:ilvl w:val="0"/>
          <w:numId w:val="0"/>
        </w:numPr>
        <w:tabs>
          <w:tab w:val="left" w:pos="1134"/>
        </w:tabs>
        <w:ind w:left="1134" w:hanging="1134"/>
      </w:pPr>
      <w:bookmarkStart w:id="26" w:name="_Ref156496389"/>
      <w:r>
        <w:lastRenderedPageBreak/>
        <w:t>4.2</w:t>
      </w:r>
      <w:r>
        <w:tab/>
      </w:r>
      <w:r w:rsidR="008C5389">
        <w:t xml:space="preserve">Disposition of </w:t>
      </w:r>
      <w:r w:rsidR="006A5687">
        <w:t>g</w:t>
      </w:r>
      <w:r w:rsidR="0088215C">
        <w:t>round</w:t>
      </w:r>
      <w:r w:rsidR="006E6D7C">
        <w:t xml:space="preserve"> </w:t>
      </w:r>
      <w:r w:rsidR="006A5687">
        <w:t>o</w:t>
      </w:r>
      <w:r w:rsidR="006E6D7C">
        <w:t>ne</w:t>
      </w:r>
      <w:bookmarkEnd w:id="26"/>
    </w:p>
    <w:p w14:paraId="192A3DD3" w14:textId="7CE9B933" w:rsidR="008C5389" w:rsidRDefault="008F3E79" w:rsidP="008F3E79">
      <w:pPr>
        <w:pStyle w:val="ParaNumbering"/>
        <w:numPr>
          <w:ilvl w:val="0"/>
          <w:numId w:val="0"/>
        </w:numPr>
        <w:ind w:hanging="720"/>
      </w:pPr>
      <w:r>
        <w:rPr>
          <w:sz w:val="20"/>
        </w:rPr>
        <w:t>16</w:t>
      </w:r>
      <w:r>
        <w:rPr>
          <w:sz w:val="20"/>
        </w:rPr>
        <w:tab/>
      </w:r>
      <w:r w:rsidR="00E845E9">
        <w:t>I</w:t>
      </w:r>
      <w:r w:rsidR="0078475B">
        <w:t xml:space="preserve">n my view, </w:t>
      </w:r>
      <w:r w:rsidR="00E845E9">
        <w:t xml:space="preserve">the Commissioner should </w:t>
      </w:r>
      <w:r w:rsidR="003B4561">
        <w:t xml:space="preserve">not be left to bear any </w:t>
      </w:r>
      <w:r w:rsidR="00E845E9">
        <w:t xml:space="preserve">part of </w:t>
      </w:r>
      <w:r w:rsidR="0060607D">
        <w:t>his</w:t>
      </w:r>
      <w:r w:rsidR="003B4561">
        <w:t xml:space="preserve"> costs </w:t>
      </w:r>
      <w:r w:rsidR="00E845E9">
        <w:t xml:space="preserve">in </w:t>
      </w:r>
      <w:r w:rsidR="00F405EA">
        <w:t xml:space="preserve">applying successfully to </w:t>
      </w:r>
      <w:r w:rsidR="00E845E9">
        <w:t>set</w:t>
      </w:r>
      <w:r w:rsidR="00F405EA">
        <w:t xml:space="preserve"> aside the </w:t>
      </w:r>
      <w:r w:rsidR="003B4561">
        <w:t>Full Court’s judgment</w:t>
      </w:r>
      <w:r w:rsidR="00E845E9">
        <w:t xml:space="preserve"> </w:t>
      </w:r>
      <w:r w:rsidR="0078475B">
        <w:t>on the ground</w:t>
      </w:r>
      <w:r w:rsidR="00F405EA">
        <w:t xml:space="preserve"> </w:t>
      </w:r>
      <w:r w:rsidR="00E4086F">
        <w:t>that it was procured by</w:t>
      </w:r>
      <w:r w:rsidR="0078475B">
        <w:t xml:space="preserve"> fraud</w:t>
      </w:r>
      <w:r w:rsidR="00AF64BB">
        <w:t xml:space="preserve"> for the following reasons.</w:t>
      </w:r>
    </w:p>
    <w:p w14:paraId="068160AD" w14:textId="72E95834" w:rsidR="00015F55" w:rsidRDefault="008F3E79" w:rsidP="008F3E79">
      <w:pPr>
        <w:pStyle w:val="ParaNumbering"/>
        <w:numPr>
          <w:ilvl w:val="0"/>
          <w:numId w:val="0"/>
        </w:numPr>
        <w:ind w:hanging="720"/>
      </w:pPr>
      <w:r>
        <w:rPr>
          <w:sz w:val="20"/>
        </w:rPr>
        <w:t>17</w:t>
      </w:r>
      <w:r>
        <w:rPr>
          <w:sz w:val="20"/>
        </w:rPr>
        <w:tab/>
      </w:r>
      <w:r w:rsidR="00E845E9" w:rsidRPr="008C6B76">
        <w:rPr>
          <w:b/>
          <w:bCs/>
          <w:i/>
          <w:iCs/>
        </w:rPr>
        <w:t>First</w:t>
      </w:r>
      <w:r w:rsidR="00E845E9">
        <w:t xml:space="preserve">, as a matter of legal principle, it is correct to say that </w:t>
      </w:r>
      <w:r w:rsidR="008C6B76">
        <w:t xml:space="preserve">indemnity costs </w:t>
      </w:r>
      <w:r w:rsidR="006A359A">
        <w:t>can</w:t>
      </w:r>
      <w:r w:rsidR="008C6B76">
        <w:t xml:space="preserve"> ordinarily </w:t>
      </w:r>
      <w:r w:rsidR="005043D9">
        <w:t xml:space="preserve">be awarded </w:t>
      </w:r>
      <w:r w:rsidR="006A359A">
        <w:t xml:space="preserve">only </w:t>
      </w:r>
      <w:r w:rsidR="005043D9">
        <w:t>on the basis of a party having engaged in “</w:t>
      </w:r>
      <w:r w:rsidR="005043D9" w:rsidRPr="001C7FF4">
        <w:rPr>
          <w:i/>
          <w:iCs/>
        </w:rPr>
        <w:t>delinquency</w:t>
      </w:r>
      <w:r w:rsidR="005043D9">
        <w:t xml:space="preserve"> </w:t>
      </w:r>
      <w:r w:rsidR="005043D9" w:rsidRPr="008127B4">
        <w:rPr>
          <w:b/>
          <w:bCs/>
          <w:i/>
          <w:iCs/>
        </w:rPr>
        <w:t>in the conduct of</w:t>
      </w:r>
      <w:r w:rsidR="005043D9">
        <w:rPr>
          <w:b/>
          <w:bCs/>
          <w:i/>
          <w:iCs/>
        </w:rPr>
        <w:t xml:space="preserve"> the</w:t>
      </w:r>
      <w:r w:rsidR="008224D3">
        <w:rPr>
          <w:b/>
          <w:bCs/>
          <w:i/>
          <w:iCs/>
        </w:rPr>
        <w:t xml:space="preserve"> </w:t>
      </w:r>
      <w:r w:rsidR="005043D9" w:rsidRPr="008127B4">
        <w:rPr>
          <w:b/>
          <w:bCs/>
          <w:i/>
          <w:iCs/>
        </w:rPr>
        <w:t>proceedings</w:t>
      </w:r>
      <w:r w:rsidR="005043D9">
        <w:t xml:space="preserve">”:  </w:t>
      </w:r>
      <w:r w:rsidR="005043D9" w:rsidRPr="00F14799">
        <w:rPr>
          <w:b/>
          <w:i/>
          <w:iCs/>
        </w:rPr>
        <w:t>Harrison</w:t>
      </w:r>
      <w:r w:rsidR="005043D9" w:rsidRPr="00F14799">
        <w:rPr>
          <w:i/>
          <w:iCs/>
        </w:rPr>
        <w:t xml:space="preserve"> v Schipp </w:t>
      </w:r>
      <w:r w:rsidR="005043D9" w:rsidRPr="00F14799">
        <w:t>[2001] NSWCA 13</w:t>
      </w:r>
      <w:r w:rsidR="005043D9">
        <w:t xml:space="preserve"> at [136] </w:t>
      </w:r>
      <w:r w:rsidR="00BA48CE">
        <w:t xml:space="preserve">(emphasis added) </w:t>
      </w:r>
      <w:r w:rsidR="005043D9">
        <w:t>(Giles JA</w:t>
      </w:r>
      <w:r w:rsidR="005043D9" w:rsidRPr="005E1531">
        <w:t>, Handley JA agreeing at [1]).</w:t>
      </w:r>
      <w:r w:rsidR="00455814">
        <w:t xml:space="preserve"> </w:t>
      </w:r>
      <w:r w:rsidR="00455814" w:rsidRPr="00455814">
        <w:t xml:space="preserve"> Similarly, </w:t>
      </w:r>
      <w:r w:rsidR="00015F55">
        <w:t xml:space="preserve">in </w:t>
      </w:r>
      <w:r w:rsidR="00015F55" w:rsidRPr="00F14799">
        <w:rPr>
          <w:b/>
          <w:bCs/>
          <w:i/>
          <w:iCs/>
        </w:rPr>
        <w:t>Henderson</w:t>
      </w:r>
      <w:r w:rsidR="00015F55" w:rsidRPr="00F14799">
        <w:rPr>
          <w:i/>
          <w:iCs/>
        </w:rPr>
        <w:t xml:space="preserve"> v Amadio Pty Ltd </w:t>
      </w:r>
      <w:r w:rsidR="00015F55" w:rsidRPr="00F14799">
        <w:t>[1996] FCA 184</w:t>
      </w:r>
      <w:r w:rsidR="00015F55">
        <w:t xml:space="preserve"> at [42], </w:t>
      </w:r>
      <w:proofErr w:type="spellStart"/>
      <w:r w:rsidR="00015F55">
        <w:t>Heerey</w:t>
      </w:r>
      <w:proofErr w:type="spellEnd"/>
      <w:r w:rsidR="00015F55">
        <w:t> J</w:t>
      </w:r>
      <w:r w:rsidR="00BC1F94">
        <w:t xml:space="preserve"> held that:</w:t>
      </w:r>
    </w:p>
    <w:p w14:paraId="016C4EA5" w14:textId="4A35D379" w:rsidR="00BC1F94" w:rsidRDefault="00BC1F94" w:rsidP="0093243B">
      <w:pPr>
        <w:pStyle w:val="Quote1"/>
      </w:pPr>
      <w:r w:rsidRPr="008C7A1F">
        <w:t xml:space="preserve">the improper conduct of an unsuccessful party which will lead to an award of indemnity costs is </w:t>
      </w:r>
      <w:r w:rsidRPr="008C7A1F">
        <w:rPr>
          <w:b/>
          <w:bCs/>
          <w:i/>
        </w:rPr>
        <w:t>usually</w:t>
      </w:r>
      <w:r w:rsidRPr="008C7A1F">
        <w:t xml:space="preserve"> related to the way the litigation is conducted, rather than the inherent badness of the conduct which gave rise to the litigation. </w:t>
      </w:r>
      <w:r w:rsidR="0093243B" w:rsidRPr="008C7A1F">
        <w:t xml:space="preserve"> </w:t>
      </w:r>
      <w:r w:rsidRPr="008C7A1F">
        <w:rPr>
          <w:b/>
          <w:bCs/>
          <w:i/>
        </w:rPr>
        <w:t>This is not universally true</w:t>
      </w:r>
      <w:r w:rsidRPr="008C7A1F">
        <w:t xml:space="preserve">; for example contempt of court usually attracts costs on an indemnity basis. </w:t>
      </w:r>
      <w:r w:rsidR="00EC5C79" w:rsidRPr="008C7A1F">
        <w:t xml:space="preserve"> </w:t>
      </w:r>
      <w:r w:rsidRPr="008C7A1F">
        <w:t>Nevertheless, it seems to be rare that findings of serious misconduct such as fraud of itself gives rise to an order for costs on an indemnity basis.</w:t>
      </w:r>
    </w:p>
    <w:p w14:paraId="5F8CC2C6" w14:textId="6F296372" w:rsidR="000308DD" w:rsidRDefault="000308DD" w:rsidP="0093243B">
      <w:pPr>
        <w:pStyle w:val="Quote1"/>
      </w:pPr>
      <w:r>
        <w:t>(Emphasis added.)</w:t>
      </w:r>
    </w:p>
    <w:p w14:paraId="207AEF61" w14:textId="50F5707D" w:rsidR="004825BC" w:rsidRDefault="008F3E79" w:rsidP="008F3E79">
      <w:pPr>
        <w:pStyle w:val="ParaNumbering"/>
        <w:numPr>
          <w:ilvl w:val="0"/>
          <w:numId w:val="0"/>
        </w:numPr>
        <w:ind w:hanging="720"/>
      </w:pPr>
      <w:r>
        <w:rPr>
          <w:sz w:val="20"/>
        </w:rPr>
        <w:t>18</w:t>
      </w:r>
      <w:r>
        <w:rPr>
          <w:sz w:val="20"/>
        </w:rPr>
        <w:tab/>
      </w:r>
      <w:r w:rsidR="008359A6">
        <w:t>This</w:t>
      </w:r>
      <w:r w:rsidR="00E21C75">
        <w:t xml:space="preserve"> ordinary rule</w:t>
      </w:r>
      <w:r w:rsidR="008359A6">
        <w:t xml:space="preserve"> applies equally in </w:t>
      </w:r>
      <w:r w:rsidR="005E4918">
        <w:t xml:space="preserve">the context of </w:t>
      </w:r>
      <w:r w:rsidR="001D56DF">
        <w:t xml:space="preserve">actions in </w:t>
      </w:r>
      <w:r w:rsidR="005E4918">
        <w:t>fraud</w:t>
      </w:r>
      <w:r w:rsidR="008359A6">
        <w:t xml:space="preserve"> where</w:t>
      </w:r>
      <w:r w:rsidR="00300A0A">
        <w:t>,</w:t>
      </w:r>
      <w:r w:rsidR="005E4918">
        <w:t xml:space="preserve"> </w:t>
      </w:r>
      <w:r w:rsidR="001D56DF">
        <w:t>in general</w:t>
      </w:r>
      <w:r w:rsidR="00300A0A">
        <w:t>,</w:t>
      </w:r>
      <w:r w:rsidR="00554F79">
        <w:t xml:space="preserve"> a party who has per</w:t>
      </w:r>
      <w:r w:rsidR="00084F89">
        <w:t xml:space="preserve">petrated a fraud </w:t>
      </w:r>
      <w:r w:rsidR="008359A6">
        <w:t xml:space="preserve">on another party </w:t>
      </w:r>
      <w:r w:rsidR="00084F89">
        <w:t xml:space="preserve">will not, </w:t>
      </w:r>
      <w:r w:rsidR="004D2483">
        <w:t>by reason</w:t>
      </w:r>
      <w:r w:rsidR="00084F89">
        <w:t xml:space="preserve"> </w:t>
      </w:r>
      <w:r w:rsidR="004D2483">
        <w:t xml:space="preserve">of </w:t>
      </w:r>
      <w:r w:rsidR="00D91BE2">
        <w:t xml:space="preserve">that </w:t>
      </w:r>
      <w:r w:rsidR="004D2483">
        <w:t xml:space="preserve">antecedent conduct </w:t>
      </w:r>
      <w:r w:rsidR="00084F89">
        <w:t xml:space="preserve">alone, </w:t>
      </w:r>
      <w:r w:rsidR="00821469">
        <w:t xml:space="preserve">be rendered liable for </w:t>
      </w:r>
      <w:r w:rsidR="00084F89">
        <w:t xml:space="preserve">indemnity costs.  </w:t>
      </w:r>
      <w:r w:rsidR="004825BC">
        <w:t xml:space="preserve">Hence, </w:t>
      </w:r>
      <w:r w:rsidR="00287F13">
        <w:t xml:space="preserve">for example, </w:t>
      </w:r>
      <w:r w:rsidR="004825BC">
        <w:t>in</w:t>
      </w:r>
      <w:r w:rsidR="004825BC" w:rsidRPr="004825BC">
        <w:rPr>
          <w:i/>
          <w:iCs/>
        </w:rPr>
        <w:t xml:space="preserve"> </w:t>
      </w:r>
      <w:r w:rsidR="004825BC" w:rsidRPr="00F14799">
        <w:rPr>
          <w:b/>
          <w:bCs/>
          <w:i/>
          <w:iCs/>
        </w:rPr>
        <w:t>NMFM</w:t>
      </w:r>
      <w:r w:rsidR="004825BC" w:rsidRPr="00F14799">
        <w:rPr>
          <w:i/>
          <w:iCs/>
        </w:rPr>
        <w:t xml:space="preserve"> Property Pty Ltd v Citibank Ltd (No 2)</w:t>
      </w:r>
      <w:r w:rsidR="004825BC" w:rsidRPr="00F14799">
        <w:t xml:space="preserve"> [20</w:t>
      </w:r>
      <w:r w:rsidR="00CA7803" w:rsidRPr="00F14799">
        <w:t>0</w:t>
      </w:r>
      <w:r w:rsidR="004825BC" w:rsidRPr="00F14799">
        <w:t>1] FCA 480; (2001) 109 FCR 77</w:t>
      </w:r>
      <w:r w:rsidR="004825BC">
        <w:t xml:space="preserve"> at [56], Lindg</w:t>
      </w:r>
      <w:r w:rsidR="00C3157D">
        <w:t>r</w:t>
      </w:r>
      <w:r w:rsidR="004825BC">
        <w:t>en J held that:</w:t>
      </w:r>
    </w:p>
    <w:p w14:paraId="273E1AA8" w14:textId="410B2F09" w:rsidR="004825BC" w:rsidRDefault="004825BC" w:rsidP="00242AB9">
      <w:pPr>
        <w:pStyle w:val="Quote1"/>
      </w:pPr>
      <w:r>
        <w:t xml:space="preserve">The ordinary rule is that an award of costs is on the party and party basis, and that it is only in a special case that the discretion to depart from that rule will be properly exercised … there is no counterpart ordinary rule that in the absence of special circumstances indemnity costs will be ordered where the losing party was guilty of ethical or moral delinquency in the antecedent facts which have given rise to the litigation. </w:t>
      </w:r>
      <w:r w:rsidR="005B7400">
        <w:t xml:space="preserve"> </w:t>
      </w:r>
      <w:r w:rsidRPr="00E21C75">
        <w:rPr>
          <w:b/>
          <w:i/>
        </w:rPr>
        <w:t>Even in a proved case of fraud</w:t>
      </w:r>
      <w:r>
        <w:t xml:space="preserve">, for example, in my opinion the presumption is that a costs order against the fraudulent party will be on the party and party basis.  The conduct of a party that is relevant to the issue of indemnity costs is the party’s conduct as litigant. </w:t>
      </w:r>
      <w:r w:rsidR="00C0260F">
        <w:t xml:space="preserve"> </w:t>
      </w:r>
      <w:r>
        <w:t>But, as noted below, the knowledge that a party has, including knowledge of his or her past conduct, may be relevant to an assessment of his or her conduct as litigant.</w:t>
      </w:r>
    </w:p>
    <w:p w14:paraId="3DDF5AA6" w14:textId="14915E46" w:rsidR="00554F79" w:rsidRDefault="004825BC" w:rsidP="00242AB9">
      <w:pPr>
        <w:pStyle w:val="Quote1"/>
      </w:pPr>
      <w:r>
        <w:t>(Citations omitted, emphasis added.)</w:t>
      </w:r>
    </w:p>
    <w:p w14:paraId="69F11C56" w14:textId="54DA2CCC" w:rsidR="004B01F5" w:rsidRDefault="008F3E79" w:rsidP="008F3E79">
      <w:pPr>
        <w:pStyle w:val="ParaNumbering"/>
        <w:numPr>
          <w:ilvl w:val="0"/>
          <w:numId w:val="0"/>
        </w:numPr>
        <w:ind w:hanging="720"/>
      </w:pPr>
      <w:r>
        <w:rPr>
          <w:sz w:val="20"/>
        </w:rPr>
        <w:t>19</w:t>
      </w:r>
      <w:r>
        <w:rPr>
          <w:sz w:val="20"/>
        </w:rPr>
        <w:tab/>
      </w:r>
      <w:r w:rsidR="00F71206">
        <w:t xml:space="preserve">This approach </w:t>
      </w:r>
      <w:r w:rsidR="0026683D">
        <w:t xml:space="preserve">to the award of indemnity costs </w:t>
      </w:r>
      <w:r w:rsidR="00F71206">
        <w:t xml:space="preserve">is </w:t>
      </w:r>
      <w:r w:rsidR="008A77E5">
        <w:t>well-established in Australian law</w:t>
      </w:r>
      <w:r w:rsidR="00D91BE2">
        <w:t>:</w:t>
      </w:r>
      <w:r w:rsidR="008A77E5">
        <w:t xml:space="preserve">  </w:t>
      </w:r>
      <w:r w:rsidR="00D91BE2">
        <w:t>s</w:t>
      </w:r>
      <w:r w:rsidR="00E81073">
        <w:t>ee</w:t>
      </w:r>
      <w:r w:rsidR="008A77E5">
        <w:t>, for example,</w:t>
      </w:r>
      <w:r w:rsidR="00E81073">
        <w:t xml:space="preserve"> </w:t>
      </w:r>
      <w:proofErr w:type="spellStart"/>
      <w:r w:rsidR="00E81073" w:rsidRPr="00F14799">
        <w:rPr>
          <w:i/>
          <w:iCs/>
        </w:rPr>
        <w:t>Hypec</w:t>
      </w:r>
      <w:proofErr w:type="spellEnd"/>
      <w:r w:rsidR="00E81073" w:rsidRPr="00F14799">
        <w:rPr>
          <w:i/>
          <w:iCs/>
        </w:rPr>
        <w:t xml:space="preserve"> Electronics Pty Limited (in </w:t>
      </w:r>
      <w:proofErr w:type="spellStart"/>
      <w:r w:rsidR="00E81073" w:rsidRPr="00F14799">
        <w:rPr>
          <w:i/>
          <w:iCs/>
        </w:rPr>
        <w:t>liq</w:t>
      </w:r>
      <w:proofErr w:type="spellEnd"/>
      <w:r w:rsidR="00E81073" w:rsidRPr="00F14799">
        <w:rPr>
          <w:i/>
          <w:iCs/>
        </w:rPr>
        <w:t xml:space="preserve">) v Mead; BL &amp; GY International v </w:t>
      </w:r>
      <w:proofErr w:type="spellStart"/>
      <w:r w:rsidR="00E81073" w:rsidRPr="00F14799">
        <w:rPr>
          <w:i/>
          <w:iCs/>
        </w:rPr>
        <w:t>Hypec</w:t>
      </w:r>
      <w:proofErr w:type="spellEnd"/>
      <w:r w:rsidR="00E81073" w:rsidRPr="00F14799">
        <w:rPr>
          <w:i/>
          <w:iCs/>
        </w:rPr>
        <w:t xml:space="preserve"> Electronics Pty Limited (in </w:t>
      </w:r>
      <w:proofErr w:type="spellStart"/>
      <w:r w:rsidR="00E81073" w:rsidRPr="00F14799">
        <w:rPr>
          <w:i/>
          <w:iCs/>
        </w:rPr>
        <w:t>liq</w:t>
      </w:r>
      <w:proofErr w:type="spellEnd"/>
      <w:r w:rsidR="00E81073" w:rsidRPr="00F14799">
        <w:rPr>
          <w:i/>
          <w:iCs/>
        </w:rPr>
        <w:t>)</w:t>
      </w:r>
      <w:r w:rsidR="00E81073" w:rsidRPr="00F14799">
        <w:t xml:space="preserve"> </w:t>
      </w:r>
      <w:r w:rsidR="00C15471" w:rsidRPr="00F14799">
        <w:t xml:space="preserve">[2004] NSWSC 731; </w:t>
      </w:r>
      <w:r w:rsidR="00E81073" w:rsidRPr="00F14799">
        <w:t>(2004) 61 NSWLR 169</w:t>
      </w:r>
      <w:r w:rsidR="00E81073">
        <w:t xml:space="preserve"> at [46] Campbell</w:t>
      </w:r>
      <w:r w:rsidR="008D1272">
        <w:t> </w:t>
      </w:r>
      <w:r w:rsidR="00E81073">
        <w:t>J</w:t>
      </w:r>
      <w:r w:rsidR="008D1272">
        <w:t xml:space="preserve"> (overturned on appeal, although on </w:t>
      </w:r>
      <w:r w:rsidR="00A3058E">
        <w:t>a different issue</w:t>
      </w:r>
      <w:r w:rsidR="008D1272">
        <w:t xml:space="preserve">).  </w:t>
      </w:r>
    </w:p>
    <w:p w14:paraId="6D7952D4" w14:textId="0BFBC5A6" w:rsidR="00D12F5C" w:rsidRDefault="008F3E79" w:rsidP="008F3E79">
      <w:pPr>
        <w:pStyle w:val="ParaNumbering"/>
        <w:numPr>
          <w:ilvl w:val="0"/>
          <w:numId w:val="0"/>
        </w:numPr>
        <w:ind w:hanging="720"/>
      </w:pPr>
      <w:r>
        <w:rPr>
          <w:sz w:val="20"/>
        </w:rPr>
        <w:lastRenderedPageBreak/>
        <w:t>20</w:t>
      </w:r>
      <w:r>
        <w:rPr>
          <w:sz w:val="20"/>
        </w:rPr>
        <w:tab/>
      </w:r>
      <w:r w:rsidR="00D12F5C">
        <w:t>Tw</w:t>
      </w:r>
      <w:r w:rsidR="005706EA">
        <w:t>o further comments should be made</w:t>
      </w:r>
      <w:r w:rsidR="00C35351">
        <w:t xml:space="preserve">.  </w:t>
      </w:r>
      <w:r w:rsidR="00D028E9">
        <w:t>F</w:t>
      </w:r>
      <w:r w:rsidR="00951DA4">
        <w:t>irst</w:t>
      </w:r>
      <w:r w:rsidR="00D028E9">
        <w:t xml:space="preserve">, </w:t>
      </w:r>
      <w:r w:rsidR="002C1CCF">
        <w:t>the</w:t>
      </w:r>
      <w:r w:rsidR="00310BC5">
        <w:t>se</w:t>
      </w:r>
      <w:r w:rsidR="002C1CCF">
        <w:t xml:space="preserve"> authorities </w:t>
      </w:r>
      <w:r w:rsidR="00DE1000">
        <w:t xml:space="preserve">did not </w:t>
      </w:r>
      <w:r w:rsidR="002A7F46">
        <w:t>consider whether the ordinary rule applied</w:t>
      </w:r>
      <w:r w:rsidR="00310BC5">
        <w:t xml:space="preserve"> </w:t>
      </w:r>
      <w:r w:rsidR="002A7F46">
        <w:t xml:space="preserve">in </w:t>
      </w:r>
      <w:r w:rsidR="0029700C">
        <w:t>circumstances</w:t>
      </w:r>
      <w:r w:rsidR="00C35351">
        <w:t xml:space="preserve"> where</w:t>
      </w:r>
      <w:r w:rsidR="0029700C">
        <w:t xml:space="preserve"> </w:t>
      </w:r>
      <w:r w:rsidR="00AB362E">
        <w:t xml:space="preserve">the </w:t>
      </w:r>
      <w:r w:rsidR="00646988">
        <w:t xml:space="preserve">antecedent </w:t>
      </w:r>
      <w:r w:rsidR="00AB362E">
        <w:t>fraud</w:t>
      </w:r>
      <w:r w:rsidR="00646988">
        <w:t>ulent conduct</w:t>
      </w:r>
      <w:r w:rsidR="00AB362E">
        <w:t xml:space="preserve"> giving rise to the </w:t>
      </w:r>
      <w:r w:rsidR="00310BC5">
        <w:t xml:space="preserve">proceeding </w:t>
      </w:r>
      <w:r w:rsidR="0011741F">
        <w:t>was</w:t>
      </w:r>
      <w:r w:rsidR="00C124EA">
        <w:t xml:space="preserve"> perp</w:t>
      </w:r>
      <w:r w:rsidR="008E6EDF">
        <w:t xml:space="preserve">etrated on the Court itself. </w:t>
      </w:r>
      <w:r w:rsidR="000C4275">
        <w:t xml:space="preserve"> Nor, when asked</w:t>
      </w:r>
      <w:r w:rsidR="001E465A">
        <w:t xml:space="preserve"> by the Court</w:t>
      </w:r>
      <w:r w:rsidR="000C4275">
        <w:t xml:space="preserve">, were the parties </w:t>
      </w:r>
      <w:r w:rsidR="0011741F">
        <w:t xml:space="preserve">able to identify </w:t>
      </w:r>
      <w:r w:rsidR="000C4275">
        <w:t xml:space="preserve">any Australian </w:t>
      </w:r>
      <w:r w:rsidR="00BF14D8">
        <w:t xml:space="preserve">or other </w:t>
      </w:r>
      <w:r w:rsidR="000C4275">
        <w:t>authorit</w:t>
      </w:r>
      <w:r w:rsidR="0011741F">
        <w:t xml:space="preserve">y directly </w:t>
      </w:r>
      <w:r w:rsidR="000C4275">
        <w:t xml:space="preserve">on this point.  </w:t>
      </w:r>
      <w:r w:rsidR="008E6EDF">
        <w:t xml:space="preserve"> </w:t>
      </w:r>
    </w:p>
    <w:p w14:paraId="1BDE06C3" w14:textId="0BA9CBCA" w:rsidR="004F3302" w:rsidRDefault="008F3E79" w:rsidP="008F3E79">
      <w:pPr>
        <w:pStyle w:val="ParaNumbering"/>
        <w:numPr>
          <w:ilvl w:val="0"/>
          <w:numId w:val="0"/>
        </w:numPr>
        <w:ind w:hanging="720"/>
      </w:pPr>
      <w:r>
        <w:rPr>
          <w:sz w:val="20"/>
        </w:rPr>
        <w:t>21</w:t>
      </w:r>
      <w:r>
        <w:rPr>
          <w:sz w:val="20"/>
        </w:rPr>
        <w:tab/>
      </w:r>
      <w:r w:rsidR="002A7F46">
        <w:t>S</w:t>
      </w:r>
      <w:r w:rsidR="00013B07">
        <w:t>econd</w:t>
      </w:r>
      <w:r w:rsidR="002A7F46">
        <w:t>ly,</w:t>
      </w:r>
      <w:r w:rsidR="00013B07">
        <w:t xml:space="preserve"> </w:t>
      </w:r>
      <w:r w:rsidR="000C4275">
        <w:t>th</w:t>
      </w:r>
      <w:r w:rsidR="002A7F46">
        <w:t>e</w:t>
      </w:r>
      <w:r w:rsidR="00C35351">
        <w:t xml:space="preserve"> principle</w:t>
      </w:r>
      <w:r w:rsidR="000C4275">
        <w:t xml:space="preserve"> that indemnity costs </w:t>
      </w:r>
      <w:r w:rsidR="00C50824">
        <w:t xml:space="preserve">are awarded </w:t>
      </w:r>
      <w:r w:rsidR="000C4275">
        <w:t>only</w:t>
      </w:r>
      <w:r w:rsidR="00C50824">
        <w:t xml:space="preserve"> on the basis of</w:t>
      </w:r>
      <w:r w:rsidR="000C4275">
        <w:t xml:space="preserve"> delinquency in the subject proceedings</w:t>
      </w:r>
      <w:r w:rsidR="00C35351">
        <w:t xml:space="preserve"> is not </w:t>
      </w:r>
      <w:r w:rsidR="002A7F46">
        <w:t xml:space="preserve">described as </w:t>
      </w:r>
      <w:r w:rsidR="00C35351">
        <w:t>an absolute</w:t>
      </w:r>
      <w:r w:rsidR="00972CF9">
        <w:t xml:space="preserve"> rule</w:t>
      </w:r>
      <w:r w:rsidR="00C43ACB">
        <w:t>;</w:t>
      </w:r>
      <w:r w:rsidR="00217595">
        <w:t xml:space="preserve"> </w:t>
      </w:r>
      <w:r w:rsidR="00C43ACB">
        <w:t xml:space="preserve">rather, it reflects the ordinary costs position.  </w:t>
      </w:r>
      <w:r w:rsidR="00217595">
        <w:t>Hence,</w:t>
      </w:r>
      <w:r w:rsidR="002A7F46">
        <w:t xml:space="preserve"> it will be recalled that</w:t>
      </w:r>
      <w:r w:rsidR="00217595">
        <w:t xml:space="preserve"> L</w:t>
      </w:r>
      <w:r w:rsidR="00AA77C8">
        <w:t xml:space="preserve">indgren </w:t>
      </w:r>
      <w:r w:rsidR="0088489F">
        <w:t xml:space="preserve">J </w:t>
      </w:r>
      <w:r w:rsidR="002A7F46">
        <w:t xml:space="preserve">in </w:t>
      </w:r>
      <w:r w:rsidR="002A7F46">
        <w:rPr>
          <w:i/>
        </w:rPr>
        <w:t xml:space="preserve">NMFM </w:t>
      </w:r>
      <w:r w:rsidR="0088489F">
        <w:t xml:space="preserve">described the principle that costs </w:t>
      </w:r>
      <w:r w:rsidR="000E79DA">
        <w:t xml:space="preserve">are awarded </w:t>
      </w:r>
      <w:r w:rsidR="0088489F">
        <w:t xml:space="preserve">against the fraudulent party on a </w:t>
      </w:r>
      <w:r w:rsidR="006E06E0">
        <w:t>party/party</w:t>
      </w:r>
      <w:r w:rsidR="0088489F">
        <w:t xml:space="preserve"> basis as a “</w:t>
      </w:r>
      <w:r w:rsidR="0088489F" w:rsidRPr="00C43ACB">
        <w:rPr>
          <w:i/>
          <w:iCs/>
        </w:rPr>
        <w:t>presumption</w:t>
      </w:r>
      <w:r w:rsidR="0088489F">
        <w:t xml:space="preserve">”:  at </w:t>
      </w:r>
      <w:r w:rsidR="006F087B">
        <w:t xml:space="preserve">[56].  </w:t>
      </w:r>
      <w:r w:rsidR="00B80E59">
        <w:t xml:space="preserve">Justice </w:t>
      </w:r>
      <w:proofErr w:type="spellStart"/>
      <w:r w:rsidR="00BE4DFA">
        <w:t>He</w:t>
      </w:r>
      <w:r w:rsidR="0018187E">
        <w:t>erey</w:t>
      </w:r>
      <w:proofErr w:type="spellEnd"/>
      <w:r w:rsidR="0018187E">
        <w:t xml:space="preserve"> </w:t>
      </w:r>
      <w:r w:rsidR="002A7F46">
        <w:t xml:space="preserve">in </w:t>
      </w:r>
      <w:r w:rsidR="002A7F46" w:rsidRPr="00C43ACB">
        <w:rPr>
          <w:i/>
          <w:iCs/>
        </w:rPr>
        <w:t xml:space="preserve">Henderson </w:t>
      </w:r>
      <w:r w:rsidR="0018187E">
        <w:t xml:space="preserve">similarly observed that, whilst the </w:t>
      </w:r>
      <w:r w:rsidR="00A16AE5">
        <w:t>“</w:t>
      </w:r>
      <w:r w:rsidR="0018187E" w:rsidRPr="00A16AE5">
        <w:rPr>
          <w:i/>
        </w:rPr>
        <w:t>inherent badness</w:t>
      </w:r>
      <w:r w:rsidR="00A16AE5">
        <w:t>”</w:t>
      </w:r>
      <w:r w:rsidR="0018187E">
        <w:t xml:space="preserve"> of the conduct giving rise to litigation will not </w:t>
      </w:r>
      <w:r w:rsidR="00D4138F">
        <w:t>“</w:t>
      </w:r>
      <w:r w:rsidR="00D4138F" w:rsidRPr="00D4138F">
        <w:rPr>
          <w:i/>
          <w:iCs/>
        </w:rPr>
        <w:t>usually</w:t>
      </w:r>
      <w:r w:rsidR="00D4138F">
        <w:t>”</w:t>
      </w:r>
      <w:r w:rsidR="0018187E">
        <w:t xml:space="preserve"> </w:t>
      </w:r>
      <w:r w:rsidR="007E5579">
        <w:t>justify an award of indemnity costs</w:t>
      </w:r>
      <w:r w:rsidR="00C43ACB">
        <w:t>,</w:t>
      </w:r>
      <w:r w:rsidR="007E5579">
        <w:t xml:space="preserve"> “</w:t>
      </w:r>
      <w:r w:rsidR="007E5579" w:rsidRPr="00C43ACB">
        <w:rPr>
          <w:i/>
          <w:iCs/>
        </w:rPr>
        <w:t>this is not universally true</w:t>
      </w:r>
      <w:r w:rsidR="007E5579">
        <w:t xml:space="preserve">”:  </w:t>
      </w:r>
      <w:r w:rsidR="00AE49D1">
        <w:t xml:space="preserve">at [42].  It cannot </w:t>
      </w:r>
      <w:r w:rsidR="00E73FA4">
        <w:t xml:space="preserve">therefore </w:t>
      </w:r>
      <w:r w:rsidR="00AE49D1">
        <w:t xml:space="preserve">be said that there is a strict rule that </w:t>
      </w:r>
      <w:r w:rsidR="00CC62F2">
        <w:t xml:space="preserve">antecedent delinquent conduct can never give rise to indemnity costs.  </w:t>
      </w:r>
    </w:p>
    <w:p w14:paraId="182F6CE0" w14:textId="1DC4381F" w:rsidR="007B214F" w:rsidRDefault="008F3E79" w:rsidP="008F3E79">
      <w:pPr>
        <w:pStyle w:val="ParaNumbering"/>
        <w:numPr>
          <w:ilvl w:val="0"/>
          <w:numId w:val="0"/>
        </w:numPr>
        <w:ind w:hanging="720"/>
      </w:pPr>
      <w:r>
        <w:rPr>
          <w:sz w:val="20"/>
        </w:rPr>
        <w:t>22</w:t>
      </w:r>
      <w:r>
        <w:rPr>
          <w:sz w:val="20"/>
        </w:rPr>
        <w:tab/>
      </w:r>
      <w:r w:rsidR="004F3302" w:rsidRPr="00F24F3E">
        <w:rPr>
          <w:b/>
          <w:bCs/>
          <w:i/>
          <w:iCs/>
          <w:szCs w:val="24"/>
        </w:rPr>
        <w:t>Secondly</w:t>
      </w:r>
      <w:r w:rsidR="004F3302" w:rsidRPr="00F24F3E">
        <w:rPr>
          <w:szCs w:val="24"/>
        </w:rPr>
        <w:t xml:space="preserve">, one </w:t>
      </w:r>
      <w:r w:rsidR="0071475B">
        <w:rPr>
          <w:szCs w:val="24"/>
        </w:rPr>
        <w:t>well-established and critical</w:t>
      </w:r>
      <w:r w:rsidR="004F3302" w:rsidRPr="00F24F3E">
        <w:rPr>
          <w:szCs w:val="24"/>
        </w:rPr>
        <w:t xml:space="preserve"> exception to </w:t>
      </w:r>
      <w:r w:rsidR="00F92DB3">
        <w:rPr>
          <w:szCs w:val="24"/>
        </w:rPr>
        <w:t>the</w:t>
      </w:r>
      <w:r w:rsidR="004F3302" w:rsidRPr="00F24F3E">
        <w:rPr>
          <w:szCs w:val="24"/>
        </w:rPr>
        <w:t xml:space="preserve"> </w:t>
      </w:r>
      <w:r w:rsidR="00CF60FC" w:rsidRPr="00F24F3E">
        <w:rPr>
          <w:szCs w:val="24"/>
        </w:rPr>
        <w:t>principle</w:t>
      </w:r>
      <w:r w:rsidR="00F24F3E" w:rsidRPr="00F24F3E">
        <w:rPr>
          <w:szCs w:val="24"/>
        </w:rPr>
        <w:t xml:space="preserve"> </w:t>
      </w:r>
      <w:r w:rsidR="00F92DB3">
        <w:rPr>
          <w:szCs w:val="24"/>
        </w:rPr>
        <w:t xml:space="preserve">that </w:t>
      </w:r>
      <w:r w:rsidR="00C50824">
        <w:rPr>
          <w:szCs w:val="24"/>
        </w:rPr>
        <w:t xml:space="preserve">indemnity </w:t>
      </w:r>
      <w:r w:rsidR="00F92DB3">
        <w:rPr>
          <w:szCs w:val="24"/>
        </w:rPr>
        <w:t xml:space="preserve">costs </w:t>
      </w:r>
      <w:r w:rsidR="00C50824">
        <w:rPr>
          <w:szCs w:val="24"/>
        </w:rPr>
        <w:t xml:space="preserve">are </w:t>
      </w:r>
      <w:r w:rsidR="00C50824">
        <w:t>awarded only on the basis of</w:t>
      </w:r>
      <w:r w:rsidR="00F92DB3">
        <w:rPr>
          <w:szCs w:val="24"/>
        </w:rPr>
        <w:t xml:space="preserve"> </w:t>
      </w:r>
      <w:r w:rsidR="00E73FA4">
        <w:rPr>
          <w:szCs w:val="24"/>
        </w:rPr>
        <w:t xml:space="preserve">conduct </w:t>
      </w:r>
      <w:r w:rsidR="00F92DB3">
        <w:rPr>
          <w:szCs w:val="24"/>
        </w:rPr>
        <w:t>in the s</w:t>
      </w:r>
      <w:r w:rsidR="0071475B">
        <w:rPr>
          <w:szCs w:val="24"/>
        </w:rPr>
        <w:t xml:space="preserve">ubject proceedings </w:t>
      </w:r>
      <w:r w:rsidR="00F24F3E" w:rsidRPr="001B5550">
        <w:rPr>
          <w:color w:val="202124"/>
          <w:szCs w:val="24"/>
        </w:rPr>
        <w:t xml:space="preserve">is </w:t>
      </w:r>
      <w:r w:rsidR="00FC76D2" w:rsidRPr="001B5550">
        <w:rPr>
          <w:color w:val="202124"/>
          <w:szCs w:val="24"/>
        </w:rPr>
        <w:t xml:space="preserve">in the context of proceedings for </w:t>
      </w:r>
      <w:r w:rsidR="00F8212F" w:rsidRPr="001B5550">
        <w:rPr>
          <w:color w:val="202124"/>
          <w:szCs w:val="24"/>
        </w:rPr>
        <w:t xml:space="preserve">contempt of </w:t>
      </w:r>
      <w:r w:rsidR="00634DA2">
        <w:rPr>
          <w:color w:val="202124"/>
          <w:szCs w:val="24"/>
        </w:rPr>
        <w:t>c</w:t>
      </w:r>
      <w:r w:rsidR="00F8212F" w:rsidRPr="001B5550">
        <w:rPr>
          <w:color w:val="202124"/>
          <w:szCs w:val="24"/>
        </w:rPr>
        <w:t>ourt</w:t>
      </w:r>
      <w:r w:rsidR="00DC5894" w:rsidRPr="001B5550">
        <w:rPr>
          <w:color w:val="202124"/>
          <w:szCs w:val="24"/>
        </w:rPr>
        <w:t xml:space="preserve">: </w:t>
      </w:r>
      <w:r w:rsidR="00DC5894" w:rsidRPr="0071475B">
        <w:rPr>
          <w:i/>
          <w:iCs/>
        </w:rPr>
        <w:t xml:space="preserve">Henderson </w:t>
      </w:r>
      <w:r w:rsidR="00DC5894">
        <w:t xml:space="preserve">at [42]. </w:t>
      </w:r>
      <w:r w:rsidR="00FC76D2">
        <w:t xml:space="preserve"> </w:t>
      </w:r>
      <w:r w:rsidR="007B214F">
        <w:t>Indeed, in Australia, it has been held that orders requiring a contemnor to pay their costs on an indemnity basis, while discretionary, are “</w:t>
      </w:r>
      <w:r w:rsidR="007B214F" w:rsidRPr="00E93F01">
        <w:rPr>
          <w:i/>
          <w:iCs/>
        </w:rPr>
        <w:t>not uncommon</w:t>
      </w:r>
      <w:r w:rsidR="007B214F">
        <w:t>”,</w:t>
      </w:r>
      <w:r w:rsidR="00586F47">
        <w:t xml:space="preserve"> are</w:t>
      </w:r>
      <w:r w:rsidR="007B214F">
        <w:t xml:space="preserve"> the “</w:t>
      </w:r>
      <w:r w:rsidR="007B214F" w:rsidRPr="00E93F01">
        <w:rPr>
          <w:i/>
          <w:iCs/>
        </w:rPr>
        <w:t>common or usual practice</w:t>
      </w:r>
      <w:r w:rsidR="007B214F">
        <w:t>”, or is the “</w:t>
      </w:r>
      <w:r w:rsidR="007B214F" w:rsidRPr="00E93F01">
        <w:rPr>
          <w:i/>
          <w:iCs/>
        </w:rPr>
        <w:t>usual order</w:t>
      </w:r>
      <w:r w:rsidR="007B214F">
        <w:t xml:space="preserve">”: </w:t>
      </w:r>
      <w:r w:rsidR="00586F47">
        <w:t xml:space="preserve"> </w:t>
      </w:r>
      <w:proofErr w:type="spellStart"/>
      <w:r w:rsidR="007B214F" w:rsidRPr="00F14799">
        <w:rPr>
          <w:b/>
          <w:i/>
          <w:iCs/>
        </w:rPr>
        <w:t>Infa</w:t>
      </w:r>
      <w:proofErr w:type="spellEnd"/>
      <w:r w:rsidR="007B214F" w:rsidRPr="00F14799">
        <w:rPr>
          <w:b/>
          <w:i/>
          <w:iCs/>
        </w:rPr>
        <w:t>-Secure</w:t>
      </w:r>
      <w:r w:rsidR="007B214F" w:rsidRPr="00F14799">
        <w:rPr>
          <w:i/>
          <w:iCs/>
        </w:rPr>
        <w:t xml:space="preserve"> Pty Ltd v Crocker (No 2) </w:t>
      </w:r>
      <w:r w:rsidR="007B214F" w:rsidRPr="00F14799">
        <w:t>(2016) 338 ALR 586; [2016] FCA 202</w:t>
      </w:r>
      <w:r w:rsidR="007B214F">
        <w:t xml:space="preserve"> at [44] (Reeves J);  </w:t>
      </w:r>
      <w:r w:rsidR="007B214F" w:rsidRPr="00F14799">
        <w:rPr>
          <w:i/>
          <w:iCs/>
        </w:rPr>
        <w:t xml:space="preserve">Kazal v Thunder Studios Inc (California) </w:t>
      </w:r>
      <w:r w:rsidR="007B214F" w:rsidRPr="00F14799">
        <w:t>[2017] FCA 238</w:t>
      </w:r>
      <w:r w:rsidR="007B214F">
        <w:t xml:space="preserve"> at [90] (Katzmann J), cited with approval by </w:t>
      </w:r>
      <w:r w:rsidR="007B214F" w:rsidRPr="00F14799">
        <w:rPr>
          <w:i/>
          <w:iCs/>
        </w:rPr>
        <w:t xml:space="preserve">Kazal v Thunder Studios Inc </w:t>
      </w:r>
      <w:r w:rsidR="007B214F" w:rsidRPr="00F14799">
        <w:t>(2017) 256 FCR 90; [2017] FCAFC 111</w:t>
      </w:r>
      <w:r w:rsidR="007B214F">
        <w:t xml:space="preserve"> at [192] (the Court); </w:t>
      </w:r>
      <w:r w:rsidR="007B214F" w:rsidRPr="00F14799">
        <w:rPr>
          <w:i/>
          <w:iCs/>
        </w:rPr>
        <w:t xml:space="preserve">Deputy Commissioner of Taxation v </w:t>
      </w:r>
      <w:r w:rsidR="007B214F" w:rsidRPr="00F14799">
        <w:rPr>
          <w:b/>
          <w:i/>
          <w:iCs/>
        </w:rPr>
        <w:t>Gashi</w:t>
      </w:r>
      <w:r w:rsidR="007B214F" w:rsidRPr="00F14799">
        <w:rPr>
          <w:i/>
          <w:iCs/>
        </w:rPr>
        <w:t xml:space="preserve"> (No 3) </w:t>
      </w:r>
      <w:r w:rsidR="007B214F" w:rsidRPr="00F14799">
        <w:rPr>
          <w:iCs/>
        </w:rPr>
        <w:t>[2011] VSC 448</w:t>
      </w:r>
      <w:r w:rsidR="007B214F" w:rsidRPr="00396425">
        <w:t xml:space="preserve"> at</w:t>
      </w:r>
      <w:r w:rsidR="007B214F" w:rsidRPr="00115CAB">
        <w:t xml:space="preserve"> [20] (Dixon J)</w:t>
      </w:r>
      <w:r w:rsidR="007B214F">
        <w:t xml:space="preserve">.  </w:t>
      </w:r>
    </w:p>
    <w:p w14:paraId="29A6F31A" w14:textId="5647DBB3" w:rsidR="00C35351" w:rsidRPr="0071475B" w:rsidRDefault="008F3E79" w:rsidP="008F3E79">
      <w:pPr>
        <w:pStyle w:val="ParaNumbering"/>
        <w:numPr>
          <w:ilvl w:val="0"/>
          <w:numId w:val="0"/>
        </w:numPr>
        <w:ind w:hanging="720"/>
        <w:rPr>
          <w:szCs w:val="24"/>
        </w:rPr>
      </w:pPr>
      <w:r w:rsidRPr="0071475B">
        <w:rPr>
          <w:sz w:val="20"/>
          <w:szCs w:val="24"/>
        </w:rPr>
        <w:t>23</w:t>
      </w:r>
      <w:r w:rsidRPr="0071475B">
        <w:rPr>
          <w:sz w:val="20"/>
          <w:szCs w:val="24"/>
        </w:rPr>
        <w:tab/>
      </w:r>
      <w:r w:rsidR="00001766">
        <w:t xml:space="preserve">The </w:t>
      </w:r>
      <w:r w:rsidR="00FD5851">
        <w:t>rationale for</w:t>
      </w:r>
      <w:r w:rsidR="00001766">
        <w:t xml:space="preserve"> </w:t>
      </w:r>
      <w:r w:rsidR="00362F26">
        <w:t>this</w:t>
      </w:r>
      <w:r w:rsidR="00001766">
        <w:t xml:space="preserve"> </w:t>
      </w:r>
      <w:r w:rsidR="007B214F">
        <w:t xml:space="preserve">approach </w:t>
      </w:r>
      <w:r w:rsidR="00001766">
        <w:t xml:space="preserve">was </w:t>
      </w:r>
      <w:r w:rsidR="00460F1F">
        <w:t xml:space="preserve">explained </w:t>
      </w:r>
      <w:r w:rsidR="00001766">
        <w:t>by</w:t>
      </w:r>
      <w:r w:rsidR="00B7516B">
        <w:t xml:space="preserve"> </w:t>
      </w:r>
      <w:proofErr w:type="spellStart"/>
      <w:r w:rsidR="00001766">
        <w:t>Megarry</w:t>
      </w:r>
      <w:proofErr w:type="spellEnd"/>
      <w:r w:rsidR="00001766">
        <w:t xml:space="preserve"> VC </w:t>
      </w:r>
      <w:r w:rsidR="00B7516B">
        <w:t xml:space="preserve">in </w:t>
      </w:r>
      <w:r w:rsidR="00B7516B" w:rsidRPr="00F14799">
        <w:rPr>
          <w:i/>
          <w:iCs/>
        </w:rPr>
        <w:t>EMI Records Ltd v Ian Wallace Ltd</w:t>
      </w:r>
      <w:r w:rsidR="00B7516B" w:rsidRPr="00F14799">
        <w:t xml:space="preserve"> </w:t>
      </w:r>
      <w:r w:rsidR="00B16B87" w:rsidRPr="00F14799">
        <w:t xml:space="preserve">[1982] 2 All ER 980; </w:t>
      </w:r>
      <w:r w:rsidR="00B7516B" w:rsidRPr="00F14799">
        <w:t>[</w:t>
      </w:r>
      <w:r w:rsidR="00770E3E" w:rsidRPr="00F14799">
        <w:t xml:space="preserve">1983] </w:t>
      </w:r>
      <w:r w:rsidR="00345332">
        <w:t xml:space="preserve">1 </w:t>
      </w:r>
      <w:r w:rsidR="00770E3E" w:rsidRPr="00F14799">
        <w:t>Ch 5</w:t>
      </w:r>
      <w:r w:rsidR="00345332">
        <w:t>9</w:t>
      </w:r>
      <w:r w:rsidR="00460F1F">
        <w:t xml:space="preserve">. </w:t>
      </w:r>
      <w:r w:rsidR="00B16B87">
        <w:t xml:space="preserve"> </w:t>
      </w:r>
      <w:r w:rsidR="00460F1F">
        <w:t>That case concerned applications for review of taxations of costs on two orders for costs</w:t>
      </w:r>
      <w:r w:rsidR="00300A0A">
        <w:t xml:space="preserve">, </w:t>
      </w:r>
      <w:r w:rsidR="00D92320">
        <w:t>awarded</w:t>
      </w:r>
      <w:r w:rsidR="00460F1F">
        <w:t xml:space="preserve"> on an indemnity basis</w:t>
      </w:r>
      <w:r w:rsidR="00300A0A">
        <w:t>,</w:t>
      </w:r>
      <w:r w:rsidR="00460F1F">
        <w:t xml:space="preserve"> made on successive motions for contempt in the same </w:t>
      </w:r>
      <w:r w:rsidR="00403F6C">
        <w:t>case</w:t>
      </w:r>
      <w:r w:rsidR="00460F1F">
        <w:t xml:space="preserve">.  </w:t>
      </w:r>
      <w:proofErr w:type="spellStart"/>
      <w:r w:rsidR="00460F1F">
        <w:t>Megarry</w:t>
      </w:r>
      <w:proofErr w:type="spellEnd"/>
      <w:r w:rsidR="00460F1F">
        <w:t xml:space="preserve"> VC relevantly upheld the </w:t>
      </w:r>
      <w:r w:rsidR="00D92320">
        <w:t xml:space="preserve">power of the Court </w:t>
      </w:r>
      <w:r w:rsidR="00460F1F">
        <w:t>to make an order for indemnity costs</w:t>
      </w:r>
      <w:r w:rsidR="00403F6C">
        <w:t xml:space="preserve"> and said </w:t>
      </w:r>
      <w:r w:rsidR="00586F47">
        <w:t>(</w:t>
      </w:r>
      <w:r w:rsidR="00B16B87">
        <w:t>a</w:t>
      </w:r>
      <w:r w:rsidR="00770E3E">
        <w:t>t</w:t>
      </w:r>
      <w:r w:rsidR="00586F47">
        <w:t xml:space="preserve"> </w:t>
      </w:r>
      <w:r w:rsidR="00770E3E">
        <w:t>76</w:t>
      </w:r>
      <w:r w:rsidR="00586F47">
        <w:t xml:space="preserve">, </w:t>
      </w:r>
      <w:r w:rsidR="00101538">
        <w:t>in the context of pointing to the</w:t>
      </w:r>
      <w:r w:rsidR="00362F26">
        <w:t xml:space="preserve"> need for the</w:t>
      </w:r>
      <w:r w:rsidR="00101538">
        <w:t xml:space="preserve"> </w:t>
      </w:r>
      <w:r w:rsidR="00F65A1A">
        <w:t>rules</w:t>
      </w:r>
      <w:r w:rsidR="00362F26">
        <w:t xml:space="preserve"> </w:t>
      </w:r>
      <w:r w:rsidR="00F65A1A">
        <w:t xml:space="preserve">to properly define </w:t>
      </w:r>
      <w:r w:rsidR="00E05DA8" w:rsidRPr="00A73619">
        <w:rPr>
          <w:i/>
          <w:iCs/>
        </w:rPr>
        <w:t>inter partes</w:t>
      </w:r>
      <w:r w:rsidR="00E05DA8">
        <w:t xml:space="preserve"> orders for </w:t>
      </w:r>
      <w:r w:rsidR="002C6E82">
        <w:t>costs on an</w:t>
      </w:r>
      <w:r w:rsidR="00F65A1A">
        <w:t xml:space="preserve"> indemnity basis</w:t>
      </w:r>
      <w:r w:rsidR="00362F26">
        <w:t>)</w:t>
      </w:r>
      <w:r w:rsidR="00777D23">
        <w:t>:</w:t>
      </w:r>
    </w:p>
    <w:p w14:paraId="1C5B552C" w14:textId="4B823251" w:rsidR="00E52C51" w:rsidRPr="00E52C51" w:rsidRDefault="00F65A1A" w:rsidP="00E52C51">
      <w:pPr>
        <w:pStyle w:val="Quote1"/>
      </w:pPr>
      <w:r>
        <w:t xml:space="preserve">In particular, it </w:t>
      </w:r>
      <w:r w:rsidR="00D92320">
        <w:t>[a proper definition in the rule</w:t>
      </w:r>
      <w:r w:rsidR="00C56F47">
        <w:t>s</w:t>
      </w:r>
      <w:r w:rsidR="00D92320">
        <w:t xml:space="preserve">] </w:t>
      </w:r>
      <w:r w:rsidR="003D4C8E">
        <w:t>i</w:t>
      </w:r>
      <w:r w:rsidR="00D117E8">
        <w:t xml:space="preserve">s needed in </w:t>
      </w:r>
      <w:r w:rsidR="00C817D4">
        <w:t xml:space="preserve">cases of contempt. </w:t>
      </w:r>
      <w:r w:rsidR="003D4C8E">
        <w:t xml:space="preserve"> </w:t>
      </w:r>
      <w:r w:rsidR="00C817D4">
        <w:t>In such cases</w:t>
      </w:r>
      <w:r w:rsidR="00C817D4" w:rsidRPr="00B419E7">
        <w:rPr>
          <w:i/>
        </w:rPr>
        <w:t>,</w:t>
      </w:r>
      <w:r w:rsidR="00C817D4" w:rsidRPr="00B419E7">
        <w:rPr>
          <w:b/>
          <w:bCs/>
          <w:i/>
        </w:rPr>
        <w:t xml:space="preserve"> nothing </w:t>
      </w:r>
      <w:r w:rsidR="00C817D4" w:rsidRPr="00B419E7">
        <w:rPr>
          <w:bCs/>
        </w:rPr>
        <w:t xml:space="preserve">should be done to deter a </w:t>
      </w:r>
      <w:r w:rsidR="007D3A55" w:rsidRPr="00B419E7">
        <w:rPr>
          <w:bCs/>
        </w:rPr>
        <w:t>person</w:t>
      </w:r>
      <w:r w:rsidR="00C817D4" w:rsidRPr="00B419E7">
        <w:rPr>
          <w:bCs/>
        </w:rPr>
        <w:t xml:space="preserve"> from bringing a contempt to the notice of the court</w:t>
      </w:r>
      <w:r w:rsidR="007D3A55">
        <w:t xml:space="preserve">; and the risk of having to bear any of the costs </w:t>
      </w:r>
      <w:r w:rsidR="004C70E1">
        <w:t>will often be a real deterrent</w:t>
      </w:r>
      <w:r w:rsidR="003D3392">
        <w:t xml:space="preserve">:  see </w:t>
      </w:r>
      <w:r w:rsidR="003D3392">
        <w:rPr>
          <w:i/>
        </w:rPr>
        <w:t xml:space="preserve">Morgan v. Carmarthen Corporation </w:t>
      </w:r>
      <w:r w:rsidR="003D3392">
        <w:t>[1957] Ch. 455, particularly at 474</w:t>
      </w:r>
      <w:r w:rsidR="007728F0">
        <w:t xml:space="preserve"> … for </w:t>
      </w:r>
      <w:r w:rsidR="00F2170E">
        <w:t xml:space="preserve">[indemnity] </w:t>
      </w:r>
      <w:r w:rsidR="007728F0">
        <w:t xml:space="preserve">orders </w:t>
      </w:r>
      <w:r w:rsidR="00F2170E">
        <w:t>in cases of contempt are being made all the time, and they ought not be left in any state of doubt</w:t>
      </w:r>
      <w:r w:rsidR="00114665">
        <w:t>.</w:t>
      </w:r>
    </w:p>
    <w:p w14:paraId="6D285F74" w14:textId="2731EEAC" w:rsidR="005043D9" w:rsidRDefault="004C70E1" w:rsidP="005043D9">
      <w:pPr>
        <w:pStyle w:val="Quote1"/>
      </w:pPr>
      <w:r>
        <w:t>(Emphasis added.)</w:t>
      </w:r>
    </w:p>
    <w:p w14:paraId="2EF65BC6" w14:textId="311A3AA0" w:rsidR="004C70E1" w:rsidRDefault="008F3E79" w:rsidP="008F3E79">
      <w:pPr>
        <w:pStyle w:val="ParaNumbering"/>
        <w:numPr>
          <w:ilvl w:val="0"/>
          <w:numId w:val="0"/>
        </w:numPr>
        <w:ind w:hanging="720"/>
      </w:pPr>
      <w:r>
        <w:rPr>
          <w:sz w:val="20"/>
        </w:rPr>
        <w:lastRenderedPageBreak/>
        <w:t>24</w:t>
      </w:r>
      <w:r>
        <w:rPr>
          <w:sz w:val="20"/>
        </w:rPr>
        <w:tab/>
      </w:r>
      <w:r w:rsidR="009425D3">
        <w:t>Th</w:t>
      </w:r>
      <w:r w:rsidR="0050449F">
        <w:t>us</w:t>
      </w:r>
      <w:r w:rsidR="00D92320">
        <w:t>,</w:t>
      </w:r>
      <w:r w:rsidR="0050449F">
        <w:t xml:space="preserve"> it is the public interest in ensuring that </w:t>
      </w:r>
      <w:proofErr w:type="spellStart"/>
      <w:r w:rsidR="00EB53F1">
        <w:t>contempt</w:t>
      </w:r>
      <w:r w:rsidR="00291D5B">
        <w:t>s</w:t>
      </w:r>
      <w:proofErr w:type="spellEnd"/>
      <w:r w:rsidR="00EB53F1">
        <w:t xml:space="preserve"> of court </w:t>
      </w:r>
      <w:r w:rsidR="00291D5B">
        <w:t>are</w:t>
      </w:r>
      <w:r w:rsidR="00D92320">
        <w:t xml:space="preserve"> </w:t>
      </w:r>
      <w:r w:rsidR="00EB53F1">
        <w:t xml:space="preserve">prosecuted which explains the </w:t>
      </w:r>
      <w:r w:rsidR="00FE6B77">
        <w:t xml:space="preserve">common or ordinary practice of awarding indemnity costs in such cases.  </w:t>
      </w:r>
      <w:r w:rsidR="005F7BB4">
        <w:t>For exampl</w:t>
      </w:r>
      <w:r w:rsidR="009425D3">
        <w:t>e</w:t>
      </w:r>
      <w:r w:rsidR="005F7BB4">
        <w:t>, the</w:t>
      </w:r>
      <w:r w:rsidR="009425D3">
        <w:t xml:space="preserve"> </w:t>
      </w:r>
      <w:r w:rsidR="009D6634">
        <w:t xml:space="preserve">Full Court in </w:t>
      </w:r>
      <w:r w:rsidR="009D6634" w:rsidRPr="00F14799">
        <w:rPr>
          <w:b/>
          <w:bCs/>
          <w:i/>
          <w:iCs/>
        </w:rPr>
        <w:t>Ali</w:t>
      </w:r>
      <w:r w:rsidR="009D6634" w:rsidRPr="00F14799">
        <w:rPr>
          <w:i/>
          <w:iCs/>
        </w:rPr>
        <w:t xml:space="preserve"> v Collection Point Pty Ltd </w:t>
      </w:r>
      <w:r w:rsidR="009D6634" w:rsidRPr="00F14799">
        <w:t>[2011] FCAFC 87</w:t>
      </w:r>
      <w:r w:rsidR="00C8716B">
        <w:t xml:space="preserve"> at [80]</w:t>
      </w:r>
      <w:r w:rsidR="002261B0">
        <w:t xml:space="preserve">, </w:t>
      </w:r>
      <w:r w:rsidR="00E83A69">
        <w:t>stated as follows</w:t>
      </w:r>
      <w:r w:rsidR="002261B0">
        <w:t>:</w:t>
      </w:r>
    </w:p>
    <w:p w14:paraId="5A4A45A1" w14:textId="65B0A005" w:rsidR="002261B0" w:rsidRPr="00176D9E" w:rsidRDefault="002261B0" w:rsidP="002261B0">
      <w:pPr>
        <w:pStyle w:val="Quote1"/>
      </w:pPr>
      <w:r w:rsidRPr="002261B0">
        <w:t xml:space="preserve">As the authorities reveal, indemnity costs are not infrequently awarded where an applicant successfully prosecutes a charge of contempt. </w:t>
      </w:r>
      <w:r w:rsidR="00396425">
        <w:t xml:space="preserve"> </w:t>
      </w:r>
      <w:r w:rsidRPr="002261B0">
        <w:t xml:space="preserve">In that context, it may be </w:t>
      </w:r>
      <w:r w:rsidRPr="00176D9E">
        <w:t xml:space="preserve">relevant that, as Tracey J stated in </w:t>
      </w:r>
      <w:r w:rsidRPr="00176D9E">
        <w:rPr>
          <w:i/>
          <w:iCs/>
        </w:rPr>
        <w:t xml:space="preserve">Bovis Lend Lease Pty Ltd v Construction Forestry Mining and Energy Union (No 2) </w:t>
      </w:r>
      <w:r w:rsidRPr="00176D9E">
        <w:t xml:space="preserve">[2009] FCA 650 at [45], “the applicant has not been seeking any remedy on its own behalf but rather has been </w:t>
      </w:r>
      <w:r w:rsidRPr="00176D9E">
        <w:rPr>
          <w:b/>
          <w:bCs/>
          <w:i/>
        </w:rPr>
        <w:t>upholding the various public interests which are served by prosecutions for contempt of court</w:t>
      </w:r>
      <w:r w:rsidRPr="00176D9E">
        <w:t>”.</w:t>
      </w:r>
    </w:p>
    <w:p w14:paraId="36CCE1C9" w14:textId="1BA0CC34" w:rsidR="00B91DB7" w:rsidRPr="00176D9E" w:rsidRDefault="00B91DB7" w:rsidP="002261B0">
      <w:pPr>
        <w:pStyle w:val="Quote1"/>
      </w:pPr>
      <w:r w:rsidRPr="00176D9E">
        <w:t>(Emphasis added.)</w:t>
      </w:r>
    </w:p>
    <w:p w14:paraId="4D4A4065" w14:textId="0A6DCB3B" w:rsidR="00584FC7" w:rsidRPr="00176D9E" w:rsidRDefault="008F3E79" w:rsidP="008F3E79">
      <w:pPr>
        <w:pStyle w:val="ParaNumbering"/>
        <w:numPr>
          <w:ilvl w:val="0"/>
          <w:numId w:val="0"/>
        </w:numPr>
        <w:ind w:hanging="720"/>
      </w:pPr>
      <w:r w:rsidRPr="00176D9E">
        <w:rPr>
          <w:sz w:val="20"/>
        </w:rPr>
        <w:t>25</w:t>
      </w:r>
      <w:r w:rsidRPr="00176D9E">
        <w:rPr>
          <w:sz w:val="20"/>
        </w:rPr>
        <w:tab/>
      </w:r>
      <w:r w:rsidR="00C40C62" w:rsidRPr="00176D9E">
        <w:t xml:space="preserve">Similarly, </w:t>
      </w:r>
      <w:r w:rsidR="00570527" w:rsidRPr="00176D9E">
        <w:t xml:space="preserve">in </w:t>
      </w:r>
      <w:r w:rsidR="00570527" w:rsidRPr="00F14799">
        <w:rPr>
          <w:b/>
          <w:bCs/>
          <w:i/>
          <w:iCs/>
        </w:rPr>
        <w:t xml:space="preserve">Universal City </w:t>
      </w:r>
      <w:r w:rsidR="00455929" w:rsidRPr="00F14799">
        <w:rPr>
          <w:b/>
          <w:bCs/>
          <w:i/>
          <w:iCs/>
        </w:rPr>
        <w:t>Studios</w:t>
      </w:r>
      <w:r w:rsidR="00455929" w:rsidRPr="00F14799">
        <w:rPr>
          <w:i/>
          <w:iCs/>
        </w:rPr>
        <w:t xml:space="preserve"> LLLP v Hoey t/as DVD Ki</w:t>
      </w:r>
      <w:r w:rsidR="00346F65" w:rsidRPr="00F14799">
        <w:rPr>
          <w:i/>
          <w:iCs/>
        </w:rPr>
        <w:t>ngdom</w:t>
      </w:r>
      <w:r w:rsidR="00346F65" w:rsidRPr="00F14799">
        <w:t xml:space="preserve"> (2007) 73 IPR 45; [2007] FCA 806</w:t>
      </w:r>
      <w:r w:rsidR="00291D5B">
        <w:t>,</w:t>
      </w:r>
      <w:r w:rsidR="00346F65" w:rsidRPr="00176D9E">
        <w:t xml:space="preserve"> </w:t>
      </w:r>
      <w:r w:rsidR="00291D5B" w:rsidRPr="00176D9E">
        <w:t xml:space="preserve">Buchannan J held </w:t>
      </w:r>
      <w:r w:rsidR="00346F65" w:rsidRPr="00176D9E">
        <w:t xml:space="preserve">at </w:t>
      </w:r>
      <w:r w:rsidR="00F218E2" w:rsidRPr="00176D9E">
        <w:t>[102]</w:t>
      </w:r>
      <w:r w:rsidR="00C23A7C" w:rsidRPr="00176D9E">
        <w:t xml:space="preserve"> that</w:t>
      </w:r>
      <w:r w:rsidR="00F218E2" w:rsidRPr="00176D9E">
        <w:t>:</w:t>
      </w:r>
    </w:p>
    <w:p w14:paraId="3735E6E3" w14:textId="280F2C53" w:rsidR="009D6634" w:rsidRPr="00176D9E" w:rsidRDefault="00584FC7" w:rsidP="00F218E2">
      <w:pPr>
        <w:pStyle w:val="Quote1"/>
      </w:pPr>
      <w:r w:rsidRPr="00176D9E">
        <w:t>an order for the payment of indemnity costs, where it is made, recognises both the public interest in ensuring that orders of the Court are complied with and the equity in ensuring, as far as possible, that the applicant required to take the further step of contempt proceedings should be protected by an appro</w:t>
      </w:r>
      <w:r w:rsidR="00F218E2" w:rsidRPr="00176D9E">
        <w:t>priate costs order.</w:t>
      </w:r>
    </w:p>
    <w:p w14:paraId="760409BE" w14:textId="51502379" w:rsidR="00EA2BC6" w:rsidRPr="00176D9E" w:rsidRDefault="008F3E79" w:rsidP="008F3E79">
      <w:pPr>
        <w:pStyle w:val="ParaNumbering"/>
        <w:numPr>
          <w:ilvl w:val="0"/>
          <w:numId w:val="0"/>
        </w:numPr>
        <w:ind w:hanging="720"/>
      </w:pPr>
      <w:r w:rsidRPr="00176D9E">
        <w:rPr>
          <w:sz w:val="20"/>
        </w:rPr>
        <w:t>26</w:t>
      </w:r>
      <w:r w:rsidRPr="00176D9E">
        <w:rPr>
          <w:sz w:val="20"/>
        </w:rPr>
        <w:tab/>
      </w:r>
      <w:r w:rsidR="00435046" w:rsidRPr="00176D9E">
        <w:t xml:space="preserve">Two </w:t>
      </w:r>
      <w:r w:rsidR="00EA2BC6" w:rsidRPr="00176D9E">
        <w:t>further example</w:t>
      </w:r>
      <w:r w:rsidR="00435046" w:rsidRPr="00176D9E">
        <w:t>s suffice to reinforce the point.  First</w:t>
      </w:r>
      <w:r w:rsidR="00EA2BC6" w:rsidRPr="00176D9E">
        <w:t>, Reeves J in</w:t>
      </w:r>
      <w:r w:rsidR="00EA2BC6" w:rsidRPr="00176D9E">
        <w:rPr>
          <w:i/>
          <w:iCs/>
        </w:rPr>
        <w:t xml:space="preserve"> </w:t>
      </w:r>
      <w:proofErr w:type="spellStart"/>
      <w:r w:rsidR="00EA2BC6" w:rsidRPr="00176D9E">
        <w:rPr>
          <w:i/>
          <w:iCs/>
        </w:rPr>
        <w:t>Infa</w:t>
      </w:r>
      <w:proofErr w:type="spellEnd"/>
      <w:r w:rsidR="00EA2BC6" w:rsidRPr="00176D9E">
        <w:rPr>
          <w:i/>
          <w:iCs/>
        </w:rPr>
        <w:t xml:space="preserve">-Secure </w:t>
      </w:r>
      <w:r w:rsidR="00EA2BC6" w:rsidRPr="00176D9E">
        <w:t xml:space="preserve">at [44] explained that </w:t>
      </w:r>
      <w:r w:rsidR="00EA2BC6" w:rsidRPr="00176D9E">
        <w:rPr>
          <w:i/>
        </w:rPr>
        <w:t xml:space="preserve">“[t]he reason for this approach is that the applicant is performing </w:t>
      </w:r>
      <w:r w:rsidR="00EA2BC6" w:rsidRPr="00DE29EA">
        <w:rPr>
          <w:b/>
          <w:bCs/>
          <w:i/>
        </w:rPr>
        <w:t xml:space="preserve">both a private and a public service </w:t>
      </w:r>
      <w:r w:rsidR="00EA2BC6" w:rsidRPr="00176D9E">
        <w:rPr>
          <w:i/>
        </w:rPr>
        <w:t>in prosecuting charges of contempt</w:t>
      </w:r>
      <w:r w:rsidR="00EA2BC6" w:rsidRPr="00176D9E">
        <w:t>”</w:t>
      </w:r>
      <w:r w:rsidR="004926E8">
        <w:t>: (emphasis added).</w:t>
      </w:r>
      <w:r w:rsidR="00435046" w:rsidRPr="00176D9E">
        <w:t xml:space="preserve">  Similarly, </w:t>
      </w:r>
      <w:r w:rsidR="00970F8F" w:rsidRPr="00176D9E">
        <w:t xml:space="preserve">in </w:t>
      </w:r>
      <w:r w:rsidR="00F35E7C" w:rsidRPr="00176D9E">
        <w:rPr>
          <w:i/>
        </w:rPr>
        <w:t xml:space="preserve">Gashi </w:t>
      </w:r>
      <w:r w:rsidR="00F35E7C" w:rsidRPr="00176D9E">
        <w:t>at [20]</w:t>
      </w:r>
      <w:r w:rsidR="00FF5A7A">
        <w:t>,</w:t>
      </w:r>
      <w:r w:rsidR="00970F8F" w:rsidRPr="00176D9E">
        <w:t xml:space="preserve"> </w:t>
      </w:r>
      <w:r w:rsidR="004926E8">
        <w:t xml:space="preserve">Dixon J </w:t>
      </w:r>
      <w:r w:rsidR="00970F8F" w:rsidRPr="00176D9E">
        <w:t xml:space="preserve">explained </w:t>
      </w:r>
      <w:r w:rsidR="00726522" w:rsidRPr="00176D9E">
        <w:t xml:space="preserve">that </w:t>
      </w:r>
      <w:r w:rsidR="009854FC">
        <w:t xml:space="preserve">the rationale for ordering indemnity costs in cases of contempt is </w:t>
      </w:r>
      <w:r w:rsidR="00EB4710" w:rsidRPr="00176D9E">
        <w:t>that “</w:t>
      </w:r>
      <w:r w:rsidR="00EB4710" w:rsidRPr="00DE29EA">
        <w:rPr>
          <w:b/>
          <w:bCs/>
          <w:i/>
        </w:rPr>
        <w:t>one reason</w:t>
      </w:r>
      <w:r w:rsidR="00EB4710" w:rsidRPr="00176D9E">
        <w:rPr>
          <w:i/>
        </w:rPr>
        <w:t xml:space="preserve"> the plaintiff is bringing </w:t>
      </w:r>
      <w:r w:rsidR="00051B0F" w:rsidRPr="00176D9E">
        <w:rPr>
          <w:i/>
        </w:rPr>
        <w:t>proceedings is to vindicate the public interest in upholding the rule of law</w:t>
      </w:r>
      <w:r w:rsidR="00051B0F" w:rsidRPr="00AF3693">
        <w:t>”</w:t>
      </w:r>
      <w:r w:rsidR="007B2004" w:rsidRPr="00176D9E">
        <w:rPr>
          <w:i/>
        </w:rPr>
        <w:t xml:space="preserve"> </w:t>
      </w:r>
      <w:r w:rsidR="009E3439">
        <w:rPr>
          <w:iCs/>
        </w:rPr>
        <w:t xml:space="preserve">(emphasis added). </w:t>
      </w:r>
      <w:r w:rsidR="007B2004" w:rsidRPr="00176D9E">
        <w:rPr>
          <w:i/>
        </w:rPr>
        <w:t xml:space="preserve"> </w:t>
      </w:r>
      <w:r w:rsidR="00B55F6C" w:rsidRPr="00176D9E">
        <w:t>As these further examples make clear,</w:t>
      </w:r>
      <w:r w:rsidR="00D92320">
        <w:t xml:space="preserve"> indemnity costs may still be considered appropriate in proceedings for contempt of court, even where</w:t>
      </w:r>
      <w:r w:rsidR="00B55F6C" w:rsidRPr="00176D9E">
        <w:t xml:space="preserve"> </w:t>
      </w:r>
      <w:r w:rsidR="005A3ED0" w:rsidRPr="00176D9E">
        <w:t>other reasons or interests</w:t>
      </w:r>
      <w:r w:rsidR="00D92320">
        <w:t xml:space="preserve">, </w:t>
      </w:r>
      <w:r w:rsidR="00477133">
        <w:t>in addition to</w:t>
      </w:r>
      <w:r w:rsidR="00D92320">
        <w:t xml:space="preserve"> the public interest, are</w:t>
      </w:r>
      <w:r w:rsidR="005A3ED0" w:rsidRPr="00176D9E">
        <w:t xml:space="preserve"> </w:t>
      </w:r>
      <w:r w:rsidR="0033759D" w:rsidRPr="00176D9E">
        <w:t>furthered in</w:t>
      </w:r>
      <w:r w:rsidR="00110B61">
        <w:t xml:space="preserve"> pursuing </w:t>
      </w:r>
      <w:r w:rsidR="00D92320">
        <w:t xml:space="preserve">those </w:t>
      </w:r>
      <w:r w:rsidR="00110B61">
        <w:t>proceedings</w:t>
      </w:r>
      <w:r w:rsidR="0033759D" w:rsidRPr="00176D9E">
        <w:t xml:space="preserve">. </w:t>
      </w:r>
    </w:p>
    <w:p w14:paraId="400199D8" w14:textId="029CB81F" w:rsidR="00CC40E3" w:rsidRDefault="008F3E79" w:rsidP="008F3E79">
      <w:pPr>
        <w:pStyle w:val="ParaNumbering"/>
        <w:numPr>
          <w:ilvl w:val="0"/>
          <w:numId w:val="0"/>
        </w:numPr>
        <w:ind w:hanging="720"/>
      </w:pPr>
      <w:r>
        <w:rPr>
          <w:sz w:val="20"/>
        </w:rPr>
        <w:t>27</w:t>
      </w:r>
      <w:r>
        <w:rPr>
          <w:sz w:val="20"/>
        </w:rPr>
        <w:tab/>
      </w:r>
      <w:r w:rsidR="000158EE" w:rsidRPr="00176D9E">
        <w:t xml:space="preserve">The application of those principles has </w:t>
      </w:r>
      <w:r w:rsidR="0007689F" w:rsidRPr="00176D9E">
        <w:t xml:space="preserve">been held to </w:t>
      </w:r>
      <w:r w:rsidR="000158EE" w:rsidRPr="00176D9E">
        <w:t>justif</w:t>
      </w:r>
      <w:r w:rsidR="0007689F" w:rsidRPr="00176D9E">
        <w:t>y</w:t>
      </w:r>
      <w:r w:rsidR="000158EE" w:rsidRPr="00176D9E">
        <w:t xml:space="preserve"> the award</w:t>
      </w:r>
      <w:r w:rsidR="00E01661" w:rsidRPr="00176D9E">
        <w:t xml:space="preserve"> of</w:t>
      </w:r>
      <w:r w:rsidR="000158EE" w:rsidRPr="00176D9E">
        <w:t xml:space="preserve"> </w:t>
      </w:r>
      <w:r w:rsidR="00FF52F4" w:rsidRPr="00176D9E">
        <w:t>indemnity costs in many cases, including where the moving party is</w:t>
      </w:r>
      <w:r w:rsidR="00FF52F4">
        <w:t xml:space="preserve"> a government </w:t>
      </w:r>
      <w:r w:rsidR="0007689F">
        <w:t>party</w:t>
      </w:r>
      <w:r w:rsidR="00E966C5">
        <w:t xml:space="preserve">: see, </w:t>
      </w:r>
      <w:proofErr w:type="spellStart"/>
      <w:r w:rsidR="00E966C5">
        <w:t>eg</w:t>
      </w:r>
      <w:proofErr w:type="spellEnd"/>
      <w:r w:rsidR="00E966C5">
        <w:t xml:space="preserve">, </w:t>
      </w:r>
      <w:r w:rsidR="006F57BB">
        <w:rPr>
          <w:i/>
          <w:iCs/>
        </w:rPr>
        <w:t>Gashi (No 3)</w:t>
      </w:r>
      <w:r w:rsidR="004F65F7" w:rsidRPr="004F65F7">
        <w:t xml:space="preserve"> </w:t>
      </w:r>
      <w:r w:rsidR="006F57BB">
        <w:t>at</w:t>
      </w:r>
      <w:r w:rsidR="00AF3693">
        <w:t> </w:t>
      </w:r>
      <w:r w:rsidR="004F65F7">
        <w:t>[20]-[21]</w:t>
      </w:r>
      <w:r w:rsidR="009A0E6E">
        <w:t xml:space="preserve"> (</w:t>
      </w:r>
      <w:r w:rsidR="00F52731">
        <w:t xml:space="preserve">where the moving party was </w:t>
      </w:r>
      <w:r w:rsidR="009A0E6E">
        <w:t>the Deputy Commissioner of Taxation)</w:t>
      </w:r>
      <w:r w:rsidR="004F65F7">
        <w:t xml:space="preserve">; </w:t>
      </w:r>
      <w:r w:rsidR="008C66D2" w:rsidRPr="00F14799">
        <w:rPr>
          <w:i/>
          <w:iCs/>
        </w:rPr>
        <w:t xml:space="preserve">R v Witt </w:t>
      </w:r>
      <w:r w:rsidR="00172E33" w:rsidRPr="00F14799">
        <w:t>[2016] VSC 169</w:t>
      </w:r>
      <w:r w:rsidR="00172E33">
        <w:t xml:space="preserve"> at </w:t>
      </w:r>
      <w:r w:rsidR="00ED11D3">
        <w:t>[23] (J</w:t>
      </w:r>
      <w:r w:rsidR="00AF3693">
        <w:t> </w:t>
      </w:r>
      <w:r w:rsidR="00ED11D3">
        <w:t>Forrest</w:t>
      </w:r>
      <w:r w:rsidR="00BA1090">
        <w:t> J)</w:t>
      </w:r>
      <w:r w:rsidR="00BD429D">
        <w:t xml:space="preserve">; see generally </w:t>
      </w:r>
      <w:r w:rsidR="00FD1EE8">
        <w:t xml:space="preserve">GE Dal Pont, </w:t>
      </w:r>
      <w:r w:rsidR="00FD1EE8">
        <w:rPr>
          <w:i/>
          <w:iCs/>
        </w:rPr>
        <w:t xml:space="preserve">Law of Costs </w:t>
      </w:r>
      <w:r w:rsidR="00FD1EE8">
        <w:t>(</w:t>
      </w:r>
      <w:r w:rsidR="00A43485">
        <w:t>LexisNexis Butterworths, 4</w:t>
      </w:r>
      <w:r w:rsidR="00A43485" w:rsidRPr="00A43485">
        <w:rPr>
          <w:vertAlign w:val="superscript"/>
        </w:rPr>
        <w:t>th</w:t>
      </w:r>
      <w:r w:rsidR="00A43485">
        <w:t xml:space="preserve"> edition, 2018) </w:t>
      </w:r>
      <w:r w:rsidR="00855D79">
        <w:t xml:space="preserve">at 16.72. </w:t>
      </w:r>
    </w:p>
    <w:p w14:paraId="2C5225D0" w14:textId="59D60578" w:rsidR="00BA1090" w:rsidRDefault="008F3E79" w:rsidP="008F3E79">
      <w:pPr>
        <w:pStyle w:val="ParaNumbering"/>
        <w:numPr>
          <w:ilvl w:val="0"/>
          <w:numId w:val="0"/>
        </w:numPr>
        <w:ind w:hanging="720"/>
      </w:pPr>
      <w:r>
        <w:rPr>
          <w:sz w:val="20"/>
        </w:rPr>
        <w:t>28</w:t>
      </w:r>
      <w:r>
        <w:rPr>
          <w:sz w:val="20"/>
        </w:rPr>
        <w:tab/>
      </w:r>
      <w:r w:rsidR="00EC7F60">
        <w:rPr>
          <w:b/>
          <w:bCs/>
          <w:i/>
          <w:iCs/>
        </w:rPr>
        <w:t>Thirdly</w:t>
      </w:r>
      <w:r w:rsidR="00EC7F60">
        <w:t xml:space="preserve">, </w:t>
      </w:r>
      <w:r w:rsidR="00EC1760">
        <w:t xml:space="preserve">in my view, </w:t>
      </w:r>
      <w:r w:rsidR="00A05E10">
        <w:t xml:space="preserve">the rationale for </w:t>
      </w:r>
      <w:r w:rsidR="00B2797F">
        <w:t xml:space="preserve">holding that an award of indemnity costs may be made in contempt cases applies </w:t>
      </w:r>
      <w:r w:rsidR="0055096F">
        <w:t>equally</w:t>
      </w:r>
      <w:r w:rsidR="00EC1760">
        <w:t xml:space="preserve"> </w:t>
      </w:r>
      <w:r w:rsidR="00C66656">
        <w:t xml:space="preserve">in </w:t>
      </w:r>
      <w:r w:rsidR="00155410">
        <w:t xml:space="preserve">circumstances in which a party </w:t>
      </w:r>
      <w:r w:rsidR="003D4AB2">
        <w:t xml:space="preserve">has successfully brought proceedings to set aside </w:t>
      </w:r>
      <w:r w:rsidR="00155410">
        <w:t xml:space="preserve">a judgment </w:t>
      </w:r>
      <w:r w:rsidR="003D4AB2">
        <w:t xml:space="preserve">obtained </w:t>
      </w:r>
      <w:r w:rsidR="00155410">
        <w:t xml:space="preserve">through fraud.  Adapting the language and </w:t>
      </w:r>
      <w:r w:rsidR="00E2058D">
        <w:t xml:space="preserve">reasoning </w:t>
      </w:r>
      <w:r w:rsidR="00155410">
        <w:t xml:space="preserve">of Buchannan J in </w:t>
      </w:r>
      <w:r w:rsidR="00155410">
        <w:rPr>
          <w:i/>
          <w:iCs/>
        </w:rPr>
        <w:t>Universal City Studios</w:t>
      </w:r>
      <w:r w:rsidR="00155410">
        <w:t xml:space="preserve">, </w:t>
      </w:r>
      <w:r w:rsidR="00B430E0">
        <w:t xml:space="preserve">an order for indemnity costs made in </w:t>
      </w:r>
      <w:r w:rsidR="003D4AB2">
        <w:t xml:space="preserve">such </w:t>
      </w:r>
      <w:r w:rsidR="00E54DDC">
        <w:t>circumstance</w:t>
      </w:r>
      <w:r w:rsidR="003D4AB2">
        <w:t>s</w:t>
      </w:r>
      <w:r w:rsidR="00B430E0">
        <w:t xml:space="preserve"> recognises the public interest in ensuring that </w:t>
      </w:r>
      <w:r w:rsidR="00982745">
        <w:t xml:space="preserve">judgments of the Court are not </w:t>
      </w:r>
      <w:r w:rsidR="00982745">
        <w:lastRenderedPageBreak/>
        <w:t xml:space="preserve">obtained through fraud.  </w:t>
      </w:r>
      <w:r w:rsidR="0055096F">
        <w:t>Further</w:t>
      </w:r>
      <w:r w:rsidR="007056FE">
        <w:t xml:space="preserve">, </w:t>
      </w:r>
      <w:r w:rsidR="00E2058D">
        <w:t xml:space="preserve">the </w:t>
      </w:r>
      <w:r w:rsidR="00DD4C29">
        <w:t>award</w:t>
      </w:r>
      <w:r w:rsidR="00E54DDC">
        <w:t xml:space="preserve"> of</w:t>
      </w:r>
      <w:r w:rsidR="00DD4C29">
        <w:t xml:space="preserve"> indemnity costs </w:t>
      </w:r>
      <w:r w:rsidR="00E2058D">
        <w:t xml:space="preserve">in such cases </w:t>
      </w:r>
      <w:r w:rsidR="00584DE6">
        <w:t xml:space="preserve">promotes equity in ensuring that the applicant </w:t>
      </w:r>
      <w:r w:rsidR="00E2058D">
        <w:t xml:space="preserve">who has been </w:t>
      </w:r>
      <w:r w:rsidR="00A6582D">
        <w:t>required to t</w:t>
      </w:r>
      <w:r w:rsidR="000D4BD7">
        <w:t xml:space="preserve">ake the further step of </w:t>
      </w:r>
      <w:r w:rsidR="008F1EF9">
        <w:t>instituting fresh proceedings to set aside the fraudulently obtained judgment</w:t>
      </w:r>
      <w:r w:rsidR="00E2058D">
        <w:t xml:space="preserve"> is not deterred from so doing by the prospect that </w:t>
      </w:r>
      <w:r w:rsidR="001A4BE4">
        <w:t xml:space="preserve">she or </w:t>
      </w:r>
      <w:r w:rsidR="00AF3693">
        <w:t>he</w:t>
      </w:r>
      <w:r w:rsidR="001A4BE4">
        <w:t xml:space="preserve"> may ultimately be “out of pocket”</w:t>
      </w:r>
      <w:r w:rsidR="00FB1A30">
        <w:t>.</w:t>
      </w:r>
    </w:p>
    <w:p w14:paraId="631506AD" w14:textId="30377025" w:rsidR="00014637" w:rsidRDefault="008F3E79" w:rsidP="008F3E79">
      <w:pPr>
        <w:pStyle w:val="ParaNumbering"/>
        <w:numPr>
          <w:ilvl w:val="0"/>
          <w:numId w:val="0"/>
        </w:numPr>
        <w:ind w:hanging="720"/>
      </w:pPr>
      <w:r>
        <w:rPr>
          <w:sz w:val="20"/>
        </w:rPr>
        <w:t>29</w:t>
      </w:r>
      <w:r>
        <w:rPr>
          <w:sz w:val="20"/>
        </w:rPr>
        <w:tab/>
      </w:r>
      <w:r w:rsidR="00A50103">
        <w:t xml:space="preserve">In this respect, </w:t>
      </w:r>
      <w:r w:rsidR="00B15E3F">
        <w:t xml:space="preserve">there can be </w:t>
      </w:r>
      <w:r w:rsidR="00153811">
        <w:t>no</w:t>
      </w:r>
      <w:r w:rsidR="00B15E3F">
        <w:t xml:space="preserve"> doubt that setting aside </w:t>
      </w:r>
      <w:r w:rsidR="00A26B38">
        <w:t xml:space="preserve">fraudulently obtained judgments </w:t>
      </w:r>
      <w:r w:rsidR="002140D8">
        <w:t xml:space="preserve">serves a paramount public interest.  </w:t>
      </w:r>
      <w:r w:rsidR="00FE3968">
        <w:t>In Australia</w:t>
      </w:r>
      <w:r w:rsidR="00FD2728">
        <w:t xml:space="preserve"> and Canada</w:t>
      </w:r>
      <w:r w:rsidR="00FE3968">
        <w:t>, t</w:t>
      </w:r>
      <w:r w:rsidR="00D63E36">
        <w:t>he Court’s power to set aside a judgment obtained by fraud has</w:t>
      </w:r>
      <w:r w:rsidR="00E85A25">
        <w:t xml:space="preserve"> </w:t>
      </w:r>
      <w:r w:rsidR="00D63E36">
        <w:t>been described as occupying a “</w:t>
      </w:r>
      <w:r w:rsidR="00D63E36" w:rsidRPr="003A2B4C">
        <w:rPr>
          <w:i/>
          <w:iCs/>
        </w:rPr>
        <w:t>special place</w:t>
      </w:r>
      <w:r w:rsidR="00D63E36">
        <w:t xml:space="preserve">”:  </w:t>
      </w:r>
      <w:r w:rsidR="00D63E36" w:rsidRPr="003A2B4C">
        <w:rPr>
          <w:i/>
          <w:iCs/>
        </w:rPr>
        <w:t xml:space="preserve">Takhar </w:t>
      </w:r>
      <w:r w:rsidR="00D63E36">
        <w:t xml:space="preserve">at [48] (Lord </w:t>
      </w:r>
      <w:r w:rsidR="00F119BD">
        <w:t>Kerr</w:t>
      </w:r>
      <w:r w:rsidR="00C92307">
        <w:t xml:space="preserve">, with whom </w:t>
      </w:r>
      <w:r w:rsidR="00C92307" w:rsidRPr="006770A5">
        <w:t>Lord Hodge, Lord Lloyd-Jones and Lord Kitchin agreed</w:t>
      </w:r>
      <w:r w:rsidR="00D63E36">
        <w:t>)</w:t>
      </w:r>
      <w:r w:rsidR="00B5598D">
        <w:t xml:space="preserve">.  </w:t>
      </w:r>
      <w:r w:rsidR="00F726ED">
        <w:t>As Lord Buckmaster said in</w:t>
      </w:r>
      <w:r w:rsidR="009517F7">
        <w:t xml:space="preserve"> </w:t>
      </w:r>
      <w:r w:rsidR="009517F7" w:rsidRPr="00F14799">
        <w:rPr>
          <w:i/>
        </w:rPr>
        <w:t xml:space="preserve">Hip Foong Hong v H </w:t>
      </w:r>
      <w:proofErr w:type="spellStart"/>
      <w:r w:rsidR="009517F7" w:rsidRPr="00F14799">
        <w:rPr>
          <w:i/>
        </w:rPr>
        <w:t>Neotia</w:t>
      </w:r>
      <w:proofErr w:type="spellEnd"/>
      <w:r w:rsidR="009517F7" w:rsidRPr="00F14799">
        <w:rPr>
          <w:i/>
        </w:rPr>
        <w:t xml:space="preserve"> &amp; Co </w:t>
      </w:r>
      <w:r w:rsidR="009517F7" w:rsidRPr="00F14799">
        <w:t>[1918] AC 888</w:t>
      </w:r>
      <w:r w:rsidR="00F726ED">
        <w:t xml:space="preserve"> at 894</w:t>
      </w:r>
      <w:r w:rsidR="009517F7">
        <w:t xml:space="preserve"> </w:t>
      </w:r>
      <w:r w:rsidR="00F726ED">
        <w:t xml:space="preserve">in a passage </w:t>
      </w:r>
      <w:r w:rsidR="009517F7">
        <w:t>approved</w:t>
      </w:r>
      <w:r w:rsidR="00F726ED">
        <w:t xml:space="preserve">, for example, </w:t>
      </w:r>
      <w:r w:rsidR="009517F7">
        <w:t>by</w:t>
      </w:r>
      <w:r w:rsidR="00B5598D">
        <w:t xml:space="preserve"> Menzies J</w:t>
      </w:r>
      <w:r w:rsidR="009517F7">
        <w:t xml:space="preserve"> </w:t>
      </w:r>
      <w:r w:rsidR="00C65DCC">
        <w:t xml:space="preserve">in </w:t>
      </w:r>
      <w:r w:rsidR="006E1FC4" w:rsidRPr="00F14799">
        <w:rPr>
          <w:i/>
        </w:rPr>
        <w:t>M</w:t>
      </w:r>
      <w:r w:rsidR="00C81A5F" w:rsidRPr="00F14799">
        <w:rPr>
          <w:i/>
        </w:rPr>
        <w:t xml:space="preserve">cDonald v McDonald </w:t>
      </w:r>
      <w:r w:rsidR="0072092D" w:rsidRPr="00F14799">
        <w:rPr>
          <w:iCs/>
        </w:rPr>
        <w:t xml:space="preserve">[1965] HCA 45; </w:t>
      </w:r>
      <w:r w:rsidR="00C81A5F" w:rsidRPr="00F14799">
        <w:t>(1965) 113 CLR 529</w:t>
      </w:r>
      <w:r w:rsidR="00C81A5F">
        <w:t xml:space="preserve"> at </w:t>
      </w:r>
      <w:r w:rsidR="00D901B8">
        <w:t>541</w:t>
      </w:r>
      <w:r w:rsidR="00C65DCC">
        <w:t>, “</w:t>
      </w:r>
      <w:r w:rsidR="009517F7">
        <w:rPr>
          <w:i/>
        </w:rPr>
        <w:t xml:space="preserve">[a] judgment that is tainted and affected by fraudulent conduct is tainted throughout, and the </w:t>
      </w:r>
      <w:r w:rsidR="009517F7" w:rsidRPr="00014637">
        <w:rPr>
          <w:i/>
        </w:rPr>
        <w:t>whole</w:t>
      </w:r>
      <w:r w:rsidR="009517F7">
        <w:rPr>
          <w:i/>
        </w:rPr>
        <w:t xml:space="preserve"> </w:t>
      </w:r>
      <w:r w:rsidR="009517F7" w:rsidRPr="0041591F">
        <w:rPr>
          <w:b/>
          <w:i/>
        </w:rPr>
        <w:t>must</w:t>
      </w:r>
      <w:r w:rsidR="009517F7">
        <w:rPr>
          <w:i/>
        </w:rPr>
        <w:t xml:space="preserve"> fail</w:t>
      </w:r>
      <w:r w:rsidR="009517F7" w:rsidRPr="003D77BE">
        <w:t>”</w:t>
      </w:r>
      <w:r w:rsidR="003D77BE">
        <w:t xml:space="preserve"> (emphasis added)</w:t>
      </w:r>
      <w:r w:rsidR="00D63E36">
        <w:t>.</w:t>
      </w:r>
      <w:r w:rsidR="00CA6DEC">
        <w:t xml:space="preserve">  </w:t>
      </w:r>
    </w:p>
    <w:p w14:paraId="56F7704F" w14:textId="675B2F6E" w:rsidR="00A171AF" w:rsidRPr="000F128B" w:rsidRDefault="008F3E79" w:rsidP="008F3E79">
      <w:pPr>
        <w:pStyle w:val="ParaNumbering"/>
        <w:numPr>
          <w:ilvl w:val="0"/>
          <w:numId w:val="0"/>
        </w:numPr>
        <w:ind w:hanging="720"/>
      </w:pPr>
      <w:r w:rsidRPr="000F128B">
        <w:rPr>
          <w:sz w:val="20"/>
        </w:rPr>
        <w:t>30</w:t>
      </w:r>
      <w:r w:rsidRPr="000F128B">
        <w:rPr>
          <w:sz w:val="20"/>
        </w:rPr>
        <w:tab/>
      </w:r>
      <w:r w:rsidR="00014637">
        <w:t xml:space="preserve">That special place </w:t>
      </w:r>
      <w:r w:rsidR="00881977">
        <w:t xml:space="preserve">reflects the fact that </w:t>
      </w:r>
      <w:r w:rsidR="009A52EB">
        <w:t xml:space="preserve">a judgment </w:t>
      </w:r>
      <w:r w:rsidR="00881977">
        <w:t xml:space="preserve">obtained by </w:t>
      </w:r>
      <w:r w:rsidR="009A52EB">
        <w:t>fraud undermine</w:t>
      </w:r>
      <w:r w:rsidR="00881977">
        <w:t>s</w:t>
      </w:r>
      <w:r w:rsidR="009A52EB">
        <w:t xml:space="preserve"> the integrity of the </w:t>
      </w:r>
      <w:r w:rsidR="00262D5D">
        <w:t>judicial process</w:t>
      </w:r>
      <w:r w:rsidR="00A7328C">
        <w:t xml:space="preserve"> and the rule of law</w:t>
      </w:r>
      <w:r w:rsidR="006567CB">
        <w:t xml:space="preserve">.  </w:t>
      </w:r>
      <w:r w:rsidR="00BB4E3E">
        <w:t xml:space="preserve">As </w:t>
      </w:r>
      <w:r w:rsidR="00C90BD2">
        <w:t xml:space="preserve">Lord Kerr </w:t>
      </w:r>
      <w:r w:rsidR="002D0C44">
        <w:t xml:space="preserve">also </w:t>
      </w:r>
      <w:r w:rsidR="00C90BD2">
        <w:t xml:space="preserve">said in </w:t>
      </w:r>
      <w:r w:rsidR="00C90BD2">
        <w:rPr>
          <w:i/>
        </w:rPr>
        <w:t>Takhar</w:t>
      </w:r>
      <w:r w:rsidR="00A171AF">
        <w:rPr>
          <w:i/>
        </w:rPr>
        <w:t xml:space="preserve"> </w:t>
      </w:r>
      <w:r w:rsidR="00A171AF">
        <w:t>at [52]</w:t>
      </w:r>
      <w:r w:rsidR="00FA735A">
        <w:t>-[53]</w:t>
      </w:r>
      <w:r w:rsidR="00B043BB">
        <w:t xml:space="preserve"> in holding that there is no requirement that an action to set aside a judgment on the ground of fraud be based on new evidence which could not reasonably have been discovered in the earlier proceedings:</w:t>
      </w:r>
    </w:p>
    <w:p w14:paraId="32008B46" w14:textId="4A5F1399" w:rsidR="00A171AF" w:rsidRDefault="00BD5462" w:rsidP="00BD5462">
      <w:pPr>
        <w:pStyle w:val="Quote1"/>
      </w:pPr>
      <w:r>
        <w:t>T</w:t>
      </w:r>
      <w:r w:rsidR="00C90BD2">
        <w:t xml:space="preserve">he idea that a fraudulent individual should profit from passivity or lack of reasonable diligence on the part of his or her opponent seems </w:t>
      </w:r>
      <w:r w:rsidR="00B31A1D" w:rsidRPr="003A2B4C">
        <w:rPr>
          <w:iCs/>
        </w:rPr>
        <w:t xml:space="preserve">antithetical to </w:t>
      </w:r>
      <w:r w:rsidR="00002502" w:rsidRPr="003A2B4C">
        <w:rPr>
          <w:iCs/>
        </w:rPr>
        <w:t>any</w:t>
      </w:r>
      <w:r w:rsidR="00B31A1D" w:rsidRPr="003A2B4C">
        <w:rPr>
          <w:iCs/>
        </w:rPr>
        <w:t xml:space="preserve"> notion of justice</w:t>
      </w:r>
      <w:r w:rsidR="0074435E">
        <w:t xml:space="preserve">.  Quite apart </w:t>
      </w:r>
      <w:r>
        <w:t>from</w:t>
      </w:r>
      <w:r w:rsidR="0074435E">
        <w:t xml:space="preserve"> this, the defrauder, in obtaining </w:t>
      </w:r>
      <w:r w:rsidR="00A171AF">
        <w:t>a judgment, has</w:t>
      </w:r>
      <w:r w:rsidR="00D9706B">
        <w:t xml:space="preserve"> </w:t>
      </w:r>
      <w:r w:rsidR="00D9706B" w:rsidRPr="003A2B4C">
        <w:rPr>
          <w:iCs/>
        </w:rPr>
        <w:t>perpetrate</w:t>
      </w:r>
      <w:r w:rsidR="00A171AF">
        <w:rPr>
          <w:iCs/>
        </w:rPr>
        <w:t>d</w:t>
      </w:r>
      <w:r w:rsidR="00D9706B" w:rsidRPr="003A2B4C">
        <w:rPr>
          <w:iCs/>
        </w:rPr>
        <w:t xml:space="preserve"> a deception not only on their opponent and the court </w:t>
      </w:r>
      <w:r w:rsidR="00D9706B" w:rsidRPr="002D0C44">
        <w:rPr>
          <w:b/>
          <w:bCs/>
          <w:i/>
          <w:iCs/>
        </w:rPr>
        <w:t>but on the rule of law</w:t>
      </w:r>
      <w:r w:rsidR="00A171AF">
        <w:t xml:space="preserve">. </w:t>
      </w:r>
    </w:p>
    <w:p w14:paraId="277E3F6E" w14:textId="5239A3BF" w:rsidR="003E3888" w:rsidRDefault="003E3888" w:rsidP="003E3888">
      <w:pPr>
        <w:pStyle w:val="Quote1"/>
      </w:pPr>
      <w:r>
        <w:t>Newey J</w:t>
      </w:r>
      <w:r w:rsidR="00E663CC">
        <w:t xml:space="preserve"> [in </w:t>
      </w:r>
      <w:r w:rsidR="00E663CC">
        <w:rPr>
          <w:i/>
        </w:rPr>
        <w:t>Tak</w:t>
      </w:r>
      <w:r w:rsidR="00686172">
        <w:rPr>
          <w:i/>
        </w:rPr>
        <w:t>h</w:t>
      </w:r>
      <w:r w:rsidR="00E663CC">
        <w:rPr>
          <w:i/>
        </w:rPr>
        <w:t xml:space="preserve">ar </w:t>
      </w:r>
      <w:r w:rsidR="00E663CC">
        <w:t>at first instance</w:t>
      </w:r>
      <w:r w:rsidR="00B465EF">
        <w:t xml:space="preserve"> [2015] EWHC 1276 (Ch)</w:t>
      </w:r>
      <w:r w:rsidR="00E663CC">
        <w:t>]</w:t>
      </w:r>
      <w:r>
        <w:t xml:space="preserve"> put it well when he said, at para 37 of his judgment:</w:t>
      </w:r>
    </w:p>
    <w:p w14:paraId="35B506CA" w14:textId="02B2E07B" w:rsidR="003E3888" w:rsidRDefault="003E3888" w:rsidP="00686172">
      <w:pPr>
        <w:pStyle w:val="Quote2"/>
      </w:pPr>
      <w:r>
        <w:t>Supposing that a party to a case in which judgment had been given against him could show that his opponent had obtained the judgment entirely on the strength of, say, concocted documentation and perjured evidence, it would strike me as wrong if he could not challenge the judgment even if the fraud could reasonably have been discovered. Were it impossible to impugn the judgment, the winner could presumably have been sent to prison for his fraudulent conduct and yet able to enforce the judgment he had procured by means of it: the judgment could still, in effect, be used to further the fraud.</w:t>
      </w:r>
    </w:p>
    <w:p w14:paraId="61F5294D" w14:textId="3658D244" w:rsidR="003E3888" w:rsidRDefault="00C23711" w:rsidP="00686172">
      <w:pPr>
        <w:pStyle w:val="Quote1"/>
      </w:pPr>
      <w:r>
        <w:t xml:space="preserve">I agree with all of that. </w:t>
      </w:r>
      <w:r w:rsidR="0041530F">
        <w:t xml:space="preserve"> </w:t>
      </w:r>
      <w:r>
        <w:t>It appears to me that the policy arguments</w:t>
      </w:r>
      <w:r w:rsidR="00E663CC">
        <w:t xml:space="preserve"> </w:t>
      </w:r>
      <w:r>
        <w:t>for permitting a litigant to apply to have judgment set aside where it can be</w:t>
      </w:r>
      <w:r w:rsidR="00E663CC">
        <w:t xml:space="preserve"> </w:t>
      </w:r>
      <w:r>
        <w:t>shown that it has been obtained by fraud are overwhelming</w:t>
      </w:r>
      <w:r w:rsidR="00E663CC">
        <w:t>.</w:t>
      </w:r>
    </w:p>
    <w:p w14:paraId="5C71B210" w14:textId="1E285C3C" w:rsidR="00B043BB" w:rsidRDefault="00B043BB" w:rsidP="00686172">
      <w:pPr>
        <w:pStyle w:val="Quote1"/>
      </w:pPr>
      <w:r>
        <w:t>(Emphasis added.)</w:t>
      </w:r>
    </w:p>
    <w:p w14:paraId="60C60F59" w14:textId="447C15C0" w:rsidR="003A2B4C" w:rsidRDefault="008F3E79" w:rsidP="008F3E79">
      <w:pPr>
        <w:pStyle w:val="ParaNumbering"/>
        <w:numPr>
          <w:ilvl w:val="0"/>
          <w:numId w:val="0"/>
        </w:numPr>
        <w:ind w:hanging="720"/>
      </w:pPr>
      <w:r>
        <w:rPr>
          <w:sz w:val="20"/>
        </w:rPr>
        <w:t>31</w:t>
      </w:r>
      <w:r>
        <w:rPr>
          <w:sz w:val="20"/>
        </w:rPr>
        <w:tab/>
      </w:r>
      <w:r w:rsidR="0085305F">
        <w:t xml:space="preserve">Similarly, </w:t>
      </w:r>
      <w:r w:rsidR="00B517F0">
        <w:t xml:space="preserve">in </w:t>
      </w:r>
      <w:r w:rsidR="00B517F0" w:rsidRPr="00F14799">
        <w:rPr>
          <w:i/>
          <w:iCs/>
        </w:rPr>
        <w:t xml:space="preserve">Canada v </w:t>
      </w:r>
      <w:proofErr w:type="spellStart"/>
      <w:r w:rsidR="00B517F0" w:rsidRPr="00F14799">
        <w:rPr>
          <w:i/>
          <w:iCs/>
        </w:rPr>
        <w:t>Granitile</w:t>
      </w:r>
      <w:proofErr w:type="spellEnd"/>
      <w:r w:rsidR="00B517F0" w:rsidRPr="00F14799">
        <w:rPr>
          <w:i/>
          <w:iCs/>
        </w:rPr>
        <w:t xml:space="preserve"> Inc</w:t>
      </w:r>
      <w:r w:rsidR="00B517F0" w:rsidRPr="00F14799">
        <w:t xml:space="preserve"> </w:t>
      </w:r>
      <w:r w:rsidR="00EA6ABE" w:rsidRPr="00F14799">
        <w:t xml:space="preserve">[2008] OJ No 4934; </w:t>
      </w:r>
      <w:r w:rsidR="00B517F0" w:rsidRPr="00F14799">
        <w:t>(2008) 302 DLR (4</w:t>
      </w:r>
      <w:r w:rsidR="00B517F0" w:rsidRPr="00F14799">
        <w:rPr>
          <w:vertAlign w:val="superscript"/>
        </w:rPr>
        <w:t>th</w:t>
      </w:r>
      <w:r w:rsidR="00B517F0" w:rsidRPr="00F14799">
        <w:t>) 40</w:t>
      </w:r>
      <w:r w:rsidR="00B517F0">
        <w:t xml:space="preserve"> at [303], Lederer J of the Ontario Superior Court of Justice held that</w:t>
      </w:r>
      <w:r w:rsidR="00E73E48">
        <w:t xml:space="preserve"> “</w:t>
      </w:r>
      <w:r w:rsidR="0085305F">
        <w:rPr>
          <w:i/>
        </w:rPr>
        <w:t xml:space="preserve">[w]here fraud is present, finality </w:t>
      </w:r>
      <w:r w:rsidR="0085305F">
        <w:rPr>
          <w:i/>
        </w:rPr>
        <w:lastRenderedPageBreak/>
        <w:t xml:space="preserve">will give way to the responsibility of the court to protect its process ‘so as to </w:t>
      </w:r>
      <w:r w:rsidR="00E73E48" w:rsidRPr="003A2B4C">
        <w:rPr>
          <w:i/>
          <w:iCs/>
        </w:rPr>
        <w:t>ensure that litigants do not profit from their improper conduct</w:t>
      </w:r>
      <w:r w:rsidR="0085305F">
        <w:rPr>
          <w:i/>
          <w:iCs/>
        </w:rPr>
        <w:t>’</w:t>
      </w:r>
      <w:r w:rsidR="00E73E48">
        <w:t>”</w:t>
      </w:r>
      <w:r w:rsidR="00A171AF">
        <w:t xml:space="preserve"> (quoted with approval by Lord Kerr in </w:t>
      </w:r>
      <w:r w:rsidR="00A171AF">
        <w:rPr>
          <w:i/>
        </w:rPr>
        <w:t>Takhar</w:t>
      </w:r>
      <w:r w:rsidR="00A171AF">
        <w:t xml:space="preserve"> at [</w:t>
      </w:r>
      <w:r w:rsidR="00BD5462">
        <w:t>51])</w:t>
      </w:r>
      <w:r w:rsidR="005A2A2B">
        <w:t xml:space="preserve">. </w:t>
      </w:r>
    </w:p>
    <w:p w14:paraId="29ACC74B" w14:textId="654C8AF7" w:rsidR="0024320E" w:rsidRDefault="008F3E79" w:rsidP="008F3E79">
      <w:pPr>
        <w:pStyle w:val="ParaNumbering"/>
        <w:numPr>
          <w:ilvl w:val="0"/>
          <w:numId w:val="0"/>
        </w:numPr>
        <w:ind w:hanging="720"/>
      </w:pPr>
      <w:r>
        <w:rPr>
          <w:sz w:val="20"/>
        </w:rPr>
        <w:t>32</w:t>
      </w:r>
      <w:r>
        <w:rPr>
          <w:sz w:val="20"/>
        </w:rPr>
        <w:tab/>
      </w:r>
      <w:r w:rsidR="00881977">
        <w:t xml:space="preserve">As the example given by Newey J in </w:t>
      </w:r>
      <w:r w:rsidR="00881977">
        <w:rPr>
          <w:i/>
        </w:rPr>
        <w:t>Tak</w:t>
      </w:r>
      <w:r w:rsidR="00860CEE">
        <w:rPr>
          <w:i/>
        </w:rPr>
        <w:t>h</w:t>
      </w:r>
      <w:r w:rsidR="00881977">
        <w:rPr>
          <w:i/>
        </w:rPr>
        <w:t xml:space="preserve">ar </w:t>
      </w:r>
      <w:r w:rsidR="00881977">
        <w:t xml:space="preserve">aptly illustrates, </w:t>
      </w:r>
      <w:r w:rsidR="002F78C9">
        <w:t>to permit judgments obtained by fraud to stand would also</w:t>
      </w:r>
      <w:r w:rsidR="00B2435A">
        <w:t xml:space="preserve"> undermine public confidence in the judiciary</w:t>
      </w:r>
      <w:r w:rsidR="00DE5A27">
        <w:t xml:space="preserve">.  </w:t>
      </w:r>
    </w:p>
    <w:p w14:paraId="7309C245" w14:textId="39574DB2" w:rsidR="00F66B34" w:rsidRDefault="008F3E79" w:rsidP="008F3E79">
      <w:pPr>
        <w:pStyle w:val="ParaNumbering"/>
        <w:numPr>
          <w:ilvl w:val="0"/>
          <w:numId w:val="0"/>
        </w:numPr>
        <w:ind w:hanging="720"/>
      </w:pPr>
      <w:r>
        <w:rPr>
          <w:sz w:val="20"/>
        </w:rPr>
        <w:t>33</w:t>
      </w:r>
      <w:r>
        <w:rPr>
          <w:sz w:val="20"/>
        </w:rPr>
        <w:tab/>
      </w:r>
      <w:r w:rsidR="009B3757">
        <w:t>L</w:t>
      </w:r>
      <w:r w:rsidR="00F1196D">
        <w:t>itiga</w:t>
      </w:r>
      <w:r w:rsidR="009B3757">
        <w:t xml:space="preserve">tion to </w:t>
      </w:r>
      <w:r w:rsidR="00F1196D">
        <w:t>set aside a judgment obtained by fraud thus serves a vital public interest.  As with contempt of court cases</w:t>
      </w:r>
      <w:r w:rsidR="00864E0E">
        <w:t xml:space="preserve">, nothing should be done to deter a person from bringing </w:t>
      </w:r>
      <w:r w:rsidR="00E57750">
        <w:t>that fraudulently</w:t>
      </w:r>
      <w:r w:rsidR="0019332C">
        <w:t xml:space="preserve"> </w:t>
      </w:r>
      <w:r w:rsidR="00E57750">
        <w:t>obtained judgment to the attention of the Court.  An indemnity costs order, in those circumstances, recognises the “</w:t>
      </w:r>
      <w:r w:rsidR="00E57750" w:rsidRPr="005D6F14">
        <w:rPr>
          <w:i/>
          <w:iCs/>
        </w:rPr>
        <w:t>special or unusual feature in the case to justify the Court in departing from the ordinary practice</w:t>
      </w:r>
      <w:r w:rsidR="00E57750">
        <w:t xml:space="preserve">”:  </w:t>
      </w:r>
      <w:r w:rsidR="00E57750" w:rsidRPr="005D6F14">
        <w:rPr>
          <w:i/>
          <w:iCs/>
        </w:rPr>
        <w:t xml:space="preserve">Colgate-Palmolive </w:t>
      </w:r>
      <w:r w:rsidR="00E57750">
        <w:t>at 233 (Sheppard J).</w:t>
      </w:r>
    </w:p>
    <w:p w14:paraId="16F111DF" w14:textId="14AC842C" w:rsidR="003C7973" w:rsidRDefault="008F3E79" w:rsidP="008F3E79">
      <w:pPr>
        <w:pStyle w:val="ParaNumbering"/>
        <w:numPr>
          <w:ilvl w:val="0"/>
          <w:numId w:val="0"/>
        </w:numPr>
        <w:ind w:hanging="720"/>
      </w:pPr>
      <w:r>
        <w:rPr>
          <w:sz w:val="20"/>
        </w:rPr>
        <w:t>34</w:t>
      </w:r>
      <w:r>
        <w:rPr>
          <w:sz w:val="20"/>
        </w:rPr>
        <w:tab/>
      </w:r>
      <w:r w:rsidR="000609BB">
        <w:t xml:space="preserve">Given, therefore, the seriousness of the fraud perpetrated upon the Commissioner and </w:t>
      </w:r>
      <w:r w:rsidR="009E6CE5">
        <w:t xml:space="preserve">Full </w:t>
      </w:r>
      <w:r w:rsidR="000609BB">
        <w:t>Court</w:t>
      </w:r>
      <w:r w:rsidR="009E6CE5">
        <w:t xml:space="preserve"> in </w:t>
      </w:r>
      <w:r w:rsidR="009E6CE5">
        <w:rPr>
          <w:i/>
        </w:rPr>
        <w:t>Rawson (FCAFC)</w:t>
      </w:r>
      <w:r w:rsidR="00853727">
        <w:t>,</w:t>
      </w:r>
      <w:r w:rsidR="000609BB">
        <w:t xml:space="preserve"> </w:t>
      </w:r>
      <w:r w:rsidR="006301CD">
        <w:t xml:space="preserve">and </w:t>
      </w:r>
      <w:r w:rsidR="000609BB">
        <w:t xml:space="preserve">the public interest </w:t>
      </w:r>
      <w:r w:rsidR="00853727">
        <w:t>in setting aside</w:t>
      </w:r>
      <w:r w:rsidR="009E6CE5">
        <w:t xml:space="preserve"> the</w:t>
      </w:r>
      <w:r w:rsidR="00853727">
        <w:t xml:space="preserve"> Full Court judgment on the grounds it was obtained by fraud</w:t>
      </w:r>
      <w:r w:rsidR="005A5B6F">
        <w:t xml:space="preserve"> both generally and by reason of the fraud it perpetrated upon the public revenue</w:t>
      </w:r>
      <w:r w:rsidR="00945886">
        <w:t xml:space="preserve">, </w:t>
      </w:r>
      <w:r w:rsidR="0036082F">
        <w:t xml:space="preserve">in my view </w:t>
      </w:r>
      <w:r w:rsidR="00945886">
        <w:t xml:space="preserve">Rawson </w:t>
      </w:r>
      <w:r w:rsidR="003C7973">
        <w:t xml:space="preserve">should be required </w:t>
      </w:r>
      <w:r w:rsidR="005A5B6F">
        <w:t xml:space="preserve">in the exercise of discretion </w:t>
      </w:r>
      <w:r w:rsidR="003C7973">
        <w:t xml:space="preserve">to </w:t>
      </w:r>
      <w:r w:rsidR="00945886">
        <w:t>pay indemnity costs for the entirety of this proceeding</w:t>
      </w:r>
      <w:r w:rsidR="00A01951">
        <w:t xml:space="preserve"> save for the costs of this application</w:t>
      </w:r>
      <w:r w:rsidR="00945886">
        <w:t xml:space="preserve">.  </w:t>
      </w:r>
    </w:p>
    <w:p w14:paraId="1EEE02E2" w14:textId="3997EEAF" w:rsidR="00945886" w:rsidRDefault="008F3E79" w:rsidP="008F3E79">
      <w:pPr>
        <w:pStyle w:val="ParaNumbering"/>
        <w:numPr>
          <w:ilvl w:val="0"/>
          <w:numId w:val="0"/>
        </w:numPr>
        <w:ind w:hanging="720"/>
      </w:pPr>
      <w:r>
        <w:rPr>
          <w:sz w:val="20"/>
        </w:rPr>
        <w:t>35</w:t>
      </w:r>
      <w:r>
        <w:rPr>
          <w:sz w:val="20"/>
        </w:rPr>
        <w:tab/>
      </w:r>
      <w:r w:rsidR="00945886">
        <w:t xml:space="preserve">To that </w:t>
      </w:r>
      <w:r w:rsidR="00A01951">
        <w:t>conclusion</w:t>
      </w:r>
      <w:r w:rsidR="00945886">
        <w:t xml:space="preserve">, the following comments should be added. </w:t>
      </w:r>
    </w:p>
    <w:p w14:paraId="45D996DD" w14:textId="01551F21" w:rsidR="00135323" w:rsidRDefault="008F3E79" w:rsidP="008F3E79">
      <w:pPr>
        <w:pStyle w:val="ParaNumbering"/>
        <w:numPr>
          <w:ilvl w:val="0"/>
          <w:numId w:val="0"/>
        </w:numPr>
        <w:ind w:hanging="720"/>
      </w:pPr>
      <w:r>
        <w:rPr>
          <w:sz w:val="20"/>
        </w:rPr>
        <w:t>36</w:t>
      </w:r>
      <w:r>
        <w:rPr>
          <w:sz w:val="20"/>
        </w:rPr>
        <w:tab/>
      </w:r>
      <w:r w:rsidR="00C27C96" w:rsidRPr="00F47669">
        <w:rPr>
          <w:b/>
          <w:bCs/>
          <w:i/>
          <w:iCs/>
        </w:rPr>
        <w:t>First</w:t>
      </w:r>
      <w:r w:rsidR="00C27C96" w:rsidRPr="00D92320">
        <w:rPr>
          <w:bCs/>
        </w:rPr>
        <w:t>, i</w:t>
      </w:r>
      <w:r w:rsidR="00DA0D56" w:rsidRPr="00FD3D31">
        <w:t>n</w:t>
      </w:r>
      <w:r w:rsidR="00DA0D56">
        <w:t xml:space="preserve"> support of its </w:t>
      </w:r>
      <w:r w:rsidR="00135323">
        <w:t>submission, the Commissioner referred to two decisions</w:t>
      </w:r>
      <w:r w:rsidR="00C27C96">
        <w:t xml:space="preserve">:  </w:t>
      </w:r>
      <w:r w:rsidR="00C27C96" w:rsidRPr="00F14799">
        <w:rPr>
          <w:i/>
          <w:iCs/>
        </w:rPr>
        <w:t xml:space="preserve">Australian Federation of Consumer Organisations Inc v </w:t>
      </w:r>
      <w:r w:rsidR="00C27C96" w:rsidRPr="00F14799">
        <w:rPr>
          <w:b/>
          <w:bCs/>
          <w:i/>
          <w:iCs/>
        </w:rPr>
        <w:t>Tobacco Institute</w:t>
      </w:r>
      <w:r w:rsidR="00C27C96" w:rsidRPr="00F14799">
        <w:rPr>
          <w:i/>
          <w:iCs/>
        </w:rPr>
        <w:t xml:space="preserve"> of Australia Ltd</w:t>
      </w:r>
      <w:r w:rsidR="00C27C96" w:rsidRPr="00F14799">
        <w:t xml:space="preserve"> [1991] FCA 150 </w:t>
      </w:r>
      <w:r w:rsidR="00C27C96">
        <w:t xml:space="preserve">and </w:t>
      </w:r>
      <w:r w:rsidR="00F47669" w:rsidRPr="00F14799">
        <w:rPr>
          <w:i/>
          <w:iCs/>
        </w:rPr>
        <w:t xml:space="preserve">Royal Bank of Scotland plc v </w:t>
      </w:r>
      <w:r w:rsidR="00F47669" w:rsidRPr="00F14799">
        <w:rPr>
          <w:b/>
          <w:bCs/>
          <w:i/>
          <w:iCs/>
        </w:rPr>
        <w:t xml:space="preserve">Highland Financial </w:t>
      </w:r>
      <w:r w:rsidR="00F47669" w:rsidRPr="00F14799">
        <w:rPr>
          <w:i/>
          <w:iCs/>
        </w:rPr>
        <w:t>Partners LP (</w:t>
      </w:r>
      <w:r w:rsidR="00F47669" w:rsidRPr="00F14799">
        <w:rPr>
          <w:b/>
          <w:bCs/>
          <w:i/>
          <w:iCs/>
        </w:rPr>
        <w:t>Costs</w:t>
      </w:r>
      <w:r w:rsidR="00F47669" w:rsidRPr="00F14799">
        <w:rPr>
          <w:i/>
          <w:iCs/>
        </w:rPr>
        <w:t>)</w:t>
      </w:r>
      <w:r w:rsidR="00F47669" w:rsidRPr="00F14799">
        <w:t xml:space="preserve"> [2013] EWCA Civ 472</w:t>
      </w:r>
      <w:r w:rsidR="00F47669">
        <w:t xml:space="preserve"> (read with </w:t>
      </w:r>
      <w:r w:rsidR="00C27C96" w:rsidRPr="00F14799">
        <w:rPr>
          <w:i/>
          <w:iCs/>
        </w:rPr>
        <w:t xml:space="preserve">Royal Bank of Scotland plc v </w:t>
      </w:r>
      <w:r w:rsidR="00C27C96" w:rsidRPr="00F14799">
        <w:rPr>
          <w:b/>
          <w:bCs/>
          <w:i/>
          <w:iCs/>
        </w:rPr>
        <w:t xml:space="preserve">Highland Financial </w:t>
      </w:r>
      <w:r w:rsidR="00C27C96" w:rsidRPr="00F14799">
        <w:rPr>
          <w:i/>
          <w:iCs/>
        </w:rPr>
        <w:t>Partners LP</w:t>
      </w:r>
      <w:r w:rsidR="00C27C96" w:rsidRPr="00F14799">
        <w:t xml:space="preserve"> [2013] EWCA 328</w:t>
      </w:r>
      <w:r w:rsidR="00DD0C7F">
        <w:t>)</w:t>
      </w:r>
      <w:r w:rsidR="00135323">
        <w:t xml:space="preserve">.  </w:t>
      </w:r>
      <w:r w:rsidR="005F11D1">
        <w:t>With respect, however, I do not consider that those decisions ultimately assisted the Commissioner.</w:t>
      </w:r>
      <w:r w:rsidR="00C27C96">
        <w:t xml:space="preserve">  </w:t>
      </w:r>
      <w:r w:rsidR="00DA0D56">
        <w:t xml:space="preserve"> </w:t>
      </w:r>
    </w:p>
    <w:p w14:paraId="38C8D720" w14:textId="36980719" w:rsidR="00425C77" w:rsidRDefault="008F3E79" w:rsidP="008F3E79">
      <w:pPr>
        <w:pStyle w:val="ParaNumbering"/>
        <w:numPr>
          <w:ilvl w:val="0"/>
          <w:numId w:val="0"/>
        </w:numPr>
        <w:ind w:hanging="720"/>
      </w:pPr>
      <w:r>
        <w:rPr>
          <w:sz w:val="20"/>
        </w:rPr>
        <w:t>37</w:t>
      </w:r>
      <w:r>
        <w:rPr>
          <w:sz w:val="20"/>
        </w:rPr>
        <w:tab/>
      </w:r>
      <w:r w:rsidR="00C27C96">
        <w:t xml:space="preserve">As for </w:t>
      </w:r>
      <w:r w:rsidR="000C6229" w:rsidRPr="0024429E">
        <w:rPr>
          <w:i/>
          <w:iCs/>
        </w:rPr>
        <w:t>Tobacco Institute</w:t>
      </w:r>
      <w:r w:rsidR="000C6229">
        <w:t>, I consider that case</w:t>
      </w:r>
      <w:r w:rsidR="0074413B">
        <w:t xml:space="preserve"> to be</w:t>
      </w:r>
      <w:r w:rsidR="000C6229">
        <w:t xml:space="preserve"> distinguishable</w:t>
      </w:r>
      <w:r w:rsidR="00A83292">
        <w:t xml:space="preserve"> from the present proceeding</w:t>
      </w:r>
      <w:r w:rsidR="000C6229">
        <w:t xml:space="preserve">.  </w:t>
      </w:r>
      <w:r w:rsidR="00D55A22" w:rsidRPr="0024429E">
        <w:rPr>
          <w:i/>
          <w:iCs/>
        </w:rPr>
        <w:t>Tobacco Institute</w:t>
      </w:r>
      <w:r w:rsidR="00D55A22" w:rsidRPr="0024429E">
        <w:rPr>
          <w:b/>
          <w:bCs/>
          <w:i/>
          <w:iCs/>
        </w:rPr>
        <w:t xml:space="preserve"> </w:t>
      </w:r>
      <w:r w:rsidR="00797E01">
        <w:t>was</w:t>
      </w:r>
      <w:r w:rsidR="00932ABE">
        <w:t xml:space="preserve"> </w:t>
      </w:r>
      <w:r w:rsidR="007A61E3">
        <w:t>a successful</w:t>
      </w:r>
      <w:r w:rsidR="00797E01">
        <w:t xml:space="preserve"> “</w:t>
      </w:r>
      <w:r w:rsidR="00797E01" w:rsidRPr="0024429E">
        <w:rPr>
          <w:i/>
          <w:iCs/>
        </w:rPr>
        <w:t>test case</w:t>
      </w:r>
      <w:r w:rsidR="00797E01">
        <w:t>”</w:t>
      </w:r>
      <w:r w:rsidR="007A3BFE">
        <w:t xml:space="preserve"> concerning </w:t>
      </w:r>
      <w:r w:rsidR="00832803">
        <w:t xml:space="preserve">the respondent’s </w:t>
      </w:r>
      <w:r w:rsidR="001F0F3F">
        <w:t>misleading and</w:t>
      </w:r>
      <w:r w:rsidR="007A3BFE">
        <w:t xml:space="preserve"> deceptive </w:t>
      </w:r>
      <w:r w:rsidR="001F0F3F">
        <w:t xml:space="preserve">representations </w:t>
      </w:r>
      <w:r w:rsidR="00832803">
        <w:t xml:space="preserve">as to </w:t>
      </w:r>
      <w:r w:rsidR="00E340AF">
        <w:t xml:space="preserve">whether </w:t>
      </w:r>
      <w:r w:rsidR="007D3040">
        <w:t>“</w:t>
      </w:r>
      <w:r w:rsidR="007D3040" w:rsidRPr="0024429E">
        <w:rPr>
          <w:i/>
          <w:iCs/>
        </w:rPr>
        <w:t>passive smok</w:t>
      </w:r>
      <w:r w:rsidR="004B5500" w:rsidRPr="0024429E">
        <w:rPr>
          <w:i/>
          <w:iCs/>
        </w:rPr>
        <w:t>ing</w:t>
      </w:r>
      <w:r w:rsidR="007D3040" w:rsidRPr="0024429E">
        <w:rPr>
          <w:i/>
          <w:iCs/>
        </w:rPr>
        <w:t xml:space="preserve"> is a hazard to the health of non-smokers</w:t>
      </w:r>
      <w:r w:rsidR="007D3040">
        <w:t>”:</w:t>
      </w:r>
      <w:r w:rsidR="00832803">
        <w:t xml:space="preserve"> at [18] (Morling J).</w:t>
      </w:r>
      <w:r w:rsidR="0024429E">
        <w:t xml:space="preserve">  </w:t>
      </w:r>
      <w:r w:rsidR="005A227F">
        <w:t xml:space="preserve">Justice </w:t>
      </w:r>
      <w:r w:rsidR="0024429E">
        <w:t xml:space="preserve">Morling awarded indemnity costs, amongst other things, </w:t>
      </w:r>
      <w:r w:rsidR="00072DEB">
        <w:t>because of the “</w:t>
      </w:r>
      <w:r w:rsidR="00072DEB" w:rsidRPr="00072DEB">
        <w:rPr>
          <w:i/>
          <w:iCs/>
        </w:rPr>
        <w:t>public interest</w:t>
      </w:r>
      <w:r w:rsidR="00072DEB">
        <w:t xml:space="preserve">” in prosecuting that case.  </w:t>
      </w:r>
      <w:r w:rsidR="00A83292">
        <w:t xml:space="preserve">However, as </w:t>
      </w:r>
      <w:r w:rsidR="005A227F">
        <w:t xml:space="preserve">Rawson </w:t>
      </w:r>
      <w:r w:rsidR="00A83292">
        <w:t xml:space="preserve">submits, </w:t>
      </w:r>
      <w:r w:rsidR="00111708">
        <w:t xml:space="preserve">the order in </w:t>
      </w:r>
      <w:r w:rsidR="00111708">
        <w:rPr>
          <w:i/>
          <w:iCs/>
        </w:rPr>
        <w:t xml:space="preserve">Tobacco Institute </w:t>
      </w:r>
      <w:r w:rsidR="00111708">
        <w:t xml:space="preserve">was </w:t>
      </w:r>
      <w:r w:rsidR="003203C4">
        <w:t>made in c</w:t>
      </w:r>
      <w:r w:rsidR="00111708">
        <w:t xml:space="preserve">ircumstances </w:t>
      </w:r>
      <w:r w:rsidR="003203C4">
        <w:t>where</w:t>
      </w:r>
      <w:r w:rsidR="004C6924">
        <w:t xml:space="preserve"> not only had</w:t>
      </w:r>
      <w:r w:rsidR="00E46E81">
        <w:t xml:space="preserve"> </w:t>
      </w:r>
      <w:r w:rsidR="00111708">
        <w:t xml:space="preserve">a </w:t>
      </w:r>
      <w:r w:rsidR="00111708" w:rsidRPr="004B329C">
        <w:rPr>
          <w:i/>
          <w:iCs/>
        </w:rPr>
        <w:t>private</w:t>
      </w:r>
      <w:r w:rsidR="00111708">
        <w:t xml:space="preserve"> </w:t>
      </w:r>
      <w:r w:rsidR="0074413B">
        <w:t xml:space="preserve">individual </w:t>
      </w:r>
      <w:r w:rsidR="00E46E81">
        <w:t>sought relief</w:t>
      </w:r>
      <w:r w:rsidR="00111708">
        <w:t xml:space="preserve"> in the public interest</w:t>
      </w:r>
      <w:r w:rsidR="004C6924">
        <w:t>,</w:t>
      </w:r>
      <w:r w:rsidR="00111708">
        <w:t xml:space="preserve"> </w:t>
      </w:r>
      <w:r w:rsidR="004C6924">
        <w:t xml:space="preserve">but the Court held that </w:t>
      </w:r>
      <w:r w:rsidR="00111708">
        <w:t xml:space="preserve">the respondent’s conduct </w:t>
      </w:r>
      <w:r w:rsidR="004C6924">
        <w:t xml:space="preserve">in the litigation had </w:t>
      </w:r>
      <w:r w:rsidR="004B15A8">
        <w:t xml:space="preserve">caused considerable </w:t>
      </w:r>
      <w:r w:rsidR="005B48A8">
        <w:t xml:space="preserve">expense in vindicating </w:t>
      </w:r>
      <w:r w:rsidR="005A227F">
        <w:t>the</w:t>
      </w:r>
      <w:r w:rsidR="005B48A8">
        <w:t xml:space="preserve"> public </w:t>
      </w:r>
      <w:r w:rsidR="005A227F">
        <w:t>interest in the subject matter of the proceeding</w:t>
      </w:r>
      <w:r w:rsidR="005B48A8">
        <w:t xml:space="preserve">.  </w:t>
      </w:r>
    </w:p>
    <w:p w14:paraId="09E68B90" w14:textId="5DA5A42C" w:rsidR="004C2D65" w:rsidRDefault="008F3E79" w:rsidP="008F3E79">
      <w:pPr>
        <w:pStyle w:val="ParaNumbering"/>
        <w:numPr>
          <w:ilvl w:val="0"/>
          <w:numId w:val="0"/>
        </w:numPr>
        <w:ind w:hanging="720"/>
      </w:pPr>
      <w:r>
        <w:rPr>
          <w:sz w:val="20"/>
        </w:rPr>
        <w:lastRenderedPageBreak/>
        <w:t>38</w:t>
      </w:r>
      <w:r>
        <w:rPr>
          <w:sz w:val="20"/>
        </w:rPr>
        <w:tab/>
      </w:r>
      <w:r w:rsidR="005B12FA">
        <w:t xml:space="preserve">The </w:t>
      </w:r>
      <w:r w:rsidR="00A05EE7">
        <w:t>relevance</w:t>
      </w:r>
      <w:r w:rsidR="005B12FA">
        <w:t xml:space="preserve"> of the </w:t>
      </w:r>
      <w:r w:rsidR="005B12FA" w:rsidRPr="00B0503A">
        <w:rPr>
          <w:i/>
          <w:iCs/>
        </w:rPr>
        <w:t xml:space="preserve">Highland Financial </w:t>
      </w:r>
      <w:r w:rsidR="005B12FA">
        <w:t xml:space="preserve">cases </w:t>
      </w:r>
      <w:r w:rsidR="00ED52C7">
        <w:t xml:space="preserve">involves </w:t>
      </w:r>
      <w:r w:rsidR="005B12FA">
        <w:t xml:space="preserve">more </w:t>
      </w:r>
      <w:r w:rsidR="00B0503A">
        <w:t>complex</w:t>
      </w:r>
      <w:r w:rsidR="00A05EE7">
        <w:t xml:space="preserve"> </w:t>
      </w:r>
      <w:r w:rsidR="00ED52C7">
        <w:t>issues</w:t>
      </w:r>
      <w:r w:rsidR="00B0503A">
        <w:t xml:space="preserve">.  </w:t>
      </w:r>
      <w:r w:rsidR="009D3EE9">
        <w:t>T</w:t>
      </w:r>
      <w:r w:rsidR="006A3F43">
        <w:t>h</w:t>
      </w:r>
      <w:r w:rsidR="00A05EE7">
        <w:t xml:space="preserve">ose cases </w:t>
      </w:r>
      <w:r w:rsidR="00C952E2">
        <w:t>are</w:t>
      </w:r>
      <w:r w:rsidR="006A3F43">
        <w:t xml:space="preserve"> </w:t>
      </w:r>
      <w:r w:rsidR="00A05EE7">
        <w:t>lengthy</w:t>
      </w:r>
      <w:r w:rsidR="003E2A84">
        <w:t>, and it is not necessary to repeat the detail of the judgments here.</w:t>
      </w:r>
      <w:r w:rsidR="00074EA8">
        <w:t xml:space="preserve">  </w:t>
      </w:r>
      <w:r w:rsidR="003B5EC0">
        <w:t xml:space="preserve">In essence, the primary </w:t>
      </w:r>
      <w:r w:rsidR="007D7F86">
        <w:t xml:space="preserve">judge (Burton J) </w:t>
      </w:r>
      <w:r w:rsidR="00DD797E">
        <w:t xml:space="preserve">granted judgment in </w:t>
      </w:r>
      <w:r w:rsidR="00F765B1">
        <w:t>favour of the Royal Bank of Scotland</w:t>
      </w:r>
      <w:r w:rsidR="0009729A">
        <w:t xml:space="preserve"> (the </w:t>
      </w:r>
      <w:r w:rsidR="0009729A" w:rsidRPr="00B0503A">
        <w:rPr>
          <w:b/>
          <w:bCs/>
        </w:rPr>
        <w:t>liability judgment</w:t>
      </w:r>
      <w:r w:rsidR="0009729A">
        <w:t>)</w:t>
      </w:r>
      <w:r w:rsidR="00F94E87">
        <w:t xml:space="preserve">: </w:t>
      </w:r>
      <w:r w:rsidR="00F94E87" w:rsidRPr="00B0503A">
        <w:rPr>
          <w:i/>
          <w:iCs/>
        </w:rPr>
        <w:t xml:space="preserve">Highland Financial </w:t>
      </w:r>
      <w:r w:rsidR="00F94E87">
        <w:t>at [2].</w:t>
      </w:r>
      <w:r w:rsidR="00F765B1">
        <w:t xml:space="preserve">  </w:t>
      </w:r>
      <w:r w:rsidR="00E1236F">
        <w:t>Following subsequent related litigation, t</w:t>
      </w:r>
      <w:r w:rsidR="0009729A">
        <w:t xml:space="preserve">he respondents </w:t>
      </w:r>
      <w:r w:rsidR="00E1236F">
        <w:t>cross-</w:t>
      </w:r>
      <w:r w:rsidR="00F94E87">
        <w:t>appealed the liability judgment on the ground</w:t>
      </w:r>
      <w:r w:rsidR="00FC5148">
        <w:t xml:space="preserve"> (</w:t>
      </w:r>
      <w:r w:rsidR="004F1204">
        <w:t>amongst others</w:t>
      </w:r>
      <w:r w:rsidR="00FC5148">
        <w:t xml:space="preserve">) </w:t>
      </w:r>
      <w:r w:rsidR="00F94E87">
        <w:t>that it had been proc</w:t>
      </w:r>
      <w:r w:rsidR="004F1204">
        <w:t xml:space="preserve">ured by fraud.  </w:t>
      </w:r>
      <w:r w:rsidR="00B477DF">
        <w:t>In essence, t</w:t>
      </w:r>
      <w:r w:rsidR="0052354B">
        <w:t>he respondent</w:t>
      </w:r>
      <w:r w:rsidR="00B477DF">
        <w:t xml:space="preserve"> alleged that the </w:t>
      </w:r>
      <w:r w:rsidR="00CA15E3">
        <w:t>Royal Bank of Scotland had</w:t>
      </w:r>
      <w:r w:rsidR="00B477DF">
        <w:t xml:space="preserve"> fraudulently</w:t>
      </w:r>
      <w:r w:rsidR="00CA15E3">
        <w:t xml:space="preserve"> suppressed certain</w:t>
      </w:r>
      <w:r w:rsidR="00FC5148">
        <w:t xml:space="preserve"> critical</w:t>
      </w:r>
      <w:r w:rsidR="00CA15E3">
        <w:t xml:space="preserve"> facts during the </w:t>
      </w:r>
      <w:r w:rsidR="002A1996">
        <w:t xml:space="preserve">liability </w:t>
      </w:r>
      <w:r w:rsidR="00CA15E3">
        <w:t xml:space="preserve">trial.  </w:t>
      </w:r>
    </w:p>
    <w:p w14:paraId="66A0B80E" w14:textId="553E99F8" w:rsidR="00271D0A" w:rsidRDefault="008F3E79" w:rsidP="008F3E79">
      <w:pPr>
        <w:pStyle w:val="ParaNumbering"/>
        <w:numPr>
          <w:ilvl w:val="0"/>
          <w:numId w:val="0"/>
        </w:numPr>
        <w:ind w:hanging="720"/>
      </w:pPr>
      <w:r>
        <w:rPr>
          <w:sz w:val="20"/>
        </w:rPr>
        <w:t>39</w:t>
      </w:r>
      <w:r>
        <w:rPr>
          <w:sz w:val="20"/>
        </w:rPr>
        <w:tab/>
      </w:r>
      <w:r w:rsidR="005E74C5">
        <w:t>T</w:t>
      </w:r>
      <w:r w:rsidR="004F0F9E">
        <w:t xml:space="preserve">he Court of Appeal accepted </w:t>
      </w:r>
      <w:r w:rsidR="00490830">
        <w:t>that the</w:t>
      </w:r>
      <w:r w:rsidR="00A161C5">
        <w:t xml:space="preserve"> </w:t>
      </w:r>
      <w:r w:rsidR="004F0F9E">
        <w:t xml:space="preserve">fraud had </w:t>
      </w:r>
      <w:r w:rsidR="00490830">
        <w:t>been established</w:t>
      </w:r>
      <w:r w:rsidR="00B4600B">
        <w:t xml:space="preserve">.  </w:t>
      </w:r>
      <w:r w:rsidR="006E7A5B">
        <w:t xml:space="preserve">The essential conclusion </w:t>
      </w:r>
      <w:r w:rsidR="00F003C0">
        <w:t xml:space="preserve">in that case, as </w:t>
      </w:r>
      <w:r w:rsidR="005E74C5">
        <w:t>articulated</w:t>
      </w:r>
      <w:r w:rsidR="00F003C0">
        <w:t xml:space="preserve"> </w:t>
      </w:r>
      <w:r w:rsidR="0047320D">
        <w:t xml:space="preserve">in </w:t>
      </w:r>
      <w:r w:rsidR="0047320D">
        <w:rPr>
          <w:i/>
          <w:iCs/>
        </w:rPr>
        <w:t xml:space="preserve">Highland Financial </w:t>
      </w:r>
      <w:r w:rsidR="00F003C0">
        <w:t>by Lord Justice Aikens at [179] (</w:t>
      </w:r>
      <w:r w:rsidR="006F04D0">
        <w:t xml:space="preserve">with whose reasons </w:t>
      </w:r>
      <w:r w:rsidR="00113B37">
        <w:t>Lord Justice Toulson at [181] and Lord Justice Maurice Kay at [182] agree</w:t>
      </w:r>
      <w:r w:rsidR="006F04D0">
        <w:t>d</w:t>
      </w:r>
      <w:r w:rsidR="00113B37">
        <w:t xml:space="preserve">), </w:t>
      </w:r>
      <w:r w:rsidR="00B4600B">
        <w:t>was</w:t>
      </w:r>
      <w:r w:rsidR="00113B37">
        <w:t xml:space="preserve"> as follows:</w:t>
      </w:r>
    </w:p>
    <w:p w14:paraId="21BC0658" w14:textId="06B0D3B8" w:rsidR="00113B37" w:rsidRDefault="00D6100E" w:rsidP="00D6100E">
      <w:pPr>
        <w:pStyle w:val="Quote1"/>
      </w:pPr>
      <w:r>
        <w:t xml:space="preserve">[T]he Liability judgment was obtained by the fraud of </w:t>
      </w:r>
      <w:r w:rsidR="00E778BF">
        <w:t>[the Royal Bank of Scotland]</w:t>
      </w:r>
      <w:r>
        <w:t xml:space="preserve"> through the deliberate and dishonest misstatement and concealment of facts by </w:t>
      </w:r>
      <w:r w:rsidR="00FD172C">
        <w:t>[a witness]</w:t>
      </w:r>
      <w:r>
        <w:t>. I would therefore allow the cross-appeal of Highland from Burton J’s May 2012 judgment on that issue. The Liability judgment, the Court of Appeal’s judgment on Liability and the Quantum judgment must therefore all be set aside.</w:t>
      </w:r>
    </w:p>
    <w:p w14:paraId="5671772B" w14:textId="47E91E5C" w:rsidR="0047320D" w:rsidRDefault="008F3E79" w:rsidP="008F3E79">
      <w:pPr>
        <w:pStyle w:val="ParaNumbering"/>
        <w:numPr>
          <w:ilvl w:val="0"/>
          <w:numId w:val="0"/>
        </w:numPr>
        <w:ind w:hanging="720"/>
      </w:pPr>
      <w:r>
        <w:rPr>
          <w:sz w:val="20"/>
        </w:rPr>
        <w:t>40</w:t>
      </w:r>
      <w:r>
        <w:rPr>
          <w:sz w:val="20"/>
        </w:rPr>
        <w:tab/>
      </w:r>
      <w:r w:rsidR="00B4600B">
        <w:t xml:space="preserve">The respondents </w:t>
      </w:r>
      <w:r w:rsidR="00DD0D51">
        <w:t>then sough</w:t>
      </w:r>
      <w:r w:rsidR="008B0826">
        <w:t xml:space="preserve">t, and the Court of Appeal </w:t>
      </w:r>
      <w:r w:rsidR="009867EC">
        <w:t>awarded</w:t>
      </w:r>
      <w:r w:rsidR="008B0826">
        <w:t xml:space="preserve">, </w:t>
      </w:r>
      <w:r w:rsidR="00DD0D51">
        <w:t>indemnity costs.</w:t>
      </w:r>
      <w:r w:rsidR="008B0826">
        <w:t xml:space="preserve">  The </w:t>
      </w:r>
      <w:r w:rsidR="0047320D">
        <w:t xml:space="preserve">reasons for </w:t>
      </w:r>
      <w:r w:rsidR="00DB668B">
        <w:t xml:space="preserve">considering that </w:t>
      </w:r>
      <w:r w:rsidR="00E21DC4">
        <w:t>orders to that effect</w:t>
      </w:r>
      <w:r w:rsidR="00DB668B">
        <w:t xml:space="preserve"> </w:t>
      </w:r>
      <w:r w:rsidR="00E21DC4">
        <w:t xml:space="preserve">were </w:t>
      </w:r>
      <w:r w:rsidR="00DB668B">
        <w:t>appropriate</w:t>
      </w:r>
      <w:r w:rsidR="0047320D">
        <w:t xml:space="preserve"> </w:t>
      </w:r>
      <w:r w:rsidR="000008DE">
        <w:t xml:space="preserve">were expressed </w:t>
      </w:r>
      <w:r w:rsidR="0047320D">
        <w:t>in the following terms</w:t>
      </w:r>
      <w:r w:rsidR="00A161C5">
        <w:t xml:space="preserve"> by</w:t>
      </w:r>
      <w:r w:rsidR="00B20C27">
        <w:t xml:space="preserve"> </w:t>
      </w:r>
      <w:r w:rsidR="00A161C5">
        <w:t>Lord Justice Aitkins</w:t>
      </w:r>
      <w:r w:rsidR="00A161C5">
        <w:rPr>
          <w:i/>
          <w:iCs/>
        </w:rPr>
        <w:t xml:space="preserve"> </w:t>
      </w:r>
      <w:r w:rsidR="0097339B">
        <w:rPr>
          <w:i/>
          <w:iCs/>
        </w:rPr>
        <w:t>Highland Financial (Costs)</w:t>
      </w:r>
      <w:r w:rsidR="00283B0B">
        <w:rPr>
          <w:i/>
          <w:iCs/>
        </w:rPr>
        <w:t xml:space="preserve"> </w:t>
      </w:r>
      <w:r w:rsidR="00283B0B">
        <w:t>at [14]</w:t>
      </w:r>
      <w:r w:rsidR="0047320D">
        <w:t>:</w:t>
      </w:r>
    </w:p>
    <w:p w14:paraId="0D3228C5" w14:textId="74CD1513" w:rsidR="007D743D" w:rsidRDefault="0097339B" w:rsidP="0097339B">
      <w:pPr>
        <w:pStyle w:val="Quote1"/>
      </w:pPr>
      <w:r>
        <w:t>Given the judge’s findings against RBS on the misconduct of SG, not only in 2008/9 but also in the Quantum and 2012 trials, we have no hesitation in saying that the conduct of RBS (through SG) takes this case out of the norm. This court should mark its disapproval of the conduct of SG, for which we have decided that RBS must be held responsible, by ordering that all Highland’s costs be paid on an indemnity basis.</w:t>
      </w:r>
    </w:p>
    <w:p w14:paraId="183EA0A9" w14:textId="083DDA37" w:rsidR="008779BD" w:rsidRDefault="008F3E79" w:rsidP="008F3E79">
      <w:pPr>
        <w:pStyle w:val="ParaNumbering"/>
        <w:numPr>
          <w:ilvl w:val="0"/>
          <w:numId w:val="0"/>
        </w:numPr>
        <w:ind w:hanging="720"/>
      </w:pPr>
      <w:r>
        <w:rPr>
          <w:sz w:val="20"/>
        </w:rPr>
        <w:t>41</w:t>
      </w:r>
      <w:r>
        <w:rPr>
          <w:sz w:val="20"/>
        </w:rPr>
        <w:tab/>
      </w:r>
      <w:r w:rsidR="009D55A0">
        <w:t xml:space="preserve">While not necessary to decide the point, </w:t>
      </w:r>
      <w:r w:rsidR="00BA38CF">
        <w:t>the decision in</w:t>
      </w:r>
      <w:r w:rsidR="000E1384">
        <w:t xml:space="preserve"> </w:t>
      </w:r>
      <w:r w:rsidR="000E1384" w:rsidRPr="000E1384">
        <w:rPr>
          <w:i/>
          <w:iCs/>
        </w:rPr>
        <w:t>Highland Financial (Costs)</w:t>
      </w:r>
      <w:r w:rsidR="00BA38CF">
        <w:rPr>
          <w:i/>
          <w:iCs/>
        </w:rPr>
        <w:t xml:space="preserve"> </w:t>
      </w:r>
      <w:r w:rsidR="00A232F6">
        <w:rPr>
          <w:iCs/>
        </w:rPr>
        <w:t xml:space="preserve">ultimately lends little assistance to </w:t>
      </w:r>
      <w:r w:rsidR="00BA38CF">
        <w:rPr>
          <w:iCs/>
        </w:rPr>
        <w:t>the Commissione</w:t>
      </w:r>
      <w:r w:rsidR="00A232F6">
        <w:rPr>
          <w:iCs/>
        </w:rPr>
        <w:t xml:space="preserve">r’s case for </w:t>
      </w:r>
      <w:r w:rsidR="00366E4A">
        <w:rPr>
          <w:iCs/>
        </w:rPr>
        <w:t>indemnity costs to be awarded on the basis of public interest considerations</w:t>
      </w:r>
      <w:r w:rsidR="000E1384">
        <w:t xml:space="preserve">.  </w:t>
      </w:r>
      <w:r w:rsidR="00366E4A">
        <w:t>In</w:t>
      </w:r>
      <w:r w:rsidR="000E1384">
        <w:t xml:space="preserve"> </w:t>
      </w:r>
      <w:r w:rsidR="003D69C3" w:rsidRPr="000E1384">
        <w:rPr>
          <w:i/>
          <w:iCs/>
        </w:rPr>
        <w:t>Highland Finance (Costs)</w:t>
      </w:r>
      <w:r w:rsidR="003D69C3">
        <w:t xml:space="preserve">, the Court </w:t>
      </w:r>
      <w:r w:rsidR="00C82E44">
        <w:t xml:space="preserve">was concerned with an </w:t>
      </w:r>
      <w:r w:rsidR="00C82E44" w:rsidRPr="000E1384">
        <w:rPr>
          <w:iCs/>
        </w:rPr>
        <w:t>appeal</w:t>
      </w:r>
      <w:r w:rsidR="00506AAD">
        <w:t xml:space="preserve"> on the ground that</w:t>
      </w:r>
      <w:r w:rsidR="00AB2EF9">
        <w:t xml:space="preserve"> the primary</w:t>
      </w:r>
      <w:r w:rsidR="000008DE">
        <w:t xml:space="preserve"> liability </w:t>
      </w:r>
      <w:r w:rsidR="00AB2EF9">
        <w:t xml:space="preserve">judgment had been obtained by fraud.  </w:t>
      </w:r>
      <w:r w:rsidR="00C51DCD">
        <w:t>Thus, the deliberate concealment of facts by the Royal Bank of Scotland through its witness which justified the grant of indemnity costs was conduct in the same proceeding</w:t>
      </w:r>
      <w:r w:rsidR="00B23527">
        <w:t>, that is,</w:t>
      </w:r>
      <w:r w:rsidR="009E094C">
        <w:t xml:space="preserve"> it was “</w:t>
      </w:r>
      <w:r w:rsidR="008866C1" w:rsidRPr="000E1384">
        <w:rPr>
          <w:i/>
          <w:iCs/>
        </w:rPr>
        <w:t xml:space="preserve">conduct </w:t>
      </w:r>
      <w:r w:rsidR="008866C1" w:rsidRPr="000E1384">
        <w:rPr>
          <w:b/>
          <w:bCs/>
          <w:i/>
          <w:iCs/>
        </w:rPr>
        <w:t>in the litigation</w:t>
      </w:r>
      <w:r w:rsidR="008866C1" w:rsidRPr="000E1384">
        <w:rPr>
          <w:i/>
          <w:iCs/>
        </w:rPr>
        <w:t xml:space="preserve"> of the party against </w:t>
      </w:r>
      <w:r w:rsidR="00DF7579" w:rsidRPr="000E1384">
        <w:rPr>
          <w:i/>
          <w:iCs/>
        </w:rPr>
        <w:t>which … an order</w:t>
      </w:r>
      <w:r w:rsidR="006F5E45">
        <w:rPr>
          <w:i/>
          <w:iCs/>
        </w:rPr>
        <w:t xml:space="preserve"> [for indemnity costs]</w:t>
      </w:r>
      <w:r w:rsidR="00DF7579" w:rsidRPr="000E1384">
        <w:rPr>
          <w:i/>
          <w:iCs/>
        </w:rPr>
        <w:t xml:space="preserve"> is made</w:t>
      </w:r>
      <w:r w:rsidR="00DF7579">
        <w:t xml:space="preserve">”:  </w:t>
      </w:r>
      <w:r w:rsidR="00DF7579" w:rsidRPr="000E1384">
        <w:rPr>
          <w:i/>
          <w:iCs/>
        </w:rPr>
        <w:t xml:space="preserve">Highland Financial (Costs) </w:t>
      </w:r>
      <w:r w:rsidR="00DF7579">
        <w:t>at [10] (Lord Justice Aitkins)</w:t>
      </w:r>
      <w:r w:rsidR="00F36857">
        <w:t xml:space="preserve"> (emphasis added)</w:t>
      </w:r>
      <w:r w:rsidR="00DF7579">
        <w:t xml:space="preserve">.  </w:t>
      </w:r>
      <w:r w:rsidR="00CC070A">
        <w:t>By contrast,</w:t>
      </w:r>
      <w:r w:rsidR="000008DE">
        <w:t xml:space="preserve"> </w:t>
      </w:r>
      <w:r w:rsidR="00C31939">
        <w:t xml:space="preserve">as I have explained, the </w:t>
      </w:r>
      <w:r w:rsidR="00C31939" w:rsidRPr="000E1384">
        <w:rPr>
          <w:i/>
          <w:iCs/>
        </w:rPr>
        <w:t xml:space="preserve">Rawson Primary Judgment </w:t>
      </w:r>
      <w:r w:rsidR="00C31939">
        <w:t>was</w:t>
      </w:r>
      <w:r w:rsidR="00E4259F">
        <w:t xml:space="preserve"> a separate proceeding based upon</w:t>
      </w:r>
      <w:r w:rsidR="00C31939">
        <w:t xml:space="preserve"> a separate and distinct action </w:t>
      </w:r>
      <w:r w:rsidR="00582A3D">
        <w:t>alleging fraud in the conduct of a different proceeding</w:t>
      </w:r>
      <w:r w:rsidR="00E4259F">
        <w:t>.</w:t>
      </w:r>
      <w:r w:rsidR="00582A3D">
        <w:t xml:space="preserve">  </w:t>
      </w:r>
    </w:p>
    <w:p w14:paraId="764F3219" w14:textId="0F6DF432" w:rsidR="000E1384" w:rsidRDefault="008F3E79" w:rsidP="008F3E79">
      <w:pPr>
        <w:pStyle w:val="ParaNumbering"/>
        <w:numPr>
          <w:ilvl w:val="0"/>
          <w:numId w:val="0"/>
        </w:numPr>
        <w:ind w:hanging="720"/>
      </w:pPr>
      <w:r>
        <w:rPr>
          <w:sz w:val="20"/>
        </w:rPr>
        <w:lastRenderedPageBreak/>
        <w:t>42</w:t>
      </w:r>
      <w:r>
        <w:rPr>
          <w:sz w:val="20"/>
        </w:rPr>
        <w:tab/>
      </w:r>
      <w:r w:rsidR="00D14731">
        <w:t>In any event</w:t>
      </w:r>
      <w:r w:rsidR="000E1384">
        <w:t xml:space="preserve">, the statement that a Court should </w:t>
      </w:r>
      <w:r w:rsidR="00004884">
        <w:t>“</w:t>
      </w:r>
      <w:r w:rsidR="00004884" w:rsidRPr="008779BD">
        <w:rPr>
          <w:i/>
          <w:iCs/>
        </w:rPr>
        <w:t>mark its disapproval of the conduct</w:t>
      </w:r>
      <w:r w:rsidR="00004884">
        <w:t xml:space="preserve">” of the defrauding party is not directly </w:t>
      </w:r>
      <w:proofErr w:type="spellStart"/>
      <w:r w:rsidR="00004884">
        <w:t>apposite</w:t>
      </w:r>
      <w:proofErr w:type="spellEnd"/>
      <w:r w:rsidR="00004884">
        <w:t xml:space="preserve"> to Australian law where, as </w:t>
      </w:r>
      <w:r w:rsidR="00955C4C">
        <w:t>earlier</w:t>
      </w:r>
      <w:r w:rsidR="00004884">
        <w:t xml:space="preserve"> explained, the focus of an indemnity costs order is on </w:t>
      </w:r>
      <w:r w:rsidR="00661C5E" w:rsidRPr="00661C5E">
        <w:t>“</w:t>
      </w:r>
      <w:r w:rsidR="00661C5E" w:rsidRPr="00966D01">
        <w:rPr>
          <w:i/>
          <w:iCs/>
        </w:rPr>
        <w:t>indemnify[</w:t>
      </w:r>
      <w:proofErr w:type="spellStart"/>
      <w:r w:rsidR="00661C5E" w:rsidRPr="00966D01">
        <w:rPr>
          <w:i/>
          <w:iCs/>
        </w:rPr>
        <w:t>ing</w:t>
      </w:r>
      <w:proofErr w:type="spellEnd"/>
      <w:r w:rsidR="00661C5E" w:rsidRPr="00966D01">
        <w:rPr>
          <w:i/>
          <w:iCs/>
        </w:rPr>
        <w:t xml:space="preserve">] a successful party in litigation, not </w:t>
      </w:r>
      <w:r w:rsidR="00955C4C">
        <w:rPr>
          <w:i/>
          <w:iCs/>
        </w:rPr>
        <w:t>…</w:t>
      </w:r>
      <w:r w:rsidR="00661C5E" w:rsidRPr="00966D01">
        <w:rPr>
          <w:i/>
          <w:iCs/>
        </w:rPr>
        <w:t xml:space="preserve"> punishment</w:t>
      </w:r>
      <w:r w:rsidR="00661C5E" w:rsidRPr="00661C5E">
        <w:t xml:space="preserve">”:  </w:t>
      </w:r>
      <w:proofErr w:type="spellStart"/>
      <w:r w:rsidR="00661C5E" w:rsidRPr="00661C5E">
        <w:rPr>
          <w:i/>
          <w:iCs/>
        </w:rPr>
        <w:t>Oshlack</w:t>
      </w:r>
      <w:proofErr w:type="spellEnd"/>
      <w:r w:rsidR="00661C5E" w:rsidRPr="00661C5E">
        <w:t xml:space="preserve"> at [1] (Brennan CJ)</w:t>
      </w:r>
      <w:r w:rsidR="00661C5E">
        <w:t>.</w:t>
      </w:r>
    </w:p>
    <w:p w14:paraId="49077A76" w14:textId="65A1E8D4" w:rsidR="00FA073C" w:rsidRDefault="008F3E79" w:rsidP="008F3E79">
      <w:pPr>
        <w:pStyle w:val="ParaNumbering"/>
        <w:numPr>
          <w:ilvl w:val="0"/>
          <w:numId w:val="0"/>
        </w:numPr>
        <w:ind w:hanging="720"/>
      </w:pPr>
      <w:r>
        <w:rPr>
          <w:sz w:val="20"/>
        </w:rPr>
        <w:t>43</w:t>
      </w:r>
      <w:r>
        <w:rPr>
          <w:sz w:val="20"/>
        </w:rPr>
        <w:tab/>
      </w:r>
      <w:r w:rsidR="00FA073C" w:rsidRPr="00B072BD">
        <w:rPr>
          <w:b/>
          <w:bCs/>
          <w:i/>
          <w:iCs/>
        </w:rPr>
        <w:t>Secondly</w:t>
      </w:r>
      <w:r w:rsidR="00FA073C">
        <w:t xml:space="preserve">, in submissions, Rawson relied on </w:t>
      </w:r>
      <w:r w:rsidR="00574AD9" w:rsidRPr="00F14799">
        <w:rPr>
          <w:i/>
          <w:iCs/>
        </w:rPr>
        <w:t xml:space="preserve">Clone Pty Ltd v Players Pty Ltd (in Liquidation) </w:t>
      </w:r>
      <w:r w:rsidR="00B91D38" w:rsidRPr="00F14799">
        <w:t xml:space="preserve">(2016) </w:t>
      </w:r>
      <w:r w:rsidR="00D03C85" w:rsidRPr="00F14799">
        <w:t xml:space="preserve">127 SASR; </w:t>
      </w:r>
      <w:r w:rsidR="00574AD9" w:rsidRPr="00F14799">
        <w:t>[2016] SASFC 134</w:t>
      </w:r>
      <w:r w:rsidR="002A2B6E">
        <w:t xml:space="preserve"> (</w:t>
      </w:r>
      <w:r w:rsidR="002A2B6E" w:rsidRPr="002A2B6E">
        <w:rPr>
          <w:b/>
          <w:bCs/>
          <w:i/>
          <w:iCs/>
        </w:rPr>
        <w:t>Clone SASFC</w:t>
      </w:r>
      <w:r w:rsidR="002A2B6E">
        <w:t>)</w:t>
      </w:r>
      <w:r w:rsidR="00574AD9">
        <w:t xml:space="preserve">.  </w:t>
      </w:r>
      <w:r w:rsidR="00EE5E0B">
        <w:t xml:space="preserve">Again, I consider that case </w:t>
      </w:r>
      <w:r w:rsidR="00815450">
        <w:t xml:space="preserve">to be </w:t>
      </w:r>
      <w:r w:rsidR="00EE5E0B">
        <w:t>distinguishable</w:t>
      </w:r>
      <w:r w:rsidR="00C765D2">
        <w:t xml:space="preserve"> from the present proceedings</w:t>
      </w:r>
      <w:r w:rsidR="00EE5E0B">
        <w:t xml:space="preserve">.  </w:t>
      </w:r>
    </w:p>
    <w:p w14:paraId="25DD37FA" w14:textId="2DF9DD0C" w:rsidR="00231673" w:rsidRDefault="008F3E79" w:rsidP="008F3E79">
      <w:pPr>
        <w:pStyle w:val="ParaNumbering"/>
        <w:numPr>
          <w:ilvl w:val="0"/>
          <w:numId w:val="0"/>
        </w:numPr>
        <w:ind w:hanging="720"/>
      </w:pPr>
      <w:r>
        <w:rPr>
          <w:sz w:val="20"/>
        </w:rPr>
        <w:t>44</w:t>
      </w:r>
      <w:r>
        <w:rPr>
          <w:sz w:val="20"/>
        </w:rPr>
        <w:tab/>
      </w:r>
      <w:r w:rsidR="00EE5E0B" w:rsidRPr="008779BD">
        <w:rPr>
          <w:i/>
          <w:iCs/>
        </w:rPr>
        <w:t>Clone</w:t>
      </w:r>
      <w:r w:rsidR="00966D01">
        <w:t xml:space="preserve"> </w:t>
      </w:r>
      <w:r w:rsidR="008779BD">
        <w:rPr>
          <w:i/>
          <w:iCs/>
        </w:rPr>
        <w:t>SASFC</w:t>
      </w:r>
      <w:r w:rsidR="00BB5348">
        <w:t xml:space="preserve"> also</w:t>
      </w:r>
      <w:r w:rsidR="00EA34FC">
        <w:t xml:space="preserve"> involved litigation of considerable complexity, and it is again not necessary to repeat the detail of </w:t>
      </w:r>
      <w:r w:rsidR="001C59B1">
        <w:t>that</w:t>
      </w:r>
      <w:r w:rsidR="00EA34FC">
        <w:t xml:space="preserve"> </w:t>
      </w:r>
      <w:r w:rsidR="00BB5348">
        <w:t>decision</w:t>
      </w:r>
      <w:r w:rsidR="00EA34FC">
        <w:t xml:space="preserve">.  </w:t>
      </w:r>
      <w:r w:rsidR="00231673">
        <w:t xml:space="preserve">A helpful summary is provided by the High Court in </w:t>
      </w:r>
      <w:r w:rsidR="00231673" w:rsidRPr="00F14799">
        <w:rPr>
          <w:i/>
          <w:iCs/>
        </w:rPr>
        <w:t>Clone Pty Ltd v Players Pty Ltd (In Liquidation) (Receivers &amp; Managers Appointed)</w:t>
      </w:r>
      <w:r w:rsidR="00231673" w:rsidRPr="00F14799">
        <w:t xml:space="preserve"> (2018) 264 CLR 164; [2018] HCA 12</w:t>
      </w:r>
      <w:r w:rsidR="00231673">
        <w:t xml:space="preserve"> (</w:t>
      </w:r>
      <w:r w:rsidR="00231673" w:rsidRPr="00937AE1">
        <w:rPr>
          <w:b/>
          <w:bCs/>
          <w:i/>
          <w:iCs/>
        </w:rPr>
        <w:t>Clone HC</w:t>
      </w:r>
      <w:r w:rsidR="00F73638">
        <w:rPr>
          <w:b/>
          <w:bCs/>
          <w:i/>
          <w:iCs/>
        </w:rPr>
        <w:t>A</w:t>
      </w:r>
      <w:r w:rsidR="00231673">
        <w:t xml:space="preserve">) at </w:t>
      </w:r>
      <w:r w:rsidR="00D437FB">
        <w:t>[4]-[40].</w:t>
      </w:r>
    </w:p>
    <w:p w14:paraId="558482A4" w14:textId="051C6921" w:rsidR="001B10C5" w:rsidRDefault="008F3E79" w:rsidP="008F3E79">
      <w:pPr>
        <w:pStyle w:val="ParaNumbering"/>
        <w:numPr>
          <w:ilvl w:val="0"/>
          <w:numId w:val="0"/>
        </w:numPr>
        <w:ind w:hanging="720"/>
      </w:pPr>
      <w:r>
        <w:rPr>
          <w:sz w:val="20"/>
        </w:rPr>
        <w:t>45</w:t>
      </w:r>
      <w:r>
        <w:rPr>
          <w:sz w:val="20"/>
        </w:rPr>
        <w:tab/>
      </w:r>
      <w:r w:rsidR="008B7553">
        <w:t>I</w:t>
      </w:r>
      <w:r w:rsidR="00966B64">
        <w:t xml:space="preserve">n essence, in </w:t>
      </w:r>
      <w:r w:rsidR="00966B64" w:rsidRPr="008B7553">
        <w:rPr>
          <w:i/>
          <w:iCs/>
        </w:rPr>
        <w:t>Clone</w:t>
      </w:r>
      <w:r w:rsidR="00966B64">
        <w:t xml:space="preserve">, </w:t>
      </w:r>
      <w:r w:rsidR="00265380">
        <w:t>the parties entered into a lease with respect to certain properties</w:t>
      </w:r>
      <w:r w:rsidR="002A35D3">
        <w:t xml:space="preserve">: </w:t>
      </w:r>
      <w:r w:rsidR="002A35D3">
        <w:rPr>
          <w:i/>
          <w:iCs/>
        </w:rPr>
        <w:t>Clone HC</w:t>
      </w:r>
      <w:r w:rsidR="00F73638">
        <w:rPr>
          <w:i/>
          <w:iCs/>
        </w:rPr>
        <w:t>A</w:t>
      </w:r>
      <w:r w:rsidR="002A35D3">
        <w:rPr>
          <w:i/>
          <w:iCs/>
        </w:rPr>
        <w:t xml:space="preserve"> </w:t>
      </w:r>
      <w:r w:rsidR="002A35D3">
        <w:t>at [4]</w:t>
      </w:r>
      <w:r w:rsidR="00265380">
        <w:t xml:space="preserve">.  A dispute </w:t>
      </w:r>
      <w:r w:rsidR="00094130">
        <w:t>subsequently arose with respect to those premises</w:t>
      </w:r>
      <w:r w:rsidR="002A35D3">
        <w:t xml:space="preserve">: ibid at </w:t>
      </w:r>
      <w:r w:rsidR="00A1767B">
        <w:t>[11]-[12]</w:t>
      </w:r>
      <w:r w:rsidR="00094130">
        <w:t xml:space="preserve">.  Clone, at trial, </w:t>
      </w:r>
      <w:r w:rsidR="00265380">
        <w:t>successfully</w:t>
      </w:r>
      <w:r w:rsidR="00094130">
        <w:t xml:space="preserve"> brought</w:t>
      </w:r>
      <w:r w:rsidR="00265380">
        <w:t xml:space="preserve"> </w:t>
      </w:r>
      <w:r w:rsidR="00966B64">
        <w:t xml:space="preserve">proceedings </w:t>
      </w:r>
      <w:r w:rsidR="00B41E57">
        <w:t xml:space="preserve">against the first respondent </w:t>
      </w:r>
      <w:r w:rsidR="00094130">
        <w:t>with respect to those premises</w:t>
      </w:r>
      <w:r w:rsidR="00A1767B">
        <w:t xml:space="preserve">: </w:t>
      </w:r>
      <w:r w:rsidR="006D68FC">
        <w:t xml:space="preserve">ibid </w:t>
      </w:r>
      <w:r w:rsidR="00A1767B">
        <w:t>at [24]-[25].</w:t>
      </w:r>
      <w:r w:rsidR="00D10357">
        <w:t xml:space="preserve">  </w:t>
      </w:r>
    </w:p>
    <w:p w14:paraId="61214DB4" w14:textId="133C2321" w:rsidR="002C01D4" w:rsidRDefault="008F3E79" w:rsidP="008F3E79">
      <w:pPr>
        <w:pStyle w:val="ParaNumbering"/>
        <w:numPr>
          <w:ilvl w:val="0"/>
          <w:numId w:val="0"/>
        </w:numPr>
        <w:ind w:hanging="720"/>
      </w:pPr>
      <w:r>
        <w:rPr>
          <w:sz w:val="20"/>
        </w:rPr>
        <w:t>46</w:t>
      </w:r>
      <w:r>
        <w:rPr>
          <w:sz w:val="20"/>
        </w:rPr>
        <w:tab/>
      </w:r>
      <w:r w:rsidR="00AC6A2E">
        <w:t xml:space="preserve">After the conclusion of the trial and a Full Court appeal, </w:t>
      </w:r>
      <w:r w:rsidR="00904437">
        <w:t>certain copies of the agreement to lease were discovered</w:t>
      </w:r>
      <w:r w:rsidR="006D68FC">
        <w:t>: ibid at [30]-[31]</w:t>
      </w:r>
      <w:r w:rsidR="0097326F">
        <w:t xml:space="preserve"> (described as the “</w:t>
      </w:r>
      <w:r w:rsidR="0097326F" w:rsidRPr="0006023A">
        <w:rPr>
          <w:i/>
          <w:iCs/>
        </w:rPr>
        <w:t>third lease agreement</w:t>
      </w:r>
      <w:r w:rsidR="0097326F">
        <w:t>”)</w:t>
      </w:r>
      <w:r w:rsidR="00904437">
        <w:t xml:space="preserve">.  A fresh application to set aside the </w:t>
      </w:r>
      <w:r w:rsidR="003A64B4">
        <w:t>judgment was made</w:t>
      </w:r>
      <w:r w:rsidR="006D68FC">
        <w:t xml:space="preserve"> by </w:t>
      </w:r>
      <w:r w:rsidR="006D68FC" w:rsidRPr="006D68FC">
        <w:rPr>
          <w:b/>
          <w:bCs/>
          <w:i/>
          <w:iCs/>
        </w:rPr>
        <w:t>Players</w:t>
      </w:r>
      <w:r w:rsidR="006D68FC" w:rsidRPr="008D33EF">
        <w:rPr>
          <w:i/>
          <w:iCs/>
        </w:rPr>
        <w:t xml:space="preserve"> Pty Ltd</w:t>
      </w:r>
      <w:r w:rsidR="006D68FC">
        <w:t>: ibid at [32].</w:t>
      </w:r>
      <w:r w:rsidR="00231673">
        <w:t xml:space="preserve">  </w:t>
      </w:r>
      <w:r w:rsidR="006D68FC">
        <w:t xml:space="preserve">Players </w:t>
      </w:r>
      <w:r w:rsidR="00231673">
        <w:t xml:space="preserve">alleged that </w:t>
      </w:r>
      <w:r w:rsidR="009D222A">
        <w:t xml:space="preserve">the judgment </w:t>
      </w:r>
      <w:r w:rsidR="006D68FC">
        <w:t>could be set aside on the basis of Clone’s malpractice</w:t>
      </w:r>
      <w:r w:rsidR="006723FB">
        <w:t xml:space="preserve">, including because Clone had breached certain obligations to discover the </w:t>
      </w:r>
      <w:r w:rsidR="00EF21A2">
        <w:t>third lease agreement</w:t>
      </w:r>
      <w:r w:rsidR="006723FB">
        <w:t xml:space="preserve">: </w:t>
      </w:r>
      <w:r w:rsidR="00DE0921">
        <w:t xml:space="preserve">ibid </w:t>
      </w:r>
      <w:r w:rsidR="006723FB">
        <w:t>at [33].</w:t>
      </w:r>
    </w:p>
    <w:p w14:paraId="0CA26776" w14:textId="1B39CB62" w:rsidR="00DE0921" w:rsidRDefault="008F3E79" w:rsidP="008F3E79">
      <w:pPr>
        <w:pStyle w:val="ParaNumbering"/>
        <w:numPr>
          <w:ilvl w:val="0"/>
          <w:numId w:val="0"/>
        </w:numPr>
        <w:ind w:hanging="720"/>
      </w:pPr>
      <w:r>
        <w:rPr>
          <w:sz w:val="20"/>
        </w:rPr>
        <w:t>47</w:t>
      </w:r>
      <w:r>
        <w:rPr>
          <w:sz w:val="20"/>
        </w:rPr>
        <w:tab/>
      </w:r>
      <w:r w:rsidR="00B57580">
        <w:t xml:space="preserve">The primary judge agreed, accepting Player’s </w:t>
      </w:r>
      <w:r w:rsidR="004821F8">
        <w:t xml:space="preserve">case for setting aside the judgment on the basis of Clone’s </w:t>
      </w:r>
      <w:r w:rsidR="00457EEB">
        <w:t>malpractice</w:t>
      </w:r>
      <w:r w:rsidR="00B97A17">
        <w:t>.  The primary</w:t>
      </w:r>
      <w:r w:rsidR="00683522">
        <w:t xml:space="preserve"> </w:t>
      </w:r>
      <w:r w:rsidR="00B97A17">
        <w:t xml:space="preserve">judge </w:t>
      </w:r>
      <w:r w:rsidR="00457EEB">
        <w:t>upheld the allegation of a failure to disclose on the basis that</w:t>
      </w:r>
      <w:r w:rsidR="0006023A">
        <w:t xml:space="preserve"> the </w:t>
      </w:r>
      <w:r w:rsidR="009D54AC">
        <w:t>third</w:t>
      </w:r>
      <w:r w:rsidR="00683522">
        <w:t xml:space="preserve"> lease agreement was within Clone’s power, and the failure by Clone to </w:t>
      </w:r>
      <w:r w:rsidR="000E7272">
        <w:t xml:space="preserve">disclose </w:t>
      </w:r>
      <w:r w:rsidR="00683522">
        <w:t>it constituted serious malpractice</w:t>
      </w:r>
      <w:r w:rsidR="005A634E">
        <w:t>, albeit not intentiona</w:t>
      </w:r>
      <w:r w:rsidR="00D92320">
        <w:t>l</w:t>
      </w:r>
      <w:r w:rsidR="005A634E">
        <w:t>l</w:t>
      </w:r>
      <w:r w:rsidR="00D92320">
        <w:t>y so</w:t>
      </w:r>
      <w:r w:rsidR="00683522">
        <w:t xml:space="preserve">: </w:t>
      </w:r>
      <w:r w:rsidR="001C59B1">
        <w:t xml:space="preserve"> </w:t>
      </w:r>
      <w:r w:rsidR="000E4542" w:rsidRPr="00A5701C">
        <w:rPr>
          <w:i/>
        </w:rPr>
        <w:t>Clone HC</w:t>
      </w:r>
      <w:r w:rsidR="00C201C8">
        <w:rPr>
          <w:i/>
        </w:rPr>
        <w:t>A</w:t>
      </w:r>
      <w:r w:rsidR="000E4542">
        <w:t xml:space="preserve"> </w:t>
      </w:r>
      <w:r w:rsidR="00683522">
        <w:t>at [34]</w:t>
      </w:r>
      <w:r w:rsidR="005A634E">
        <w:t>;</w:t>
      </w:r>
      <w:r w:rsidR="005A634E" w:rsidRPr="00A5701C">
        <w:rPr>
          <w:i/>
          <w:iCs/>
        </w:rPr>
        <w:t xml:space="preserve"> Clone SASFC </w:t>
      </w:r>
      <w:r w:rsidR="005A634E">
        <w:t>at [186]</w:t>
      </w:r>
      <w:r w:rsidR="001C59B1">
        <w:t>.</w:t>
      </w:r>
      <w:r w:rsidR="00683522">
        <w:t xml:space="preserve">  </w:t>
      </w:r>
      <w:r w:rsidR="00287FB0">
        <w:t>On appeal, the Full Court</w:t>
      </w:r>
      <w:r w:rsidR="00F4227D">
        <w:t xml:space="preserve"> by majority</w:t>
      </w:r>
      <w:r w:rsidR="002B38DC">
        <w:t xml:space="preserve"> accepted that the failure to disclose the relevant lease document constituted serious </w:t>
      </w:r>
      <w:r w:rsidR="001F175C">
        <w:t xml:space="preserve">malpractice, and </w:t>
      </w:r>
      <w:r w:rsidR="00377B3B">
        <w:t xml:space="preserve">also accepted the allegation of </w:t>
      </w:r>
      <w:r w:rsidR="001F175C">
        <w:t xml:space="preserve">misconduct </w:t>
      </w:r>
      <w:r w:rsidR="00377B3B">
        <w:t xml:space="preserve">by Clone misleading the trial judge.  The majority further held that </w:t>
      </w:r>
      <w:r w:rsidR="005231D1">
        <w:t>the</w:t>
      </w:r>
      <w:r w:rsidR="00377B3B">
        <w:t xml:space="preserve"> misconduct </w:t>
      </w:r>
      <w:r w:rsidR="001F175C">
        <w:t xml:space="preserve">was sufficient to enliven the discretionary power of the Court to set aside the </w:t>
      </w:r>
      <w:r w:rsidR="009D54AC">
        <w:t>earlier</w:t>
      </w:r>
      <w:r w:rsidR="001F175C">
        <w:t xml:space="preserve"> judgment </w:t>
      </w:r>
      <w:r w:rsidR="00A5701C">
        <w:t xml:space="preserve">at trial: </w:t>
      </w:r>
      <w:r w:rsidR="00A5701C" w:rsidRPr="00A5701C">
        <w:rPr>
          <w:i/>
        </w:rPr>
        <w:t>Clone HC</w:t>
      </w:r>
      <w:r w:rsidR="00D92320">
        <w:rPr>
          <w:i/>
        </w:rPr>
        <w:t>A</w:t>
      </w:r>
      <w:r w:rsidR="00A5701C">
        <w:t xml:space="preserve"> at [34]-[35].  </w:t>
      </w:r>
    </w:p>
    <w:p w14:paraId="4B10B9CC" w14:textId="64F80DE4" w:rsidR="00E870D8" w:rsidRDefault="008F3E79" w:rsidP="008F3E79">
      <w:pPr>
        <w:pStyle w:val="ParaNumbering"/>
        <w:numPr>
          <w:ilvl w:val="0"/>
          <w:numId w:val="0"/>
        </w:numPr>
        <w:ind w:hanging="720"/>
      </w:pPr>
      <w:r>
        <w:rPr>
          <w:sz w:val="20"/>
        </w:rPr>
        <w:t>48</w:t>
      </w:r>
      <w:r>
        <w:rPr>
          <w:sz w:val="20"/>
        </w:rPr>
        <w:tab/>
      </w:r>
      <w:r w:rsidR="001C59B1">
        <w:t>Relevantly</w:t>
      </w:r>
      <w:r w:rsidR="00613DE6">
        <w:t xml:space="preserve"> for present purposes, t</w:t>
      </w:r>
      <w:r w:rsidR="000E4424">
        <w:t>he trial judge</w:t>
      </w:r>
      <w:r w:rsidR="00613DE6">
        <w:t xml:space="preserve"> in </w:t>
      </w:r>
      <w:r w:rsidR="00613DE6">
        <w:rPr>
          <w:i/>
          <w:iCs/>
        </w:rPr>
        <w:t>Clone</w:t>
      </w:r>
      <w:r w:rsidR="000E4424">
        <w:t xml:space="preserve"> ordered that</w:t>
      </w:r>
      <w:r w:rsidR="00613DE6">
        <w:t xml:space="preserve"> Clone </w:t>
      </w:r>
      <w:r w:rsidR="000E4424">
        <w:t xml:space="preserve">pay the costs of the application </w:t>
      </w:r>
      <w:r w:rsidR="003719B8">
        <w:t xml:space="preserve">to set aside the </w:t>
      </w:r>
      <w:r w:rsidR="00B97DDF">
        <w:t xml:space="preserve">earlier </w:t>
      </w:r>
      <w:r w:rsidR="003719B8">
        <w:t xml:space="preserve">judgment </w:t>
      </w:r>
      <w:r w:rsidR="000E4424">
        <w:t>on a</w:t>
      </w:r>
      <w:r w:rsidR="00613DE6">
        <w:t>n</w:t>
      </w:r>
      <w:r w:rsidR="000E4424">
        <w:t xml:space="preserve"> </w:t>
      </w:r>
      <w:r w:rsidR="00613DE6">
        <w:t>indemnity</w:t>
      </w:r>
      <w:r w:rsidR="000E4424">
        <w:t xml:space="preserve"> basis.  </w:t>
      </w:r>
      <w:r w:rsidR="007C556A">
        <w:t xml:space="preserve">The Full Court of the </w:t>
      </w:r>
      <w:r w:rsidR="007C556A">
        <w:lastRenderedPageBreak/>
        <w:t>Supreme Court of South Australia set aside that order</w:t>
      </w:r>
      <w:r w:rsidR="00613DE6">
        <w:t xml:space="preserve">, and ordered instead that </w:t>
      </w:r>
      <w:r w:rsidR="00FA4098">
        <w:t xml:space="preserve">Clone pay costs on </w:t>
      </w:r>
      <w:r w:rsidR="00426B93">
        <w:t xml:space="preserve">a </w:t>
      </w:r>
      <w:r w:rsidR="006E06E0">
        <w:t>party/party</w:t>
      </w:r>
      <w:r w:rsidR="00FA4098">
        <w:t xml:space="preserve"> basis</w:t>
      </w:r>
      <w:r w:rsidR="007C556A">
        <w:t xml:space="preserve">.  </w:t>
      </w:r>
      <w:r w:rsidR="00995840">
        <w:t>In so holding</w:t>
      </w:r>
      <w:r w:rsidR="00B97DDF">
        <w:t xml:space="preserve"> and in a passage relied upon by Rawson</w:t>
      </w:r>
      <w:r w:rsidR="00995840">
        <w:t xml:space="preserve">, </w:t>
      </w:r>
      <w:r w:rsidR="00894134">
        <w:t>Blue J</w:t>
      </w:r>
      <w:r w:rsidR="00995840">
        <w:t xml:space="preserve"> held at [407]</w:t>
      </w:r>
      <w:r w:rsidR="005E3C6F">
        <w:t xml:space="preserve"> </w:t>
      </w:r>
      <w:r w:rsidR="00B97DDF">
        <w:t>(</w:t>
      </w:r>
      <w:r w:rsidR="005E3C6F">
        <w:t xml:space="preserve">Stanley J agreeing at </w:t>
      </w:r>
      <w:r w:rsidR="000C60BB">
        <w:t>[420]</w:t>
      </w:r>
      <w:r w:rsidR="00B97DDF">
        <w:t>)</w:t>
      </w:r>
      <w:r w:rsidR="00995840">
        <w:t xml:space="preserve">: </w:t>
      </w:r>
    </w:p>
    <w:p w14:paraId="658C5DB3" w14:textId="4170ADF5" w:rsidR="00995840" w:rsidRDefault="00995840" w:rsidP="00995840">
      <w:pPr>
        <w:pStyle w:val="Quote1"/>
      </w:pPr>
      <w:r>
        <w:t>Given the nature of a set aside application, ordinarily the conduct of the opponent amounting to malpractice should be regarded as relevantly falling on the subject matter of the new action side of the line rather than being part of the conduct in or immediately preceding the new action or application.</w:t>
      </w:r>
      <w:r w:rsidR="00DD7D6B">
        <w:t xml:space="preserve"> </w:t>
      </w:r>
      <w:r>
        <w:t xml:space="preserve"> It follows that the exercise by the Judge of the costs discretion miscarried.</w:t>
      </w:r>
    </w:p>
    <w:p w14:paraId="20E6FDB2" w14:textId="5C4BDA06" w:rsidR="004E1E50" w:rsidRDefault="008F3E79" w:rsidP="008F3E79">
      <w:pPr>
        <w:pStyle w:val="ParaNumbering"/>
        <w:numPr>
          <w:ilvl w:val="0"/>
          <w:numId w:val="0"/>
        </w:numPr>
        <w:ind w:hanging="720"/>
      </w:pPr>
      <w:r>
        <w:rPr>
          <w:sz w:val="20"/>
        </w:rPr>
        <w:t>49</w:t>
      </w:r>
      <w:r>
        <w:rPr>
          <w:sz w:val="20"/>
        </w:rPr>
        <w:tab/>
      </w:r>
      <w:r w:rsidR="00894134">
        <w:t xml:space="preserve">Justice </w:t>
      </w:r>
      <w:r w:rsidR="000C60BB">
        <w:t xml:space="preserve">Blue </w:t>
      </w:r>
      <w:r w:rsidR="002C4545">
        <w:t xml:space="preserve">had also, relevantly, held that </w:t>
      </w:r>
      <w:r w:rsidR="00B24E83">
        <w:t>the “</w:t>
      </w:r>
      <w:r w:rsidR="00B24E83" w:rsidRPr="005E000D">
        <w:rPr>
          <w:i/>
        </w:rPr>
        <w:t>conduct of a party prior to the litigation commencing, and which is a direct cause of it</w:t>
      </w:r>
      <w:r w:rsidR="00B24E83">
        <w:t xml:space="preserve">” is not ordinarily </w:t>
      </w:r>
      <w:r w:rsidR="005A1768">
        <w:t>one of the “</w:t>
      </w:r>
      <w:r w:rsidR="005A1768" w:rsidRPr="005E000D">
        <w:rPr>
          <w:i/>
        </w:rPr>
        <w:t>circumstances warranting an indemnity costs order</w:t>
      </w:r>
      <w:r w:rsidR="005A1768">
        <w:t>”:  at [404]</w:t>
      </w:r>
      <w:r w:rsidR="0044495E">
        <w:t>, citing the authorities outlined above.</w:t>
      </w:r>
      <w:r w:rsidR="004E1E50" w:rsidRPr="004E1E50">
        <w:t xml:space="preserve"> </w:t>
      </w:r>
    </w:p>
    <w:p w14:paraId="62E9D156" w14:textId="4C907100" w:rsidR="00E62D01" w:rsidRDefault="008F3E79" w:rsidP="008F3E79">
      <w:pPr>
        <w:pStyle w:val="ParaNumbering"/>
        <w:numPr>
          <w:ilvl w:val="0"/>
          <w:numId w:val="0"/>
        </w:numPr>
        <w:ind w:hanging="720"/>
      </w:pPr>
      <w:r>
        <w:rPr>
          <w:sz w:val="20"/>
        </w:rPr>
        <w:t>50</w:t>
      </w:r>
      <w:r>
        <w:rPr>
          <w:sz w:val="20"/>
        </w:rPr>
        <w:tab/>
      </w:r>
      <w:r w:rsidR="004E1E50">
        <w:t xml:space="preserve">Subsequently, the Full Court’s decision in </w:t>
      </w:r>
      <w:r w:rsidR="004E1E50" w:rsidRPr="008D33EF">
        <w:rPr>
          <w:i/>
          <w:iCs/>
        </w:rPr>
        <w:t>Clone</w:t>
      </w:r>
      <w:r w:rsidR="004E1E50">
        <w:rPr>
          <w:i/>
          <w:iCs/>
        </w:rPr>
        <w:t xml:space="preserve"> SASFC</w:t>
      </w:r>
      <w:r w:rsidR="004E1E50" w:rsidRPr="008D33EF">
        <w:rPr>
          <w:i/>
          <w:iCs/>
        </w:rPr>
        <w:t xml:space="preserve"> </w:t>
      </w:r>
      <w:r w:rsidR="004E1E50">
        <w:t xml:space="preserve">was overturned </w:t>
      </w:r>
      <w:r w:rsidR="00F73638">
        <w:t xml:space="preserve">on appeal </w:t>
      </w:r>
      <w:r w:rsidR="004E1E50">
        <w:t xml:space="preserve">by a unanimous High Court in </w:t>
      </w:r>
      <w:r w:rsidR="004E1E50" w:rsidRPr="00231673">
        <w:rPr>
          <w:i/>
          <w:iCs/>
        </w:rPr>
        <w:t>Clone HC</w:t>
      </w:r>
      <w:r w:rsidR="00F73638">
        <w:rPr>
          <w:i/>
          <w:iCs/>
        </w:rPr>
        <w:t>A</w:t>
      </w:r>
      <w:r w:rsidR="004E1E50" w:rsidRPr="00231673">
        <w:t>.</w:t>
      </w:r>
      <w:r w:rsidR="004E1E50">
        <w:t xml:space="preserve">  By that decision, the High Court held that “</w:t>
      </w:r>
      <w:r w:rsidR="004E1E50" w:rsidRPr="000749A4">
        <w:rPr>
          <w:i/>
          <w:iCs/>
        </w:rPr>
        <w:t>the general power of a court to set aside its perfected judgments requires actual fraud</w:t>
      </w:r>
      <w:r w:rsidR="004E1E50">
        <w:t xml:space="preserve">”:  at [2].  The </w:t>
      </w:r>
      <w:r w:rsidR="00894134">
        <w:t xml:space="preserve">High </w:t>
      </w:r>
      <w:r w:rsidR="004E1E50">
        <w:t>Court rejected the</w:t>
      </w:r>
      <w:r w:rsidR="008621E5">
        <w:t xml:space="preserve"> proposition</w:t>
      </w:r>
      <w:r w:rsidR="004E1E50">
        <w:t xml:space="preserve"> that any lesser </w:t>
      </w:r>
      <w:r w:rsidR="008621E5">
        <w:t>allegation</w:t>
      </w:r>
      <w:r w:rsidR="004E1E50">
        <w:t xml:space="preserve"> </w:t>
      </w:r>
      <w:r w:rsidR="001A4D66">
        <w:t xml:space="preserve">could </w:t>
      </w:r>
      <w:r w:rsidR="004E1E50">
        <w:t xml:space="preserve">provide a basis </w:t>
      </w:r>
      <w:r w:rsidR="00C201C8">
        <w:t xml:space="preserve">on which to </w:t>
      </w:r>
      <w:r w:rsidR="004E1E50">
        <w:t xml:space="preserve">set aside a judgment: </w:t>
      </w:r>
      <w:r w:rsidR="004E1E50">
        <w:rPr>
          <w:i/>
          <w:iCs/>
        </w:rPr>
        <w:t>Clone HC</w:t>
      </w:r>
      <w:r w:rsidR="00C201C8">
        <w:rPr>
          <w:i/>
          <w:iCs/>
        </w:rPr>
        <w:t>A</w:t>
      </w:r>
      <w:r w:rsidR="004E1E50">
        <w:rPr>
          <w:i/>
          <w:iCs/>
        </w:rPr>
        <w:t xml:space="preserve"> </w:t>
      </w:r>
      <w:r w:rsidR="004E1E50">
        <w:t xml:space="preserve">at [55]-[62].  </w:t>
      </w:r>
      <w:r w:rsidR="00E632BF">
        <w:t>In other words, the</w:t>
      </w:r>
      <w:r w:rsidR="00946117">
        <w:t xml:space="preserve"> power to set aside a judgment obtained by f</w:t>
      </w:r>
      <w:r w:rsidR="000C3B10">
        <w:t>raud</w:t>
      </w:r>
      <w:r w:rsidR="00E632BF">
        <w:t xml:space="preserve"> </w:t>
      </w:r>
      <w:r w:rsidR="006A33AB">
        <w:t xml:space="preserve">was </w:t>
      </w:r>
      <w:r w:rsidR="000C3B10">
        <w:t xml:space="preserve">not </w:t>
      </w:r>
      <w:r w:rsidR="006A33AB">
        <w:t xml:space="preserve">to </w:t>
      </w:r>
      <w:r w:rsidR="000C3B10">
        <w:t>be “</w:t>
      </w:r>
      <w:r w:rsidR="000C3B10" w:rsidRPr="00FD7711">
        <w:rPr>
          <w:i/>
          <w:iCs/>
        </w:rPr>
        <w:t>diluted to allow, for instance, the judgment to be set aside for misconduct, accident, surprise or mistake</w:t>
      </w:r>
      <w:r w:rsidR="000C3B10">
        <w:t xml:space="preserve">”: </w:t>
      </w:r>
      <w:r w:rsidR="001A4D66">
        <w:t xml:space="preserve"> </w:t>
      </w:r>
      <w:r w:rsidR="000C3B10" w:rsidRPr="00FD7711">
        <w:rPr>
          <w:i/>
          <w:iCs/>
        </w:rPr>
        <w:t>Clone HC</w:t>
      </w:r>
      <w:r w:rsidR="00C201C8">
        <w:rPr>
          <w:i/>
          <w:iCs/>
        </w:rPr>
        <w:t>A</w:t>
      </w:r>
      <w:r w:rsidR="000C3B10">
        <w:t xml:space="preserve"> at [55].</w:t>
      </w:r>
    </w:p>
    <w:p w14:paraId="7E8FE1A1" w14:textId="1E4EB55D" w:rsidR="001A4D66" w:rsidRDefault="008F3E79" w:rsidP="008F3E79">
      <w:pPr>
        <w:pStyle w:val="ParaNumbering"/>
        <w:numPr>
          <w:ilvl w:val="0"/>
          <w:numId w:val="0"/>
        </w:numPr>
        <w:ind w:hanging="720"/>
      </w:pPr>
      <w:r>
        <w:rPr>
          <w:sz w:val="20"/>
        </w:rPr>
        <w:t>51</w:t>
      </w:r>
      <w:r>
        <w:rPr>
          <w:sz w:val="20"/>
        </w:rPr>
        <w:tab/>
      </w:r>
      <w:r w:rsidR="0098202A">
        <w:t>I do not</w:t>
      </w:r>
      <w:r w:rsidR="000C3B10">
        <w:t xml:space="preserve"> </w:t>
      </w:r>
      <w:r w:rsidR="0098202A">
        <w:t>consider that</w:t>
      </w:r>
      <w:r w:rsidR="001A4D66">
        <w:t xml:space="preserve"> the decision in</w:t>
      </w:r>
      <w:r w:rsidR="0098202A">
        <w:t xml:space="preserve"> </w:t>
      </w:r>
      <w:r w:rsidR="0098202A">
        <w:rPr>
          <w:i/>
          <w:iCs/>
        </w:rPr>
        <w:t xml:space="preserve">Clone </w:t>
      </w:r>
      <w:r w:rsidR="00362947" w:rsidRPr="00362947">
        <w:rPr>
          <w:i/>
          <w:iCs/>
        </w:rPr>
        <w:t>SASFC</w:t>
      </w:r>
      <w:r w:rsidR="00362947">
        <w:rPr>
          <w:iCs/>
        </w:rPr>
        <w:t xml:space="preserve"> </w:t>
      </w:r>
      <w:r w:rsidR="0098202A">
        <w:t>necessitate</w:t>
      </w:r>
      <w:r w:rsidR="001A4D66">
        <w:t>s</w:t>
      </w:r>
      <w:r w:rsidR="0098202A">
        <w:t xml:space="preserve"> a</w:t>
      </w:r>
      <w:r w:rsidR="00360EE9">
        <w:t>ny</w:t>
      </w:r>
      <w:r w:rsidR="0098202A">
        <w:t xml:space="preserve"> different outcome in this case. </w:t>
      </w:r>
      <w:r w:rsidR="00F926D0">
        <w:t xml:space="preserve"> The Full Court</w:t>
      </w:r>
      <w:r w:rsidR="00986BD0">
        <w:t xml:space="preserve"> in </w:t>
      </w:r>
      <w:r w:rsidR="00986BD0">
        <w:rPr>
          <w:i/>
        </w:rPr>
        <w:t xml:space="preserve">Clone SASFC </w:t>
      </w:r>
      <w:r w:rsidR="00F926D0">
        <w:t xml:space="preserve">did not </w:t>
      </w:r>
      <w:r w:rsidR="00F04B93">
        <w:t>decide</w:t>
      </w:r>
      <w:r w:rsidR="00F926D0">
        <w:t xml:space="preserve"> the question before this Court of whether, exceptionally, </w:t>
      </w:r>
      <w:r w:rsidR="00986BD0">
        <w:t xml:space="preserve">indemnity costs can be awarded in circumstances where </w:t>
      </w:r>
      <w:r w:rsidR="00F04B93">
        <w:t>a judgment is set aside on the basis of fraud.  It was concerned with an application to set aside an earlier judgment on lesser ground</w:t>
      </w:r>
      <w:r w:rsidR="009802C0">
        <w:t>s</w:t>
      </w:r>
      <w:r w:rsidR="00F04B93">
        <w:t xml:space="preserve"> of </w:t>
      </w:r>
      <w:r w:rsidR="000F0B45">
        <w:t>malpractice or misconduct</w:t>
      </w:r>
      <w:r w:rsidR="009802C0">
        <w:t>,</w:t>
      </w:r>
      <w:r w:rsidR="000F0B45">
        <w:t xml:space="preserve"> </w:t>
      </w:r>
      <w:r w:rsidR="009802C0">
        <w:t xml:space="preserve">being causes of action </w:t>
      </w:r>
      <w:r w:rsidR="000F0B45">
        <w:t xml:space="preserve">which the High Court held on appeal </w:t>
      </w:r>
      <w:r w:rsidR="009802C0">
        <w:t>were</w:t>
      </w:r>
      <w:r w:rsidR="00472203">
        <w:t xml:space="preserve"> </w:t>
      </w:r>
      <w:r w:rsidR="000F0B45">
        <w:t>misconceived.</w:t>
      </w:r>
      <w:r w:rsidR="003D524C">
        <w:t xml:space="preserve">  </w:t>
      </w:r>
    </w:p>
    <w:p w14:paraId="12B7D6FA" w14:textId="5A237BBC" w:rsidR="00071797" w:rsidRDefault="008F3E79" w:rsidP="008F3E79">
      <w:pPr>
        <w:pStyle w:val="ParaNumbering"/>
        <w:numPr>
          <w:ilvl w:val="0"/>
          <w:numId w:val="0"/>
        </w:numPr>
        <w:ind w:hanging="720"/>
      </w:pPr>
      <w:r>
        <w:rPr>
          <w:sz w:val="20"/>
        </w:rPr>
        <w:t>52</w:t>
      </w:r>
      <w:r>
        <w:rPr>
          <w:sz w:val="20"/>
        </w:rPr>
        <w:tab/>
      </w:r>
      <w:r w:rsidR="00472203">
        <w:t>Further, a</w:t>
      </w:r>
      <w:r w:rsidR="003D524C">
        <w:t>n action to set aside</w:t>
      </w:r>
      <w:r w:rsidR="008F2D8A">
        <w:t xml:space="preserve"> a judgment </w:t>
      </w:r>
      <w:r w:rsidR="003D524C">
        <w:t xml:space="preserve">procured by </w:t>
      </w:r>
      <w:r w:rsidR="008F2D8A">
        <w:t xml:space="preserve">fraud is of an entirely different </w:t>
      </w:r>
      <w:r w:rsidR="009802C0">
        <w:t>nature and quality</w:t>
      </w:r>
      <w:r w:rsidR="008A483F">
        <w:t xml:space="preserve"> </w:t>
      </w:r>
      <w:r w:rsidR="00094E74">
        <w:t xml:space="preserve">from a judgment </w:t>
      </w:r>
      <w:r w:rsidR="00852935">
        <w:t>affected by</w:t>
      </w:r>
      <w:r w:rsidR="008A483F">
        <w:t xml:space="preserve"> malpractice</w:t>
      </w:r>
      <w:r w:rsidR="00AB5223">
        <w:t xml:space="preserve"> </w:t>
      </w:r>
      <w:r w:rsidR="00E81C88">
        <w:t xml:space="preserve">and misconduct, </w:t>
      </w:r>
      <w:r w:rsidR="00AB5223">
        <w:t xml:space="preserve">and </w:t>
      </w:r>
      <w:r w:rsidR="00846D2A">
        <w:t xml:space="preserve">vindicates public interest </w:t>
      </w:r>
      <w:r w:rsidR="003D524C">
        <w:t>considerations of the highest order</w:t>
      </w:r>
      <w:r w:rsidR="00C92307">
        <w:t>,</w:t>
      </w:r>
      <w:r w:rsidR="00E81C88" w:rsidRPr="00E81C88">
        <w:t xml:space="preserve"> </w:t>
      </w:r>
      <w:r w:rsidR="00E81C88">
        <w:t>as I have explained</w:t>
      </w:r>
      <w:r w:rsidR="008F2D8A">
        <w:t xml:space="preserve">.  </w:t>
      </w:r>
      <w:r w:rsidR="00E81C88">
        <w:t>It</w:t>
      </w:r>
      <w:r w:rsidR="00054555">
        <w:t xml:space="preserve"> is necessary in an action </w:t>
      </w:r>
      <w:r w:rsidR="004D5E48">
        <w:t xml:space="preserve">to </w:t>
      </w:r>
      <w:r w:rsidR="00E52C7C">
        <w:t>set aside a judgment for</w:t>
      </w:r>
      <w:r w:rsidR="004D5E48">
        <w:t xml:space="preserve"> fraud </w:t>
      </w:r>
      <w:r w:rsidR="00054555">
        <w:t>to establish</w:t>
      </w:r>
      <w:r w:rsidR="00283CA3">
        <w:t xml:space="preserve"> “</w:t>
      </w:r>
      <w:r w:rsidR="00283CA3" w:rsidRPr="00FD7711">
        <w:rPr>
          <w:i/>
          <w:iCs/>
        </w:rPr>
        <w:t>actual fraud … the person chargeable with it</w:t>
      </w:r>
      <w:r w:rsidR="00263690" w:rsidRPr="00FD7711">
        <w:rPr>
          <w:i/>
          <w:iCs/>
        </w:rPr>
        <w:t xml:space="preserve"> … acting in order to take an </w:t>
      </w:r>
      <w:r w:rsidR="00263690" w:rsidRPr="00155B87">
        <w:rPr>
          <w:bCs/>
          <w:i/>
          <w:iCs/>
        </w:rPr>
        <w:t xml:space="preserve">undue advantage of some other </w:t>
      </w:r>
      <w:r w:rsidR="006A37FF" w:rsidRPr="00155B87">
        <w:rPr>
          <w:bCs/>
          <w:i/>
          <w:iCs/>
        </w:rPr>
        <w:t xml:space="preserve">person </w:t>
      </w:r>
      <w:r w:rsidR="006A37FF" w:rsidRPr="00FD7711">
        <w:rPr>
          <w:b/>
          <w:bCs/>
          <w:i/>
          <w:iCs/>
        </w:rPr>
        <w:t>for the purpose of actually and knowingly defrauding him</w:t>
      </w:r>
      <w:r w:rsidR="006A37FF">
        <w:t>”</w:t>
      </w:r>
      <w:r w:rsidR="008B2448">
        <w:t xml:space="preserve">: </w:t>
      </w:r>
      <w:r w:rsidR="008B2448" w:rsidRPr="00FD7711">
        <w:rPr>
          <w:i/>
          <w:iCs/>
        </w:rPr>
        <w:t>Clone HC</w:t>
      </w:r>
      <w:r w:rsidR="007740FF">
        <w:rPr>
          <w:i/>
          <w:iCs/>
        </w:rPr>
        <w:t>A</w:t>
      </w:r>
      <w:r w:rsidR="008B2448" w:rsidRPr="00FD7711">
        <w:rPr>
          <w:i/>
          <w:iCs/>
        </w:rPr>
        <w:t xml:space="preserve"> </w:t>
      </w:r>
      <w:r w:rsidR="008B2448">
        <w:t xml:space="preserve">at [55], citing </w:t>
      </w:r>
      <w:r w:rsidR="008B2448" w:rsidRPr="00FD7711">
        <w:rPr>
          <w:b/>
          <w:bCs/>
          <w:i/>
          <w:iCs/>
        </w:rPr>
        <w:t>Patch</w:t>
      </w:r>
      <w:r w:rsidR="008B2448" w:rsidRPr="00FD7711">
        <w:rPr>
          <w:i/>
          <w:iCs/>
        </w:rPr>
        <w:t xml:space="preserve"> v Ward</w:t>
      </w:r>
      <w:r w:rsidR="008B2448" w:rsidRPr="008B2448">
        <w:t xml:space="preserve"> (1867) LR 3 Ch App 203 at 207 </w:t>
      </w:r>
      <w:r w:rsidR="008B2448">
        <w:t xml:space="preserve">(Lord Cairns) </w:t>
      </w:r>
      <w:r w:rsidR="006A37FF">
        <w:t xml:space="preserve">(emphasis added).  </w:t>
      </w:r>
      <w:r w:rsidR="00A669D9">
        <w:t xml:space="preserve">Mere </w:t>
      </w:r>
      <w:r w:rsidR="004964C8">
        <w:t xml:space="preserve">mistakes, accidents </w:t>
      </w:r>
      <w:r w:rsidR="005121F3">
        <w:t>or misconduct</w:t>
      </w:r>
      <w:r w:rsidR="004964C8">
        <w:t xml:space="preserve"> </w:t>
      </w:r>
      <w:r w:rsidR="005121F3">
        <w:t>are</w:t>
      </w:r>
      <w:r w:rsidR="00A669D9">
        <w:t xml:space="preserve"> not sufficient; only “</w:t>
      </w:r>
      <w:r w:rsidR="00A669D9" w:rsidRPr="00FD7711">
        <w:rPr>
          <w:i/>
          <w:iCs/>
        </w:rPr>
        <w:t>positive and actual fraud</w:t>
      </w:r>
      <w:r w:rsidR="00A669D9">
        <w:t>”</w:t>
      </w:r>
      <w:r w:rsidR="00CA6DC3">
        <w:t xml:space="preserve"> in the sense of </w:t>
      </w:r>
      <w:r w:rsidR="00916CCC">
        <w:t>“</w:t>
      </w:r>
      <w:r w:rsidR="00916CCC" w:rsidRPr="007740FF">
        <w:rPr>
          <w:i/>
          <w:iCs/>
        </w:rPr>
        <w:t>a mediated and intentional contrivance to keep the parties</w:t>
      </w:r>
      <w:r w:rsidR="004964C8" w:rsidRPr="007740FF">
        <w:rPr>
          <w:i/>
          <w:iCs/>
        </w:rPr>
        <w:t xml:space="preserve"> and the Court in ignorance of the real facts</w:t>
      </w:r>
      <w:r w:rsidR="004964C8">
        <w:t>”</w:t>
      </w:r>
      <w:r w:rsidR="00A669D9">
        <w:t xml:space="preserve"> will </w:t>
      </w:r>
      <w:r w:rsidR="00CA6DC3">
        <w:t xml:space="preserve">suffice to </w:t>
      </w:r>
      <w:r w:rsidR="00A669D9">
        <w:t xml:space="preserve">set </w:t>
      </w:r>
      <w:r w:rsidR="00A669D9">
        <w:lastRenderedPageBreak/>
        <w:t>aside the</w:t>
      </w:r>
      <w:r w:rsidR="00CA6DC3">
        <w:t xml:space="preserve"> earlier</w:t>
      </w:r>
      <w:r w:rsidR="00A669D9">
        <w:t xml:space="preserve"> judgment: ibid</w:t>
      </w:r>
      <w:r w:rsidR="00F223CF">
        <w:t xml:space="preserve">, citing </w:t>
      </w:r>
      <w:r w:rsidR="00F223CF" w:rsidRPr="00FD7711">
        <w:rPr>
          <w:i/>
          <w:iCs/>
        </w:rPr>
        <w:t xml:space="preserve">Patch </w:t>
      </w:r>
      <w:r w:rsidR="00F223CF">
        <w:t>at 212-213 (Lord Cairns)</w:t>
      </w:r>
      <w:r w:rsidR="00AB5223">
        <w:t xml:space="preserve">; see generally the </w:t>
      </w:r>
      <w:r w:rsidR="00AB5223" w:rsidRPr="00AF5EF5">
        <w:rPr>
          <w:i/>
          <w:iCs/>
        </w:rPr>
        <w:t>Rawson Primary Judgment</w:t>
      </w:r>
      <w:r w:rsidR="00AB5223">
        <w:t xml:space="preserve"> at [57]-[78], especially [63]-[64].  </w:t>
      </w:r>
    </w:p>
    <w:p w14:paraId="3CE483A7" w14:textId="560A09B6" w:rsidR="00EB1223" w:rsidRDefault="008F3E79" w:rsidP="008F3E79">
      <w:pPr>
        <w:pStyle w:val="ParaNumbering"/>
        <w:numPr>
          <w:ilvl w:val="0"/>
          <w:numId w:val="0"/>
        </w:numPr>
        <w:ind w:hanging="720"/>
      </w:pPr>
      <w:r>
        <w:rPr>
          <w:sz w:val="20"/>
        </w:rPr>
        <w:t>53</w:t>
      </w:r>
      <w:r>
        <w:rPr>
          <w:sz w:val="20"/>
        </w:rPr>
        <w:tab/>
      </w:r>
      <w:r w:rsidR="002A4CF9">
        <w:t xml:space="preserve">In those circumstances, </w:t>
      </w:r>
      <w:r w:rsidR="001B4578">
        <w:t xml:space="preserve">and in the context of awarding indemnity costs, </w:t>
      </w:r>
      <w:r w:rsidR="004C481C">
        <w:t>I do not consider there to be a</w:t>
      </w:r>
      <w:r w:rsidR="001F5824">
        <w:t xml:space="preserve">ny relevant </w:t>
      </w:r>
      <w:r w:rsidR="004C481C">
        <w:t xml:space="preserve">analogy between judgments obtained through fraud, and judgments obtained through malpractice.  Rather, as I have explained above, </w:t>
      </w:r>
      <w:r w:rsidR="00606BE4">
        <w:t xml:space="preserve">the relevant analogy </w:t>
      </w:r>
      <w:r w:rsidR="004C481C">
        <w:t>lies</w:t>
      </w:r>
      <w:r w:rsidR="00606BE4">
        <w:t xml:space="preserve"> with contempt of </w:t>
      </w:r>
      <w:r w:rsidR="001F5824">
        <w:t>c</w:t>
      </w:r>
      <w:r w:rsidR="00606BE4">
        <w:t xml:space="preserve">ourt.  As with fraud, </w:t>
      </w:r>
      <w:r w:rsidR="004764A0">
        <w:t>contempt of court hinges upon the intentionality of the relevant misconduct</w:t>
      </w:r>
      <w:r w:rsidR="001E1038">
        <w:t>:</w:t>
      </w:r>
      <w:r w:rsidR="004764A0">
        <w:t xml:space="preserve"> </w:t>
      </w:r>
      <w:r w:rsidR="008E17DD" w:rsidRPr="00F14799">
        <w:rPr>
          <w:i/>
          <w:iCs/>
        </w:rPr>
        <w:t xml:space="preserve">Principal Registrar, Supreme Court of New South Wales v </w:t>
      </w:r>
      <w:proofErr w:type="spellStart"/>
      <w:r w:rsidR="008E17DD" w:rsidRPr="00F14799">
        <w:rPr>
          <w:i/>
          <w:iCs/>
        </w:rPr>
        <w:t>Katelaris</w:t>
      </w:r>
      <w:proofErr w:type="spellEnd"/>
      <w:r w:rsidR="008E17DD" w:rsidRPr="00F14799">
        <w:t xml:space="preserve"> [2001] NSWSC 506 </w:t>
      </w:r>
      <w:r w:rsidR="008E17DD">
        <w:t>at [23] (McLellan J).</w:t>
      </w:r>
      <w:r w:rsidR="005F4F2A">
        <w:t xml:space="preserve">  </w:t>
      </w:r>
      <w:r w:rsidR="00A66C1A">
        <w:t xml:space="preserve">Likewise, </w:t>
      </w:r>
      <w:r w:rsidR="00EB1223">
        <w:t xml:space="preserve">as with the Court’s power to set aside fraud, the underlying rationale of </w:t>
      </w:r>
      <w:r w:rsidR="00BE4FE5">
        <w:t xml:space="preserve">every exercise of the </w:t>
      </w:r>
      <w:r w:rsidR="00EB1223">
        <w:t xml:space="preserve">contempt of court </w:t>
      </w:r>
      <w:r w:rsidR="004927AF">
        <w:t>power</w:t>
      </w:r>
      <w:r w:rsidR="00EB1223">
        <w:t xml:space="preserve"> is the necessity to “</w:t>
      </w:r>
      <w:r w:rsidR="00EB1223" w:rsidRPr="00500B9F">
        <w:rPr>
          <w:i/>
        </w:rPr>
        <w:t>uphold and protect the effective administration of justice</w:t>
      </w:r>
      <w:r w:rsidR="00EB1223">
        <w:t xml:space="preserve">”: </w:t>
      </w:r>
      <w:r w:rsidR="00F43C6B" w:rsidRPr="00F14799">
        <w:rPr>
          <w:i/>
          <w:iCs/>
        </w:rPr>
        <w:t xml:space="preserve">Australasian Meat Industry Employees Union v </w:t>
      </w:r>
      <w:proofErr w:type="spellStart"/>
      <w:r w:rsidR="00F43C6B" w:rsidRPr="00F14799">
        <w:rPr>
          <w:i/>
          <w:iCs/>
        </w:rPr>
        <w:t>Mudginberri</w:t>
      </w:r>
      <w:proofErr w:type="spellEnd"/>
      <w:r w:rsidR="00F43C6B" w:rsidRPr="00F14799">
        <w:rPr>
          <w:i/>
          <w:iCs/>
        </w:rPr>
        <w:t xml:space="preserve"> Station Pty Ltd </w:t>
      </w:r>
      <w:r w:rsidR="00F43C6B" w:rsidRPr="00F14799">
        <w:t>[1986] HCA 46; (1986) 161 CLR 98</w:t>
      </w:r>
      <w:r w:rsidR="00F43C6B">
        <w:t xml:space="preserve"> at </w:t>
      </w:r>
      <w:r w:rsidR="00F73231">
        <w:t>107 (Gibbs CJ, Mason, Wilson and Deane JJ).</w:t>
      </w:r>
      <w:r w:rsidR="00F43C6B">
        <w:t xml:space="preserve"> </w:t>
      </w:r>
    </w:p>
    <w:p w14:paraId="661E00F7" w14:textId="7E211405" w:rsidR="000334CB" w:rsidRDefault="008F3E79" w:rsidP="008F3E79">
      <w:pPr>
        <w:pStyle w:val="ParaNumbering"/>
        <w:numPr>
          <w:ilvl w:val="0"/>
          <w:numId w:val="0"/>
        </w:numPr>
        <w:ind w:hanging="720"/>
      </w:pPr>
      <w:r>
        <w:rPr>
          <w:sz w:val="20"/>
        </w:rPr>
        <w:t>54</w:t>
      </w:r>
      <w:r>
        <w:rPr>
          <w:sz w:val="20"/>
        </w:rPr>
        <w:tab/>
      </w:r>
      <w:r w:rsidR="002E62EF">
        <w:t xml:space="preserve">For those reasons, </w:t>
      </w:r>
      <w:r w:rsidR="00A01951">
        <w:t>I</w:t>
      </w:r>
      <w:r w:rsidR="00D11918">
        <w:t xml:space="preserve"> consider that</w:t>
      </w:r>
      <w:r w:rsidR="00A01951">
        <w:t xml:space="preserve"> indemnity costs </w:t>
      </w:r>
      <w:r w:rsidR="00D11918">
        <w:t xml:space="preserve">should be awarded </w:t>
      </w:r>
      <w:r w:rsidR="00A01951">
        <w:t xml:space="preserve">for the entirety of the proceedings (save for the costs application).  </w:t>
      </w:r>
      <w:r w:rsidR="00457D45">
        <w:t>The remain</w:t>
      </w:r>
      <w:r w:rsidR="00500B9F">
        <w:t>d</w:t>
      </w:r>
      <w:r w:rsidR="00457D45">
        <w:t xml:space="preserve">er of these reasons address the Commissioner’s </w:t>
      </w:r>
      <w:r w:rsidR="00C671F6">
        <w:t xml:space="preserve">alternative </w:t>
      </w:r>
      <w:r w:rsidR="00457D45">
        <w:t xml:space="preserve">ground </w:t>
      </w:r>
      <w:r w:rsidR="00C671F6">
        <w:t xml:space="preserve">in the event </w:t>
      </w:r>
      <w:r w:rsidR="00D11918">
        <w:t xml:space="preserve">that I am wrong in </w:t>
      </w:r>
      <w:r w:rsidR="00C671F6">
        <w:t>upholding the Commissioner’s</w:t>
      </w:r>
      <w:r w:rsidR="00D11918">
        <w:t xml:space="preserve"> </w:t>
      </w:r>
      <w:r w:rsidR="000334CB">
        <w:t xml:space="preserve">first ground. </w:t>
      </w:r>
      <w:r w:rsidR="00457D45">
        <w:t xml:space="preserve"> </w:t>
      </w:r>
    </w:p>
    <w:p w14:paraId="3A2E4A69" w14:textId="1841755A" w:rsidR="00004AAB" w:rsidRDefault="008F3E79" w:rsidP="008F3E79">
      <w:pPr>
        <w:pStyle w:val="Heading5"/>
        <w:numPr>
          <w:ilvl w:val="0"/>
          <w:numId w:val="0"/>
        </w:numPr>
        <w:tabs>
          <w:tab w:val="left" w:pos="1134"/>
        </w:tabs>
        <w:ind w:left="1134" w:hanging="1134"/>
        <w:rPr>
          <w:caps/>
        </w:rPr>
      </w:pPr>
      <w:bookmarkStart w:id="27" w:name="_Ref156496390"/>
      <w:r>
        <w:rPr>
          <w:caps/>
        </w:rPr>
        <w:t>5.</w:t>
      </w:r>
      <w:r>
        <w:rPr>
          <w:caps/>
        </w:rPr>
        <w:tab/>
      </w:r>
      <w:r w:rsidR="001D165A">
        <w:rPr>
          <w:caps/>
        </w:rPr>
        <w:t>GROUND TWO</w:t>
      </w:r>
      <w:r w:rsidR="00AC6E93">
        <w:rPr>
          <w:caps/>
        </w:rPr>
        <w:t>: RAWSON’S CONDUCT IN THE PRESENT PROCEEDING</w:t>
      </w:r>
      <w:bookmarkEnd w:id="27"/>
    </w:p>
    <w:p w14:paraId="793267F4" w14:textId="1ACCAF7D" w:rsidR="00184493" w:rsidRPr="00C92307" w:rsidRDefault="008F3E79" w:rsidP="008F3E79">
      <w:pPr>
        <w:pStyle w:val="Heading6"/>
        <w:numPr>
          <w:ilvl w:val="0"/>
          <w:numId w:val="0"/>
        </w:numPr>
        <w:tabs>
          <w:tab w:val="left" w:pos="1134"/>
        </w:tabs>
        <w:ind w:left="1134" w:hanging="1134"/>
      </w:pPr>
      <w:bookmarkStart w:id="28" w:name="_Ref156496391"/>
      <w:r w:rsidRPr="00C92307">
        <w:t>5.1</w:t>
      </w:r>
      <w:r w:rsidRPr="00C92307">
        <w:tab/>
      </w:r>
      <w:r w:rsidR="00184493">
        <w:t>The issue</w:t>
      </w:r>
      <w:bookmarkEnd w:id="28"/>
    </w:p>
    <w:p w14:paraId="1CE96448" w14:textId="3D9F13F0" w:rsidR="00004AAB" w:rsidRDefault="008F3E79" w:rsidP="008F3E79">
      <w:pPr>
        <w:pStyle w:val="ParaNumbering"/>
        <w:numPr>
          <w:ilvl w:val="0"/>
          <w:numId w:val="0"/>
        </w:numPr>
        <w:ind w:hanging="720"/>
      </w:pPr>
      <w:r>
        <w:rPr>
          <w:sz w:val="20"/>
        </w:rPr>
        <w:t>55</w:t>
      </w:r>
      <w:r>
        <w:rPr>
          <w:sz w:val="20"/>
        </w:rPr>
        <w:tab/>
      </w:r>
      <w:r w:rsidR="00004AAB">
        <w:t xml:space="preserve">The second ground on which the Commissioner seeks indemnity costs is that Rawson’s conduct in the proceedings was so delinquent as to warrant an indemnity costs order for the entirety of the proceedings.  The Commissioner relied on two features of Rawson’s </w:t>
      </w:r>
      <w:r w:rsidR="00B63569">
        <w:t xml:space="preserve">conduct </w:t>
      </w:r>
      <w:r w:rsidR="00004AAB">
        <w:t>in support of this ground:</w:t>
      </w:r>
    </w:p>
    <w:p w14:paraId="40B8D23B" w14:textId="4D407A42" w:rsidR="00004AAB" w:rsidRDefault="008F3E79" w:rsidP="008F3E79">
      <w:pPr>
        <w:pStyle w:val="ListNo1"/>
        <w:numPr>
          <w:ilvl w:val="0"/>
          <w:numId w:val="0"/>
        </w:numPr>
        <w:tabs>
          <w:tab w:val="left" w:pos="720"/>
        </w:tabs>
        <w:ind w:left="720" w:hanging="720"/>
      </w:pPr>
      <w:r>
        <w:t>(1)</w:t>
      </w:r>
      <w:r>
        <w:tab/>
      </w:r>
      <w:r w:rsidR="00004AAB">
        <w:t xml:space="preserve">Rawson’s failure to admit the </w:t>
      </w:r>
      <w:r w:rsidR="00D16790">
        <w:t xml:space="preserve">underlying </w:t>
      </w:r>
      <w:r w:rsidR="00004AAB">
        <w:t>fraudulent conduct</w:t>
      </w:r>
      <w:r w:rsidR="00D16790">
        <w:t>,</w:t>
      </w:r>
      <w:r w:rsidR="00004AAB">
        <w:t xml:space="preserve"> and its positive defence of that conduct as genuine, despite Rawson having full knowledge of that fraud;  </w:t>
      </w:r>
    </w:p>
    <w:p w14:paraId="0D66047E" w14:textId="52CE3E7F" w:rsidR="00004AAB" w:rsidRDefault="008F3E79" w:rsidP="008F3E79">
      <w:pPr>
        <w:pStyle w:val="ListNo1"/>
        <w:numPr>
          <w:ilvl w:val="0"/>
          <w:numId w:val="0"/>
        </w:numPr>
        <w:tabs>
          <w:tab w:val="left" w:pos="720"/>
        </w:tabs>
        <w:ind w:left="720" w:hanging="720"/>
      </w:pPr>
      <w:r>
        <w:t>(2)</w:t>
      </w:r>
      <w:r>
        <w:tab/>
      </w:r>
      <w:r w:rsidR="00004AAB">
        <w:t xml:space="preserve">Rawson’s conduct </w:t>
      </w:r>
      <w:r w:rsidR="00D16790">
        <w:t>in “</w:t>
      </w:r>
      <w:r w:rsidR="00004AAB" w:rsidRPr="00EE78AB">
        <w:rPr>
          <w:i/>
          <w:iCs/>
        </w:rPr>
        <w:t>vigorously contest[</w:t>
      </w:r>
      <w:proofErr w:type="spellStart"/>
      <w:r w:rsidR="00004AAB" w:rsidRPr="00EE78AB">
        <w:rPr>
          <w:i/>
          <w:iCs/>
        </w:rPr>
        <w:t>ing</w:t>
      </w:r>
      <w:proofErr w:type="spellEnd"/>
      <w:r w:rsidR="00004AAB" w:rsidRPr="00EE78AB">
        <w:rPr>
          <w:i/>
          <w:iCs/>
        </w:rPr>
        <w:t>] … in Australia and Israel</w:t>
      </w:r>
      <w:r w:rsidR="00004AAB">
        <w:t xml:space="preserve">” proceedings relating to the disclosure of evidence pertaining to the fraud: </w:t>
      </w:r>
      <w:r w:rsidR="00004AAB" w:rsidRPr="00EE78AB">
        <w:rPr>
          <w:i/>
          <w:iCs/>
        </w:rPr>
        <w:t xml:space="preserve">Rawson Primary Judgment </w:t>
      </w:r>
      <w:r w:rsidR="00004AAB">
        <w:t xml:space="preserve">at [623].  </w:t>
      </w:r>
    </w:p>
    <w:p w14:paraId="1DC70E32" w14:textId="3C779650" w:rsidR="00004AAB" w:rsidRDefault="008F3E79" w:rsidP="008F3E79">
      <w:pPr>
        <w:pStyle w:val="ParaNumbering"/>
        <w:numPr>
          <w:ilvl w:val="0"/>
          <w:numId w:val="0"/>
        </w:numPr>
        <w:ind w:hanging="720"/>
      </w:pPr>
      <w:r>
        <w:rPr>
          <w:sz w:val="20"/>
        </w:rPr>
        <w:t>56</w:t>
      </w:r>
      <w:r>
        <w:rPr>
          <w:sz w:val="20"/>
        </w:rPr>
        <w:tab/>
      </w:r>
      <w:r w:rsidR="00004AAB">
        <w:t xml:space="preserve">For the reasons set out below, if I had not allowed indemnity costs on ground </w:t>
      </w:r>
      <w:r w:rsidR="004639D2">
        <w:t>one</w:t>
      </w:r>
      <w:r w:rsidR="00004AAB">
        <w:t xml:space="preserve">, I would have </w:t>
      </w:r>
      <w:r w:rsidR="009D53A0">
        <w:t>ordered</w:t>
      </w:r>
      <w:r w:rsidR="00004AAB">
        <w:t xml:space="preserve"> that Rawson pay indemnity costs from the date on which it </w:t>
      </w:r>
      <w:r w:rsidR="00004AAB" w:rsidRPr="00E61F47">
        <w:rPr>
          <w:i/>
          <w:iCs/>
        </w:rPr>
        <w:t xml:space="preserve">positively </w:t>
      </w:r>
      <w:r w:rsidR="00004AAB">
        <w:t xml:space="preserve">defended the back-to-back loans, being 27 August 2020.  However, I would have declined to </w:t>
      </w:r>
      <w:r w:rsidR="00184493">
        <w:t>award</w:t>
      </w:r>
      <w:r w:rsidR="00004AAB">
        <w:t xml:space="preserve"> </w:t>
      </w:r>
      <w:r w:rsidR="00004AAB">
        <w:lastRenderedPageBreak/>
        <w:t xml:space="preserve">indemnity costs prior to that date.  To explain why I would have exercised my discretion in this way, it is necessary first to outline certain salient aspects of the chronology in the </w:t>
      </w:r>
      <w:r w:rsidR="00004AAB" w:rsidRPr="00E61F47">
        <w:rPr>
          <w:i/>
          <w:iCs/>
        </w:rPr>
        <w:t xml:space="preserve">Rawson Primary Judgment </w:t>
      </w:r>
      <w:r w:rsidR="00004AAB">
        <w:t>proceedings.</w:t>
      </w:r>
    </w:p>
    <w:p w14:paraId="78786562" w14:textId="758B05B1" w:rsidR="00004AAB" w:rsidRDefault="008F3E79" w:rsidP="008F3E79">
      <w:pPr>
        <w:pStyle w:val="Heading6"/>
        <w:numPr>
          <w:ilvl w:val="0"/>
          <w:numId w:val="0"/>
        </w:numPr>
        <w:tabs>
          <w:tab w:val="left" w:pos="1134"/>
        </w:tabs>
        <w:ind w:left="1134" w:hanging="1134"/>
      </w:pPr>
      <w:bookmarkStart w:id="29" w:name="_Ref156496392"/>
      <w:r>
        <w:t>5.2</w:t>
      </w:r>
      <w:r>
        <w:tab/>
      </w:r>
      <w:r w:rsidR="00004AAB">
        <w:t xml:space="preserve">Salient </w:t>
      </w:r>
      <w:r w:rsidR="006A5687">
        <w:t>a</w:t>
      </w:r>
      <w:r w:rsidR="00004AAB">
        <w:t xml:space="preserve">spects of the </w:t>
      </w:r>
      <w:r w:rsidR="006A5687">
        <w:t>c</w:t>
      </w:r>
      <w:r w:rsidR="00004AAB">
        <w:t>hronology</w:t>
      </w:r>
      <w:bookmarkEnd w:id="29"/>
      <w:r w:rsidR="00004AAB">
        <w:t xml:space="preserve"> </w:t>
      </w:r>
    </w:p>
    <w:p w14:paraId="3DD65CE8" w14:textId="7CDAEB8A" w:rsidR="00004AAB" w:rsidRDefault="008F3E79" w:rsidP="008F3E79">
      <w:pPr>
        <w:pStyle w:val="ParaNumbering"/>
        <w:numPr>
          <w:ilvl w:val="0"/>
          <w:numId w:val="0"/>
        </w:numPr>
        <w:ind w:hanging="720"/>
      </w:pPr>
      <w:r>
        <w:rPr>
          <w:sz w:val="20"/>
        </w:rPr>
        <w:t>57</w:t>
      </w:r>
      <w:r>
        <w:rPr>
          <w:sz w:val="20"/>
        </w:rPr>
        <w:tab/>
      </w:r>
      <w:r w:rsidR="00004AAB">
        <w:t xml:space="preserve">Following the </w:t>
      </w:r>
      <w:r w:rsidR="00004AAB" w:rsidRPr="0095502B">
        <w:rPr>
          <w:i/>
          <w:iCs/>
        </w:rPr>
        <w:t xml:space="preserve">Rawson (FCAFC) </w:t>
      </w:r>
      <w:r w:rsidR="00004AAB">
        <w:t xml:space="preserve">decision, the Commissioner obtained a substantial body of new evidence which proved that the Full Court decision was obtained by fraud.  This involved taking a number of steps in this proceeding. </w:t>
      </w:r>
    </w:p>
    <w:p w14:paraId="63B7174E" w14:textId="60D8EBCC" w:rsidR="00004AAB" w:rsidRDefault="008F3E79" w:rsidP="008F3E79">
      <w:pPr>
        <w:pStyle w:val="ParaNumbering"/>
        <w:numPr>
          <w:ilvl w:val="0"/>
          <w:numId w:val="0"/>
        </w:numPr>
        <w:ind w:hanging="720"/>
      </w:pPr>
      <w:r>
        <w:rPr>
          <w:sz w:val="20"/>
        </w:rPr>
        <w:t>58</w:t>
      </w:r>
      <w:r>
        <w:rPr>
          <w:sz w:val="20"/>
        </w:rPr>
        <w:tab/>
      </w:r>
      <w:r w:rsidR="00004AAB" w:rsidRPr="00E529BE">
        <w:rPr>
          <w:b/>
          <w:bCs/>
          <w:i/>
          <w:iCs/>
        </w:rPr>
        <w:t>First</w:t>
      </w:r>
      <w:r w:rsidR="00004AAB" w:rsidRPr="006B2F58">
        <w:t xml:space="preserve">, </w:t>
      </w:r>
      <w:r w:rsidR="00004AAB">
        <w:t xml:space="preserve">by an interlocutory application filed on 12 February 2016, the Commissioner sought orders </w:t>
      </w:r>
      <w:r w:rsidR="00004AAB" w:rsidRPr="00EE7928">
        <w:t xml:space="preserve">pursuant to </w:t>
      </w:r>
      <w:r w:rsidR="00004AAB" w:rsidRPr="00F14799">
        <w:t xml:space="preserve">s 7 of the </w:t>
      </w:r>
      <w:r w:rsidR="00004AAB" w:rsidRPr="00F14799">
        <w:rPr>
          <w:b/>
          <w:i/>
        </w:rPr>
        <w:t>Foreign Evidence Act</w:t>
      </w:r>
      <w:r w:rsidR="00004AAB" w:rsidRPr="00F14799">
        <w:rPr>
          <w:i/>
        </w:rPr>
        <w:t xml:space="preserve"> 1994 </w:t>
      </w:r>
      <w:r w:rsidR="00004AAB" w:rsidRPr="00F14799">
        <w:t>(</w:t>
      </w:r>
      <w:proofErr w:type="spellStart"/>
      <w:r w:rsidR="00004AAB" w:rsidRPr="00F14799">
        <w:t>Cth</w:t>
      </w:r>
      <w:proofErr w:type="spellEnd"/>
      <w:r w:rsidR="00004AAB" w:rsidRPr="00F14799">
        <w:t>)</w:t>
      </w:r>
      <w:r w:rsidR="00004AAB" w:rsidRPr="00EE7928">
        <w:t xml:space="preserve"> </w:t>
      </w:r>
      <w:r w:rsidR="00004AAB">
        <w:t xml:space="preserve">for a letter of request </w:t>
      </w:r>
      <w:r w:rsidR="004639D2">
        <w:t xml:space="preserve">to </w:t>
      </w:r>
      <w:r w:rsidR="00004AAB">
        <w:t xml:space="preserve">be sent to the judicial authorities of Israel to take the evidence of </w:t>
      </w:r>
      <w:r w:rsidR="00004AAB" w:rsidRPr="00F44EEA">
        <w:t>Ms Lilach Asher-</w:t>
      </w:r>
      <w:proofErr w:type="spellStart"/>
      <w:r w:rsidR="00004AAB" w:rsidRPr="00F44EEA">
        <w:t>Topilsky</w:t>
      </w:r>
      <w:proofErr w:type="spellEnd"/>
      <w:r w:rsidR="00004AAB" w:rsidRPr="00F44EEA">
        <w:t xml:space="preserve">, Chairwoman of the Board of </w:t>
      </w:r>
      <w:r w:rsidR="00004AAB">
        <w:t>the Mercantile Discount Bank (</w:t>
      </w:r>
      <w:r w:rsidR="00004AAB">
        <w:rPr>
          <w:b/>
          <w:bCs/>
        </w:rPr>
        <w:t>MDB</w:t>
      </w:r>
      <w:r w:rsidR="00004AAB">
        <w:t>)</w:t>
      </w:r>
      <w:r w:rsidR="00004AAB" w:rsidRPr="00F44EEA">
        <w:t>, and to have Ms Asher-</w:t>
      </w:r>
      <w:proofErr w:type="spellStart"/>
      <w:r w:rsidR="00004AAB" w:rsidRPr="00F44EEA">
        <w:t>Topilsky</w:t>
      </w:r>
      <w:proofErr w:type="spellEnd"/>
      <w:r w:rsidR="00004AAB" w:rsidRPr="00F44EEA">
        <w:t xml:space="preserve"> produce nominated documents “</w:t>
      </w:r>
      <w:r w:rsidR="00004AAB" w:rsidRPr="00E529BE">
        <w:rPr>
          <w:i/>
          <w:iCs/>
        </w:rPr>
        <w:t>in aid of and ancillary to the examination</w:t>
      </w:r>
      <w:r w:rsidR="00004AAB" w:rsidRPr="00F44EEA">
        <w:t>”</w:t>
      </w:r>
      <w:r w:rsidR="00004AAB">
        <w:t xml:space="preserve">:  </w:t>
      </w:r>
      <w:r w:rsidR="00004AAB" w:rsidRPr="00F14799">
        <w:rPr>
          <w:i/>
          <w:iCs/>
        </w:rPr>
        <w:t>Commissioner of Taxation v Rawson Finances Pty Ltd (No 2)</w:t>
      </w:r>
      <w:r w:rsidR="00004AAB" w:rsidRPr="00F14799">
        <w:t xml:space="preserve"> [2016] FCA 402</w:t>
      </w:r>
      <w:r w:rsidR="00004AAB">
        <w:t xml:space="preserve"> at [2] (</w:t>
      </w:r>
      <w:r w:rsidR="00004AAB" w:rsidRPr="00E529BE">
        <w:rPr>
          <w:b/>
          <w:bCs/>
          <w:i/>
          <w:iCs/>
        </w:rPr>
        <w:t>Rawson (No 2)</w:t>
      </w:r>
      <w:r w:rsidR="00FB759B">
        <w:t>)</w:t>
      </w:r>
      <w:r w:rsidR="00004AAB">
        <w:t xml:space="preserve">.  That order was resisted by Rawson.  I granted that order, but Rawson succeeded in setting aside that decision on appeal:  </w:t>
      </w:r>
      <w:r w:rsidR="00004AAB" w:rsidRPr="00F14799">
        <w:rPr>
          <w:i/>
          <w:iCs/>
        </w:rPr>
        <w:t>Rawson Finances Pty Ltd v Federal Commissioner of Taxation</w:t>
      </w:r>
      <w:r w:rsidR="00004AAB" w:rsidRPr="00F14799">
        <w:t xml:space="preserve"> [2016] FCAFC 95; (2016) 103 ATR 630 (</w:t>
      </w:r>
      <w:r w:rsidR="00004AAB" w:rsidRPr="00F14799">
        <w:rPr>
          <w:b/>
          <w:i/>
          <w:iCs/>
        </w:rPr>
        <w:t>Rawson (No 2) FCAFC</w:t>
      </w:r>
      <w:r w:rsidR="00004AAB" w:rsidRPr="00F14799">
        <w:t>)</w:t>
      </w:r>
      <w:r w:rsidR="00004AAB" w:rsidRPr="009867F2">
        <w:t>.</w:t>
      </w:r>
      <w:r w:rsidR="00004AAB">
        <w:t xml:space="preserve">    </w:t>
      </w:r>
    </w:p>
    <w:p w14:paraId="0206022D" w14:textId="6842AC4D" w:rsidR="00004AAB" w:rsidRDefault="008F3E79" w:rsidP="008F3E79">
      <w:pPr>
        <w:pStyle w:val="ParaNumbering"/>
        <w:numPr>
          <w:ilvl w:val="0"/>
          <w:numId w:val="0"/>
        </w:numPr>
        <w:ind w:hanging="720"/>
      </w:pPr>
      <w:r>
        <w:rPr>
          <w:sz w:val="20"/>
        </w:rPr>
        <w:t>59</w:t>
      </w:r>
      <w:r>
        <w:rPr>
          <w:sz w:val="20"/>
        </w:rPr>
        <w:tab/>
      </w:r>
      <w:r w:rsidR="00004AAB" w:rsidRPr="00973425">
        <w:rPr>
          <w:b/>
          <w:bCs/>
          <w:i/>
          <w:iCs/>
        </w:rPr>
        <w:t>Second</w:t>
      </w:r>
      <w:r w:rsidR="00004AAB">
        <w:t xml:space="preserve">, as explained at [2] and [52] in </w:t>
      </w:r>
      <w:r w:rsidR="00004AAB" w:rsidRPr="00973425">
        <w:rPr>
          <w:i/>
          <w:iCs/>
        </w:rPr>
        <w:t>Rawson (No 2)</w:t>
      </w:r>
      <w:r w:rsidR="00004AAB">
        <w:t xml:space="preserve">, the Commissioner also sought orders to the following effect to facilitate compliance with the letter of request: </w:t>
      </w:r>
    </w:p>
    <w:p w14:paraId="3B8E2EF9" w14:textId="77777777" w:rsidR="00004AAB" w:rsidRDefault="00004AAB" w:rsidP="008E03F1">
      <w:pPr>
        <w:pStyle w:val="Quote1"/>
      </w:pPr>
      <w:r>
        <w:t>To facilitate compliance with [the notice to produce], a mandatory injunction is also sought requiring Rawson to provide to the Court a document signed by or on behalf of Rawson consenting to MDB producing nominated documents and waiving unconditionally any rights of secrecy, privacy or confidentiality in respect of the documents sought in aid of Ms Asher-</w:t>
      </w:r>
      <w:proofErr w:type="spellStart"/>
      <w:r>
        <w:t>Topilsky’s</w:t>
      </w:r>
      <w:proofErr w:type="spellEnd"/>
      <w:r>
        <w:t xml:space="preserve"> examination (</w:t>
      </w:r>
      <w:r>
        <w:rPr>
          <w:b/>
          <w:bCs/>
        </w:rPr>
        <w:t>Order 2</w:t>
      </w:r>
      <w:r>
        <w:t>).  In the alternative, the Commissioner seeks an order that Rawson provide to the Commissioner (or his duly appointed agent) any signature, document, permission or authority (including a power of attorney or other authority) required by MDB and any assistance reasonably required by the Commissioner or MDB in order for MDB to release to the Commissioner or his agent, for production to the Court, any documents that fall within nominated categories of documents (</w:t>
      </w:r>
      <w:r>
        <w:rPr>
          <w:b/>
          <w:bCs/>
        </w:rPr>
        <w:t>Order 3</w:t>
      </w:r>
      <w:r>
        <w:t xml:space="preserve">). </w:t>
      </w:r>
    </w:p>
    <w:p w14:paraId="58ACC9E5" w14:textId="77777777" w:rsidR="00004AAB" w:rsidRDefault="00004AAB" w:rsidP="008E03F1">
      <w:pPr>
        <w:pStyle w:val="Quote1"/>
      </w:pPr>
      <w:r>
        <w:t>…</w:t>
      </w:r>
    </w:p>
    <w:p w14:paraId="77CA32F3" w14:textId="77777777" w:rsidR="00004AAB" w:rsidRDefault="00004AAB" w:rsidP="008E03F1">
      <w:pPr>
        <w:pStyle w:val="Quote1"/>
      </w:pPr>
      <w:r>
        <w:t xml:space="preserve">[I]n substance Orders 2 and 3 </w:t>
      </w:r>
      <w:r w:rsidRPr="00AE4EB9">
        <w:t>would compel Andrew and Margaret Binetter, as the directors of Rawson, to “consent” to or authorise disclosure of the documents sought by the Commissioner.  On this basis, Rawson contends that these orders should be refused for the reason that they would infringe Andrew and Margaret Binetter’s privilege against self-incrimination.</w:t>
      </w:r>
    </w:p>
    <w:p w14:paraId="23118F89" w14:textId="09FA740C" w:rsidR="00004AAB" w:rsidRDefault="008F3E79" w:rsidP="008F3E79">
      <w:pPr>
        <w:pStyle w:val="ParaNumbering"/>
        <w:numPr>
          <w:ilvl w:val="0"/>
          <w:numId w:val="0"/>
        </w:numPr>
        <w:ind w:hanging="720"/>
      </w:pPr>
      <w:r>
        <w:rPr>
          <w:sz w:val="20"/>
        </w:rPr>
        <w:t>60</w:t>
      </w:r>
      <w:r>
        <w:rPr>
          <w:sz w:val="20"/>
        </w:rPr>
        <w:tab/>
      </w:r>
      <w:r w:rsidR="00004AAB">
        <w:t xml:space="preserve">I dismissed the Commissioner’s application for orders to this effect, accepting Rawson’s submission that the orders would infringe Andrew and Margaret Binetter’s privilege against </w:t>
      </w:r>
      <w:r w:rsidR="00004AAB">
        <w:lastRenderedPageBreak/>
        <w:t xml:space="preserve">self-incrimination: at [56].  In so holding, among other things I referred to the </w:t>
      </w:r>
      <w:r w:rsidR="005A2E60">
        <w:t xml:space="preserve">Commissioner’s </w:t>
      </w:r>
      <w:r w:rsidR="00004AAB">
        <w:t xml:space="preserve">pleadings in </w:t>
      </w:r>
      <w:r w:rsidR="00B868AD">
        <w:t xml:space="preserve">its </w:t>
      </w:r>
      <w:r w:rsidR="00004AAB">
        <w:t xml:space="preserve">further amended statement of claim </w:t>
      </w:r>
      <w:r w:rsidR="00B868AD">
        <w:t xml:space="preserve">which relevantly </w:t>
      </w:r>
      <w:r w:rsidR="00004AAB">
        <w:t>alleg</w:t>
      </w:r>
      <w:r w:rsidR="00B868AD">
        <w:t>ed</w:t>
      </w:r>
      <w:r w:rsidR="00004AAB">
        <w:t xml:space="preserve"> that</w:t>
      </w:r>
      <w:r w:rsidR="00306B7D">
        <w:t xml:space="preserve"> </w:t>
      </w:r>
      <w:r w:rsidR="00004AAB">
        <w:t xml:space="preserve">Andrew and Margaret </w:t>
      </w:r>
      <w:r w:rsidR="00306B7D">
        <w:t xml:space="preserve">Binetter, to their knowledge and the knowledge of Rawson, </w:t>
      </w:r>
      <w:r w:rsidR="00004AAB">
        <w:t xml:space="preserve">gave false and misleading evidence in the AAT proceedings (at [57]) and held that (at [58]-[60]): </w:t>
      </w:r>
    </w:p>
    <w:p w14:paraId="73BC4CF7" w14:textId="77777777" w:rsidR="00004AAB" w:rsidRDefault="00004AAB" w:rsidP="008D1601">
      <w:pPr>
        <w:pStyle w:val="Quote1"/>
      </w:pPr>
      <w:r>
        <w:t>[E]</w:t>
      </w:r>
      <w:proofErr w:type="spellStart"/>
      <w:r>
        <w:t>ven</w:t>
      </w:r>
      <w:proofErr w:type="spellEnd"/>
      <w:r>
        <w:t xml:space="preserve"> though a corporation has no privilege against self-incrimination, a company can act only through its officers, and the state of mind of the company is (generally) that of the director.  In this regard, Rawson accepts in its written submissions that:</w:t>
      </w:r>
    </w:p>
    <w:p w14:paraId="19E1838A" w14:textId="77777777" w:rsidR="00004AAB" w:rsidRDefault="00004AAB" w:rsidP="00D578FA">
      <w:pPr>
        <w:pStyle w:val="Quote2"/>
      </w:pPr>
      <w:r>
        <w:t>In the present case the only directing minds and will of Rawson during the conduct of the AAT and Federal Court proceedings were Andrew and Margaret Binetter.</w:t>
      </w:r>
    </w:p>
    <w:p w14:paraId="7B7FF682" w14:textId="77777777" w:rsidR="00004AAB" w:rsidRDefault="00004AAB" w:rsidP="00D578FA">
      <w:pPr>
        <w:pStyle w:val="Quote2"/>
      </w:pPr>
      <w:r>
        <w:t>Consequently, the allegations of Rawson’s knowledge and conduct adverted to above are in substance allegations against the individual directors.  This is particularly the case in respect of the allegation that Andrew Binetter’s evidence was false or materially misleading.</w:t>
      </w:r>
    </w:p>
    <w:p w14:paraId="7720CDF6" w14:textId="26657BC6" w:rsidR="00004AAB" w:rsidRDefault="00004AAB" w:rsidP="00F30F52">
      <w:pPr>
        <w:pStyle w:val="Quote1"/>
      </w:pPr>
      <w:r>
        <w:t xml:space="preserve">… </w:t>
      </w:r>
      <w:r w:rsidRPr="00F30F19">
        <w:t xml:space="preserve">[T]he allegations in the [Commissioner’s statement of claim], if proved to the criminal standard, would be likely to constitute one or more dishonesty offences under the Criminal Code in the </w:t>
      </w:r>
      <w:r w:rsidRPr="00D578FA">
        <w:rPr>
          <w:i/>
          <w:iCs/>
        </w:rPr>
        <w:t>Criminal Code Act 1995</w:t>
      </w:r>
      <w:r w:rsidRPr="00F30F19">
        <w:t xml:space="preserve"> (</w:t>
      </w:r>
      <w:proofErr w:type="spellStart"/>
      <w:r w:rsidRPr="00F30F19">
        <w:t>Cth</w:t>
      </w:r>
      <w:proofErr w:type="spellEnd"/>
      <w:r w:rsidRPr="00F30F19">
        <w:t>). As Rawson contends, ss</w:t>
      </w:r>
      <w:r>
        <w:t> </w:t>
      </w:r>
      <w:r w:rsidRPr="00F30F19">
        <w:t xml:space="preserve">134 and 135 of the Criminal Code are of particular relevance potentially, providing that a person is guilty of an offence if a person does anything with the intention of dishonestly obtaining a gain from, or causing a loss to, a Commonwealth entity (s 135), or dishonestly obtaining a financial advantage from a Commonwealth entity (s 134). </w:t>
      </w:r>
    </w:p>
    <w:p w14:paraId="408A5692" w14:textId="77777777" w:rsidR="00004AAB" w:rsidRPr="00406CBF" w:rsidRDefault="00004AAB" w:rsidP="00406CBF">
      <w:pPr>
        <w:pStyle w:val="Quote1"/>
        <w:rPr>
          <w:lang w:eastAsia="en-AU"/>
        </w:rPr>
      </w:pPr>
      <w:r>
        <w:t xml:space="preserve">… </w:t>
      </w:r>
      <w:r w:rsidRPr="00406CBF">
        <w:rPr>
          <w:lang w:eastAsia="en-AU"/>
        </w:rPr>
        <w:t>the evidence and documents which the Commissioner seeks are self-evidently sought because the Commissioner considers that they are likely to assist him in establishing these allegations.  It can also properly be inferred from the evidence relied upon by the Commissioner in support of the interlocutory application and surrounding circumstances that, if produced, the documents sought in the request may tend to incriminate Andrew and Margaret Binetter.</w:t>
      </w:r>
    </w:p>
    <w:p w14:paraId="1627F0CA" w14:textId="29966702" w:rsidR="00004AAB" w:rsidRDefault="008F3E79" w:rsidP="008F3E79">
      <w:pPr>
        <w:pStyle w:val="ParaNumbering"/>
        <w:numPr>
          <w:ilvl w:val="0"/>
          <w:numId w:val="0"/>
        </w:numPr>
        <w:ind w:hanging="720"/>
      </w:pPr>
      <w:r>
        <w:rPr>
          <w:sz w:val="20"/>
        </w:rPr>
        <w:t>61</w:t>
      </w:r>
      <w:r>
        <w:rPr>
          <w:sz w:val="20"/>
        </w:rPr>
        <w:tab/>
      </w:r>
      <w:r w:rsidR="00004AAB">
        <w:t>The Commissioner did not seek</w:t>
      </w:r>
      <w:r w:rsidR="00004AAB" w:rsidRPr="00A956A6">
        <w:t xml:space="preserve"> leave to appeal against that part of</w:t>
      </w:r>
      <w:r w:rsidR="00004AAB">
        <w:t xml:space="preserve"> my </w:t>
      </w:r>
      <w:r w:rsidR="00004AAB" w:rsidRPr="00A956A6">
        <w:t>decision</w:t>
      </w:r>
      <w:r w:rsidR="00004AAB">
        <w:t xml:space="preserve"> and did not do so despite Rawson seeking leave to appeal against my decision insofar as </w:t>
      </w:r>
      <w:r w:rsidR="002149BE">
        <w:t xml:space="preserve">I </w:t>
      </w:r>
      <w:r w:rsidR="00004AAB">
        <w:t xml:space="preserve">granted orders for the letter of request to issue: </w:t>
      </w:r>
      <w:r w:rsidR="00004AAB">
        <w:rPr>
          <w:i/>
          <w:iCs/>
        </w:rPr>
        <w:t xml:space="preserve">Rawson (No 2) FCAFC </w:t>
      </w:r>
      <w:r w:rsidR="00004AAB">
        <w:t>at [13].</w:t>
      </w:r>
    </w:p>
    <w:p w14:paraId="154D2F61" w14:textId="069BFF1B" w:rsidR="00004AAB" w:rsidRDefault="008F3E79" w:rsidP="008F3E79">
      <w:pPr>
        <w:pStyle w:val="ParaNumbering"/>
        <w:numPr>
          <w:ilvl w:val="0"/>
          <w:numId w:val="0"/>
        </w:numPr>
        <w:ind w:hanging="720"/>
      </w:pPr>
      <w:r>
        <w:rPr>
          <w:sz w:val="20"/>
        </w:rPr>
        <w:t>62</w:t>
      </w:r>
      <w:r>
        <w:rPr>
          <w:sz w:val="20"/>
        </w:rPr>
        <w:tab/>
      </w:r>
      <w:r w:rsidR="00004AAB">
        <w:rPr>
          <w:b/>
          <w:bCs/>
          <w:i/>
          <w:iCs/>
        </w:rPr>
        <w:t>Third</w:t>
      </w:r>
      <w:r w:rsidR="00004AAB">
        <w:t xml:space="preserve">, following the Full Court’s decision in </w:t>
      </w:r>
      <w:r w:rsidR="00004AAB">
        <w:rPr>
          <w:i/>
          <w:iCs/>
        </w:rPr>
        <w:t>Rawson (No 2)</w:t>
      </w:r>
      <w:r w:rsidR="00004AAB">
        <w:t>, the Commissioner sought alternative orders for certain letters of request to be sent to Israeli judicial authorities to take the evidence of various former employees of the MDB, and to have officers of the MDB produce certain categories of documents.  Rawson did not oppose that application.  On 30</w:t>
      </w:r>
      <w:r w:rsidR="00410F84">
        <w:t> </w:t>
      </w:r>
      <w:r w:rsidR="00004AAB">
        <w:t xml:space="preserve">November, I made orders that the letters of request be sent to the judicial authorities of Israel to take, or cause to be taken, evidence from three former employees of </w:t>
      </w:r>
      <w:r w:rsidR="006D6321">
        <w:t>the MDB</w:t>
      </w:r>
      <w:r w:rsidR="00004AAB">
        <w:t xml:space="preserve">:  </w:t>
      </w:r>
      <w:r w:rsidR="00004AAB" w:rsidRPr="00F14799">
        <w:rPr>
          <w:i/>
          <w:iCs/>
        </w:rPr>
        <w:t>Commissioner of Taxation v Rawson Finances Pty Ltd (No 4)</w:t>
      </w:r>
      <w:r w:rsidR="00004AAB" w:rsidRPr="00F14799">
        <w:t xml:space="preserve"> [2016] FCA 1436</w:t>
      </w:r>
      <w:r w:rsidR="00004AAB">
        <w:t xml:space="preserve"> (</w:t>
      </w:r>
      <w:r w:rsidR="00004AAB" w:rsidRPr="005A34DD">
        <w:rPr>
          <w:b/>
          <w:bCs/>
          <w:i/>
          <w:iCs/>
        </w:rPr>
        <w:t>Rawson No (4)</w:t>
      </w:r>
      <w:r w:rsidR="00004AAB">
        <w:t>).</w:t>
      </w:r>
    </w:p>
    <w:p w14:paraId="4D1F6658" w14:textId="1C3A60B0" w:rsidR="00004AAB" w:rsidRDefault="008F3E79" w:rsidP="008F3E79">
      <w:pPr>
        <w:pStyle w:val="ParaNumbering"/>
        <w:numPr>
          <w:ilvl w:val="0"/>
          <w:numId w:val="0"/>
        </w:numPr>
        <w:ind w:hanging="720"/>
      </w:pPr>
      <w:r>
        <w:rPr>
          <w:sz w:val="20"/>
        </w:rPr>
        <w:lastRenderedPageBreak/>
        <w:t>63</w:t>
      </w:r>
      <w:r>
        <w:rPr>
          <w:sz w:val="20"/>
        </w:rPr>
        <w:tab/>
      </w:r>
      <w:r w:rsidR="00004AAB" w:rsidRPr="00A809F5">
        <w:rPr>
          <w:b/>
          <w:bCs/>
          <w:i/>
          <w:iCs/>
        </w:rPr>
        <w:t>Fourth</w:t>
      </w:r>
      <w:r w:rsidR="00004AAB">
        <w:t xml:space="preserve">, in furtherance of those letters of request, the Magistrates Court in Tel Aviv issued a subpoena to </w:t>
      </w:r>
      <w:r w:rsidR="006D6321">
        <w:t>the MDB</w:t>
      </w:r>
      <w:r w:rsidR="00004AAB">
        <w:t xml:space="preserve"> for documents falling within the categories of documents mentioned in the letters of request: </w:t>
      </w:r>
      <w:r w:rsidR="00004AAB" w:rsidRPr="00A809F5">
        <w:rPr>
          <w:i/>
          <w:iCs/>
        </w:rPr>
        <w:t xml:space="preserve">Rawson Primary Judgment </w:t>
      </w:r>
      <w:r w:rsidR="00004AAB">
        <w:t xml:space="preserve">at [440].  Notwithstanding those requests, </w:t>
      </w:r>
      <w:r w:rsidR="006D6321">
        <w:t>the MDB</w:t>
      </w:r>
      <w:r w:rsidR="00004AAB">
        <w:t xml:space="preserve"> resisted handing over the documents</w:t>
      </w:r>
      <w:r w:rsidR="00982C0A">
        <w:t xml:space="preserve"> and</w:t>
      </w:r>
      <w:r w:rsidR="00004AAB">
        <w:t xml:space="preserve"> sought to set aside the subpoena request in the Israeli Magistrates Court, the Israeli District Court, and the Israeli Supreme Court.  All of those applications were unsuccessful</w:t>
      </w:r>
      <w:r w:rsidR="00EE2B56">
        <w:t xml:space="preserve">: </w:t>
      </w:r>
      <w:r w:rsidR="00EE2B56" w:rsidRPr="00A809F5">
        <w:rPr>
          <w:i/>
          <w:iCs/>
        </w:rPr>
        <w:t xml:space="preserve">Rawson Primary Judgment </w:t>
      </w:r>
      <w:r w:rsidR="00EE2B56">
        <w:t xml:space="preserve">at [440]-[441].  </w:t>
      </w:r>
      <w:r w:rsidR="00004AAB">
        <w:t xml:space="preserve"> </w:t>
      </w:r>
      <w:r w:rsidR="00EE2B56">
        <w:t>T</w:t>
      </w:r>
      <w:r w:rsidR="00004AAB">
        <w:t xml:space="preserve">he Israeli courts </w:t>
      </w:r>
      <w:r w:rsidR="00EE2B56">
        <w:t xml:space="preserve">were </w:t>
      </w:r>
      <w:r w:rsidR="00004AAB">
        <w:t xml:space="preserve">highly critical of </w:t>
      </w:r>
      <w:r w:rsidR="006D6321">
        <w:t>the MDB</w:t>
      </w:r>
      <w:r w:rsidR="00004AAB">
        <w:t>’s conduct in seeking to keep the requested documents secret</w:t>
      </w:r>
      <w:r w:rsidR="00EE2B56">
        <w:t xml:space="preserve">, describing </w:t>
      </w:r>
      <w:r w:rsidR="006D6321">
        <w:t>the MDB</w:t>
      </w:r>
      <w:r w:rsidR="00EE2B56">
        <w:t xml:space="preserve">’s </w:t>
      </w:r>
      <w:r w:rsidR="00713D42">
        <w:t>applications as</w:t>
      </w:r>
      <w:r w:rsidR="00855AFD">
        <w:t xml:space="preserve"> “</w:t>
      </w:r>
      <w:r w:rsidR="00855AFD" w:rsidRPr="00750C9D">
        <w:rPr>
          <w:i/>
          <w:iCs/>
        </w:rPr>
        <w:t>[not] legitimate</w:t>
      </w:r>
      <w:r w:rsidR="00855AFD">
        <w:t>”,</w:t>
      </w:r>
      <w:r w:rsidR="00713D42">
        <w:t xml:space="preserve"> “</w:t>
      </w:r>
      <w:r w:rsidR="00713D42" w:rsidRPr="00750C9D">
        <w:rPr>
          <w:i/>
          <w:iCs/>
        </w:rPr>
        <w:t xml:space="preserve">detrimental to the investigation of the truth, </w:t>
      </w:r>
      <w:proofErr w:type="spellStart"/>
      <w:r w:rsidR="00855AFD" w:rsidRPr="00750C9D">
        <w:rPr>
          <w:i/>
          <w:iCs/>
        </w:rPr>
        <w:t>constitut</w:t>
      </w:r>
      <w:proofErr w:type="spellEnd"/>
      <w:r w:rsidR="00855AFD" w:rsidRPr="00750C9D">
        <w:rPr>
          <w:i/>
          <w:iCs/>
        </w:rPr>
        <w:t>[</w:t>
      </w:r>
      <w:proofErr w:type="spellStart"/>
      <w:r w:rsidR="00855AFD" w:rsidRPr="00750C9D">
        <w:rPr>
          <w:i/>
          <w:iCs/>
        </w:rPr>
        <w:t>ing</w:t>
      </w:r>
      <w:proofErr w:type="spellEnd"/>
      <w:r w:rsidR="00855AFD" w:rsidRPr="00750C9D">
        <w:rPr>
          <w:i/>
          <w:iCs/>
        </w:rPr>
        <w:t xml:space="preserve">] bad faith … </w:t>
      </w:r>
      <w:r w:rsidR="00A809F5" w:rsidRPr="00750C9D">
        <w:rPr>
          <w:i/>
          <w:iCs/>
        </w:rPr>
        <w:t>[</w:t>
      </w:r>
      <w:r w:rsidR="00855AFD" w:rsidRPr="00750C9D">
        <w:rPr>
          <w:i/>
          <w:iCs/>
        </w:rPr>
        <w:t>and</w:t>
      </w:r>
      <w:r w:rsidR="00A809F5" w:rsidRPr="00750C9D">
        <w:rPr>
          <w:i/>
          <w:iCs/>
        </w:rPr>
        <w:t>] futile</w:t>
      </w:r>
      <w:r w:rsidR="00A809F5">
        <w:t xml:space="preserve">”: ibid. </w:t>
      </w:r>
      <w:r w:rsidR="00004AAB">
        <w:t xml:space="preserve"> Ultimately, in answer to the subpoena, </w:t>
      </w:r>
      <w:r w:rsidR="006D6321">
        <w:t>the MDB</w:t>
      </w:r>
      <w:r w:rsidR="00004AAB">
        <w:t xml:space="preserve"> produced approximately 2000 pages of material in two tranches which were translated from Hebrew to English where necessary: </w:t>
      </w:r>
      <w:r w:rsidR="00004AAB" w:rsidRPr="00A809F5">
        <w:rPr>
          <w:i/>
          <w:iCs/>
        </w:rPr>
        <w:t xml:space="preserve">Rawson Primary Judgment </w:t>
      </w:r>
      <w:r w:rsidR="00004AAB">
        <w:t>at [443].  A further examination of three former MDB employees also occurred in answer to that subpoena: ibid.</w:t>
      </w:r>
    </w:p>
    <w:p w14:paraId="48A60A18" w14:textId="603CEC19" w:rsidR="00004AAB" w:rsidRDefault="008F3E79" w:rsidP="008F3E79">
      <w:pPr>
        <w:pStyle w:val="ParaNumbering"/>
        <w:numPr>
          <w:ilvl w:val="0"/>
          <w:numId w:val="0"/>
        </w:numPr>
        <w:ind w:hanging="720"/>
      </w:pPr>
      <w:r>
        <w:rPr>
          <w:sz w:val="20"/>
        </w:rPr>
        <w:t>64</w:t>
      </w:r>
      <w:r>
        <w:rPr>
          <w:sz w:val="20"/>
        </w:rPr>
        <w:tab/>
      </w:r>
      <w:r w:rsidR="00004AAB">
        <w:rPr>
          <w:b/>
          <w:bCs/>
          <w:i/>
          <w:iCs/>
        </w:rPr>
        <w:t>Fifth</w:t>
      </w:r>
      <w:r w:rsidR="00004AAB">
        <w:t xml:space="preserve">, once that information had been obtained, orders were made by consent which excused Rawson from pleading to certain allegations which lay at the heart of the Commissioner’s fraud case on the basis that the directors of Rawson, Margaret and Andrew Binetter, asserted the privilege against self-incrimination: </w:t>
      </w:r>
      <w:r w:rsidR="00004AAB">
        <w:rPr>
          <w:i/>
          <w:iCs/>
        </w:rPr>
        <w:t xml:space="preserve">Rawson Primary Judgment </w:t>
      </w:r>
      <w:r w:rsidR="00004AAB">
        <w:t xml:space="preserve">at [96].  I summarised the effect of those orders at </w:t>
      </w:r>
      <w:r w:rsidR="00004AAB">
        <w:rPr>
          <w:i/>
          <w:iCs/>
        </w:rPr>
        <w:t xml:space="preserve">Rawson Primary Judgment </w:t>
      </w:r>
      <w:r w:rsidR="00004AAB">
        <w:t>at [96] as follows:</w:t>
      </w:r>
    </w:p>
    <w:p w14:paraId="24DE298A" w14:textId="77777777" w:rsidR="00004AAB" w:rsidRDefault="00004AAB" w:rsidP="00D65B44">
      <w:pPr>
        <w:pStyle w:val="Quote1"/>
        <w:rPr>
          <w:sz w:val="23"/>
          <w:szCs w:val="23"/>
        </w:rPr>
      </w:pPr>
      <w:r>
        <w:rPr>
          <w:sz w:val="23"/>
          <w:szCs w:val="23"/>
        </w:rPr>
        <w:t xml:space="preserve">Rawson was not required to plead, and did not plead, to the following parts of the [Second Further Amended Statement of Claim or </w:t>
      </w:r>
      <w:r w:rsidRPr="00287691">
        <w:rPr>
          <w:b/>
          <w:bCs/>
          <w:sz w:val="23"/>
          <w:szCs w:val="23"/>
        </w:rPr>
        <w:t>2FASOC</w:t>
      </w:r>
      <w:r>
        <w:rPr>
          <w:sz w:val="23"/>
          <w:szCs w:val="23"/>
        </w:rPr>
        <w:t xml:space="preserve">] by orders made by consent on 29 April 2015 and 3 September 2020: </w:t>
      </w:r>
    </w:p>
    <w:p w14:paraId="79EC5F68" w14:textId="77777777" w:rsidR="00004AAB" w:rsidRDefault="00004AAB" w:rsidP="00287691">
      <w:pPr>
        <w:pStyle w:val="Quote2"/>
        <w:ind w:left="2160" w:hanging="720"/>
      </w:pPr>
      <w:r>
        <w:t>(1)</w:t>
      </w:r>
      <w:r>
        <w:tab/>
        <w:t xml:space="preserve">as to Rawson’s and Andrew’s alleged knowledge that the evidence of its expert (Mr Etzion and Mr Zamir) and lay (Emil, Margaret and Andrew) witnesses in the AAT were false or materially misleading (2FASOC and Def at [14], [14.2], [16], [18], [20], [22], [22.2], [24], [24.2A], [24.2B], and [24.6], as well as [28] to the extent it alleged evidence was false and misleading); </w:t>
      </w:r>
    </w:p>
    <w:p w14:paraId="7C151589" w14:textId="77777777" w:rsidR="00004AAB" w:rsidRDefault="00004AAB" w:rsidP="00287691">
      <w:pPr>
        <w:pStyle w:val="Quote2"/>
        <w:ind w:left="2160" w:hanging="720"/>
      </w:pPr>
      <w:r>
        <w:t>(2)</w:t>
      </w:r>
      <w:r>
        <w:tab/>
        <w:t xml:space="preserve">as to Rawson’s alleged knowledge of Andrew’s involvement in finalising Mr Etzion’s statutory declaration (2FASOC and Def at [12.1] and [12.2]); </w:t>
      </w:r>
    </w:p>
    <w:p w14:paraId="4FE8133E" w14:textId="77777777" w:rsidR="00004AAB" w:rsidRDefault="00004AAB" w:rsidP="00287691">
      <w:pPr>
        <w:pStyle w:val="Quote2"/>
        <w:ind w:left="2160" w:hanging="720"/>
      </w:pPr>
      <w:r>
        <w:t>(3)</w:t>
      </w:r>
      <w:r>
        <w:tab/>
        <w:t xml:space="preserve">as to Rawson’s (and other Binetter family entities’) alleged knowledge that </w:t>
      </w:r>
      <w:proofErr w:type="spellStart"/>
      <w:r>
        <w:t>Binqld</w:t>
      </w:r>
      <w:proofErr w:type="spellEnd"/>
      <w:r>
        <w:t xml:space="preserve">, BCI, EGL, Ligon 268, Advance and Civic conducted their Part IVC proceeding on the false basis that the monies transferred were not connected with cash deposits (2FASOC and Def at [24.17(b)]); </w:t>
      </w:r>
    </w:p>
    <w:p w14:paraId="15370FB6" w14:textId="77777777" w:rsidR="00004AAB" w:rsidRDefault="00004AAB" w:rsidP="00287691">
      <w:pPr>
        <w:pStyle w:val="Quote2"/>
        <w:ind w:left="2160" w:hanging="720"/>
      </w:pPr>
      <w:r>
        <w:t>(4)</w:t>
      </w:r>
      <w:r>
        <w:tab/>
        <w:t xml:space="preserve">that the Commissioner subsequently obtained material establishing that the evidence in the </w:t>
      </w:r>
      <w:r>
        <w:rPr>
          <w:i/>
          <w:iCs/>
        </w:rPr>
        <w:t xml:space="preserve">Rawson (AAT) </w:t>
      </w:r>
      <w:r>
        <w:t xml:space="preserve">proceedings was false or materially misleading with respect to the true arrangements between BCI and Bank </w:t>
      </w:r>
      <w:proofErr w:type="spellStart"/>
      <w:r>
        <w:t>Hapoalim</w:t>
      </w:r>
      <w:proofErr w:type="spellEnd"/>
      <w:r>
        <w:t xml:space="preserve">, MDB and Advance, and IDB and Civic and EGL (2FASOC and Def at [24.18]); </w:t>
      </w:r>
    </w:p>
    <w:p w14:paraId="7C6278F4" w14:textId="77777777" w:rsidR="00004AAB" w:rsidRDefault="00004AAB" w:rsidP="00287691">
      <w:pPr>
        <w:pStyle w:val="Quote2"/>
        <w:ind w:left="2160" w:hanging="720"/>
      </w:pPr>
      <w:r>
        <w:lastRenderedPageBreak/>
        <w:t>(5)</w:t>
      </w:r>
      <w:r>
        <w:tab/>
        <w:t xml:space="preserve">as to Rawson’s alleged knowledge (but not to the knowledge of the legal practitioners making those submissions) that Rawson’s submissions in the AAT were based on evidence which was false or materially misleading (2FASOC and Def at [26]); </w:t>
      </w:r>
    </w:p>
    <w:p w14:paraId="68C71F8D" w14:textId="77777777" w:rsidR="00004AAB" w:rsidRDefault="00004AAB" w:rsidP="00287691">
      <w:pPr>
        <w:pStyle w:val="Quote2"/>
        <w:ind w:left="2160" w:hanging="720"/>
      </w:pPr>
      <w:r>
        <w:t>(6)</w:t>
      </w:r>
      <w:r>
        <w:tab/>
        <w:t xml:space="preserve">that the Rawson “loans” were supported by deposits (2FASOC and Def at [29(c)]) (albeit, as I have earlier explained, that Rawson in its written submission admitted for the first time that the Rawson “loans” were supported by deposits); and </w:t>
      </w:r>
    </w:p>
    <w:p w14:paraId="3A124841" w14:textId="77777777" w:rsidR="00004AAB" w:rsidRDefault="00004AAB" w:rsidP="00287691">
      <w:pPr>
        <w:pStyle w:val="Quote2"/>
        <w:ind w:left="2160" w:hanging="720"/>
      </w:pPr>
      <w:r>
        <w:t>(7)</w:t>
      </w:r>
      <w:r>
        <w:tab/>
        <w:t xml:space="preserve">that Rawson did not disclose to the Court on the s 44 appeal or to the Full Court that the evidence adduced by it in the AAT was false or materially misleading (but not to </w:t>
      </w:r>
      <w:r w:rsidRPr="00287691">
        <w:t>the knowledge of the legal practitioners making the submissions) (2FASOC and Def at [31] and [33]).</w:t>
      </w:r>
    </w:p>
    <w:p w14:paraId="78606458" w14:textId="325ACB7B" w:rsidR="00063D77" w:rsidRPr="00063D77" w:rsidRDefault="008F3E79" w:rsidP="008F3E79">
      <w:pPr>
        <w:pStyle w:val="ParaNumbering"/>
        <w:numPr>
          <w:ilvl w:val="0"/>
          <w:numId w:val="0"/>
        </w:numPr>
        <w:ind w:hanging="720"/>
      </w:pPr>
      <w:r w:rsidRPr="00063D77">
        <w:rPr>
          <w:sz w:val="20"/>
        </w:rPr>
        <w:t>65</w:t>
      </w:r>
      <w:r w:rsidRPr="00063D77">
        <w:rPr>
          <w:sz w:val="20"/>
        </w:rPr>
        <w:tab/>
      </w:r>
      <w:r w:rsidR="00063D77">
        <w:t xml:space="preserve">In the event, Rawson did not plead to those paragraphs in its defence </w:t>
      </w:r>
      <w:r w:rsidR="0024074C">
        <w:t xml:space="preserve">and did not plead a positive defence.  </w:t>
      </w:r>
    </w:p>
    <w:p w14:paraId="19515892" w14:textId="573BF60A" w:rsidR="00004AAB" w:rsidRDefault="008F3E79" w:rsidP="008F3E79">
      <w:pPr>
        <w:pStyle w:val="ParaNumbering"/>
        <w:numPr>
          <w:ilvl w:val="0"/>
          <w:numId w:val="0"/>
        </w:numPr>
        <w:ind w:hanging="720"/>
      </w:pPr>
      <w:r>
        <w:rPr>
          <w:sz w:val="20"/>
        </w:rPr>
        <w:t>66</w:t>
      </w:r>
      <w:r>
        <w:rPr>
          <w:sz w:val="20"/>
        </w:rPr>
        <w:tab/>
      </w:r>
      <w:r w:rsidR="00004AAB">
        <w:rPr>
          <w:b/>
          <w:bCs/>
          <w:i/>
          <w:iCs/>
        </w:rPr>
        <w:t>Sixth</w:t>
      </w:r>
      <w:r w:rsidR="00004AAB">
        <w:t xml:space="preserve">, the central issue in </w:t>
      </w:r>
      <w:r w:rsidR="00004AAB" w:rsidRPr="00D17151">
        <w:rPr>
          <w:i/>
          <w:iCs/>
        </w:rPr>
        <w:t xml:space="preserve">Rawson (AAT) </w:t>
      </w:r>
      <w:r w:rsidR="00004AAB">
        <w:t xml:space="preserve">was whether the Rawson loans were supported by a back-to-back cash deposit, or personal guarantees.  I found in the </w:t>
      </w:r>
      <w:r w:rsidR="00004AAB" w:rsidRPr="00D17151">
        <w:rPr>
          <w:i/>
          <w:iCs/>
        </w:rPr>
        <w:t xml:space="preserve">Rawson Primary Judgment </w:t>
      </w:r>
      <w:r w:rsidR="00004AAB">
        <w:t>that the Rawson loans were in fact secured by a secret linked deposit account held in a code name, “Arthur Belan”</w:t>
      </w:r>
      <w:r w:rsidR="00B77FA2">
        <w:t>,</w:t>
      </w:r>
      <w:r w:rsidR="00004AAB">
        <w:t xml:space="preserve"> (the </w:t>
      </w:r>
      <w:r w:rsidR="00004AAB" w:rsidRPr="001E5939">
        <w:rPr>
          <w:b/>
        </w:rPr>
        <w:t>Arthur Belan deposit account</w:t>
      </w:r>
      <w:r w:rsidR="00004AAB">
        <w:t xml:space="preserve">) and were therefore what is commonly described as back-to-back loans.  The existence of this back-to-back arrangement was knowingly concealed from the </w:t>
      </w:r>
      <w:r w:rsidR="00152D22">
        <w:t>AAT</w:t>
      </w:r>
      <w:r w:rsidR="00004AAB">
        <w:t xml:space="preserve"> in </w:t>
      </w:r>
      <w:r w:rsidR="00004AAB" w:rsidRPr="00D17151">
        <w:rPr>
          <w:i/>
          <w:iCs/>
        </w:rPr>
        <w:t>Rawson (AAT)</w:t>
      </w:r>
      <w:r w:rsidR="00004AAB">
        <w:t xml:space="preserve"> and </w:t>
      </w:r>
      <w:r w:rsidR="00004AAB" w:rsidRPr="00D17151">
        <w:rPr>
          <w:i/>
          <w:iCs/>
        </w:rPr>
        <w:t>Rawson (FCAFC)</w:t>
      </w:r>
      <w:r w:rsidR="000F2681">
        <w:t xml:space="preserve">: </w:t>
      </w:r>
      <w:r w:rsidR="000F2681">
        <w:rPr>
          <w:i/>
          <w:iCs/>
        </w:rPr>
        <w:t xml:space="preserve">Rawson Primary Judgment </w:t>
      </w:r>
      <w:r w:rsidR="000F2681">
        <w:t>at [13]-[14]</w:t>
      </w:r>
      <w:r w:rsidR="00004AAB">
        <w:t xml:space="preserve">.  However, in the face of overwhelming evidence obtained from Israel pursuant to the letters of request as to the true nature of the arrangements with </w:t>
      </w:r>
      <w:r w:rsidR="006D6321">
        <w:t>the MDB</w:t>
      </w:r>
      <w:r w:rsidR="00004AAB">
        <w:t xml:space="preserve">, Rawson finally admitted the existence of the back-to-back loans in its written submissions in chief in this proceeding: </w:t>
      </w:r>
      <w:r w:rsidR="00004AAB" w:rsidRPr="00D17151">
        <w:rPr>
          <w:i/>
          <w:iCs/>
        </w:rPr>
        <w:t xml:space="preserve">Rawson Primary Judgment </w:t>
      </w:r>
      <w:r w:rsidR="00004AAB">
        <w:t xml:space="preserve">at [51] and [623].  That admission was made in </w:t>
      </w:r>
      <w:r w:rsidR="00684729">
        <w:t>Rawson’s</w:t>
      </w:r>
      <w:r w:rsidR="00004AAB">
        <w:t xml:space="preserve"> written submissions, dated 27 August 2020, filed before the trial. </w:t>
      </w:r>
    </w:p>
    <w:p w14:paraId="60BF8D7D" w14:textId="3BDAE2CF" w:rsidR="00004AAB" w:rsidRDefault="008F3E79" w:rsidP="008F3E79">
      <w:pPr>
        <w:pStyle w:val="ParaNumbering"/>
        <w:numPr>
          <w:ilvl w:val="0"/>
          <w:numId w:val="0"/>
        </w:numPr>
        <w:ind w:hanging="720"/>
      </w:pPr>
      <w:r>
        <w:rPr>
          <w:sz w:val="20"/>
        </w:rPr>
        <w:t>67</w:t>
      </w:r>
      <w:r>
        <w:rPr>
          <w:sz w:val="20"/>
        </w:rPr>
        <w:tab/>
      </w:r>
      <w:r w:rsidR="00004AAB">
        <w:rPr>
          <w:bCs/>
          <w:iCs/>
        </w:rPr>
        <w:t xml:space="preserve">In the </w:t>
      </w:r>
      <w:r w:rsidR="00004AAB">
        <w:rPr>
          <w:b/>
          <w:bCs/>
          <w:i/>
          <w:iCs/>
        </w:rPr>
        <w:t xml:space="preserve">seventh </w:t>
      </w:r>
      <w:r w:rsidR="00004AAB" w:rsidRPr="00F40C9A">
        <w:rPr>
          <w:bCs/>
          <w:iCs/>
        </w:rPr>
        <w:t>place</w:t>
      </w:r>
      <w:r w:rsidR="00004AAB">
        <w:t xml:space="preserve">, notwithstanding that admission, Rawson continued to resist the Commissioner’s application to set aside the </w:t>
      </w:r>
      <w:r w:rsidR="00004AAB" w:rsidRPr="00891B25">
        <w:rPr>
          <w:i/>
          <w:iCs/>
        </w:rPr>
        <w:t xml:space="preserve">Rawson (FCAFC) </w:t>
      </w:r>
      <w:r w:rsidR="00004AAB">
        <w:t xml:space="preserve">decision.  In broad terms, Rawson advanced two primary arguments in support of its case.  The first was to dispute that the new evidence, including the admission of the back-to-back loan, proved the alleged fraud.  As part of this argument, Rawson ran a </w:t>
      </w:r>
      <w:r w:rsidR="00004AAB" w:rsidRPr="00F40C9A">
        <w:rPr>
          <w:b/>
          <w:i/>
          <w:iCs/>
        </w:rPr>
        <w:t>positive</w:t>
      </w:r>
      <w:r w:rsidR="00004AAB">
        <w:t xml:space="preserve"> defence, contending that the new evidence in fact strengthened its case that the Rawson “loans” were genuine: see the “</w:t>
      </w:r>
      <w:r w:rsidR="00004AAB" w:rsidRPr="00891B25">
        <w:rPr>
          <w:i/>
          <w:iCs/>
        </w:rPr>
        <w:t>Rawson Genuine Loans Submission</w:t>
      </w:r>
      <w:r w:rsidR="00004AAB">
        <w:t xml:space="preserve">” at </w:t>
      </w:r>
      <w:r w:rsidR="00004AAB" w:rsidRPr="00891B25">
        <w:rPr>
          <w:i/>
          <w:iCs/>
        </w:rPr>
        <w:t xml:space="preserve">Rawson Primary Judgment </w:t>
      </w:r>
      <w:r w:rsidR="00004AAB">
        <w:t>10.4.4.  Various arguments were advanced in support of this contention, including that:</w:t>
      </w:r>
    </w:p>
    <w:p w14:paraId="2FA3D3F2" w14:textId="07329DC2" w:rsidR="00004AAB" w:rsidRDefault="008F3E79" w:rsidP="008F3E79">
      <w:pPr>
        <w:pStyle w:val="ListNo1"/>
        <w:numPr>
          <w:ilvl w:val="0"/>
          <w:numId w:val="0"/>
        </w:numPr>
        <w:tabs>
          <w:tab w:val="left" w:pos="720"/>
        </w:tabs>
        <w:ind w:left="720" w:hanging="720"/>
      </w:pPr>
      <w:r>
        <w:t>(1)</w:t>
      </w:r>
      <w:r>
        <w:tab/>
      </w:r>
      <w:r w:rsidR="00004AAB">
        <w:t>the MDB and Rawson described the transactions as a ‘loan’ (at [650]);</w:t>
      </w:r>
    </w:p>
    <w:p w14:paraId="3B06B518" w14:textId="08357E15" w:rsidR="00004AAB" w:rsidRDefault="008F3E79" w:rsidP="008F3E79">
      <w:pPr>
        <w:pStyle w:val="ListNo1"/>
        <w:numPr>
          <w:ilvl w:val="0"/>
          <w:numId w:val="0"/>
        </w:numPr>
        <w:tabs>
          <w:tab w:val="left" w:pos="720"/>
        </w:tabs>
        <w:ind w:left="720" w:hanging="720"/>
      </w:pPr>
      <w:r>
        <w:lastRenderedPageBreak/>
        <w:t>(2)</w:t>
      </w:r>
      <w:r>
        <w:tab/>
      </w:r>
      <w:r w:rsidR="00004AAB">
        <w:t xml:space="preserve">any concealment of the evidence of the Arthur Belan account could only have undermined Rawson’s case in the </w:t>
      </w:r>
      <w:r w:rsidR="00684729">
        <w:t>AAT</w:t>
      </w:r>
      <w:r w:rsidR="00004AAB">
        <w:t xml:space="preserve"> (at [649]); and</w:t>
      </w:r>
    </w:p>
    <w:p w14:paraId="0B5E2CD1" w14:textId="2E337C54" w:rsidR="00004AAB" w:rsidRDefault="008F3E79" w:rsidP="008F3E79">
      <w:pPr>
        <w:pStyle w:val="ListNo1"/>
        <w:numPr>
          <w:ilvl w:val="0"/>
          <w:numId w:val="0"/>
        </w:numPr>
        <w:tabs>
          <w:tab w:val="left" w:pos="720"/>
        </w:tabs>
        <w:ind w:left="720" w:hanging="720"/>
      </w:pPr>
      <w:r>
        <w:t>(3)</w:t>
      </w:r>
      <w:r>
        <w:tab/>
      </w:r>
      <w:r w:rsidR="00004AAB">
        <w:t>the non-disclosure of the Arthur Belan deposit account “</w:t>
      </w:r>
      <w:r w:rsidR="00004AAB" w:rsidRPr="006442A7">
        <w:rPr>
          <w:i/>
        </w:rPr>
        <w:t>was to protect the owner of the deposit (Michael Binetter) from being assessed by the Commissioner on what he describes the ‘unexplained’ cash deposit.  It is beyond dispute that this cash was never Rawson’s and could never form a basis of an assessment against it</w:t>
      </w:r>
      <w:r w:rsidR="00004AAB">
        <w:t xml:space="preserve">” (at [628] (quoting Rawson’s written submissions in opening at [77])). </w:t>
      </w:r>
    </w:p>
    <w:p w14:paraId="36EA1243" w14:textId="77777777" w:rsidR="00004AAB" w:rsidRDefault="00004AAB" w:rsidP="00DD7D23">
      <w:pPr>
        <w:pStyle w:val="NoNum"/>
      </w:pPr>
      <w:r>
        <w:t xml:space="preserve">I refer to these as the </w:t>
      </w:r>
      <w:r w:rsidRPr="00DD7D23">
        <w:rPr>
          <w:b/>
          <w:bCs/>
        </w:rPr>
        <w:t>positive defence arguments</w:t>
      </w:r>
      <w:r>
        <w:t>.</w:t>
      </w:r>
    </w:p>
    <w:p w14:paraId="4CCB60FE" w14:textId="26BCA5DB" w:rsidR="00004AAB" w:rsidRDefault="008F3E79" w:rsidP="008F3E79">
      <w:pPr>
        <w:pStyle w:val="ParaNumbering"/>
        <w:numPr>
          <w:ilvl w:val="0"/>
          <w:numId w:val="0"/>
        </w:numPr>
        <w:ind w:hanging="720"/>
      </w:pPr>
      <w:r>
        <w:rPr>
          <w:sz w:val="20"/>
        </w:rPr>
        <w:t>68</w:t>
      </w:r>
      <w:r>
        <w:rPr>
          <w:sz w:val="20"/>
        </w:rPr>
        <w:tab/>
      </w:r>
      <w:r w:rsidR="00004AAB">
        <w:t xml:space="preserve">The second argument advanced was that, even if a fraud did occur, the decision in </w:t>
      </w:r>
      <w:r w:rsidR="00004AAB">
        <w:rPr>
          <w:i/>
          <w:iCs/>
        </w:rPr>
        <w:t xml:space="preserve">Rawson (FCAFC) </w:t>
      </w:r>
      <w:r w:rsidR="00004AAB">
        <w:t xml:space="preserve">should not be set aside.  Two </w:t>
      </w:r>
      <w:r w:rsidR="00DB2C25">
        <w:t xml:space="preserve">primary </w:t>
      </w:r>
      <w:r w:rsidR="00004AAB">
        <w:t>arguments were made in support of this argument, being that:</w:t>
      </w:r>
    </w:p>
    <w:p w14:paraId="3154C325" w14:textId="3C9E7A0A" w:rsidR="00004AAB" w:rsidRDefault="008F3E79" w:rsidP="008F3E79">
      <w:pPr>
        <w:pStyle w:val="ListNo1"/>
        <w:numPr>
          <w:ilvl w:val="0"/>
          <w:numId w:val="0"/>
        </w:numPr>
        <w:tabs>
          <w:tab w:val="left" w:pos="720"/>
        </w:tabs>
        <w:ind w:left="720" w:hanging="720"/>
      </w:pPr>
      <w:r>
        <w:t>(1)</w:t>
      </w:r>
      <w:r>
        <w:tab/>
      </w:r>
      <w:r w:rsidR="00004AAB">
        <w:t xml:space="preserve">the fraud could not affect the issues before the Full Court, given the limited nature of an appeal under s 44 of the </w:t>
      </w:r>
      <w:r w:rsidR="00004AAB" w:rsidRPr="00BA1DEA">
        <w:rPr>
          <w:i/>
          <w:iCs/>
        </w:rPr>
        <w:t xml:space="preserve">Administrative Appeals Tribunal Act 1975 </w:t>
      </w:r>
      <w:r w:rsidR="00004AAB">
        <w:t>(</w:t>
      </w:r>
      <w:proofErr w:type="spellStart"/>
      <w:r w:rsidR="00004AAB">
        <w:t>Cth</w:t>
      </w:r>
      <w:proofErr w:type="spellEnd"/>
      <w:r w:rsidR="00004AAB">
        <w:t>) (at [584]); and</w:t>
      </w:r>
    </w:p>
    <w:p w14:paraId="1BCF383D" w14:textId="590F578C" w:rsidR="00004AAB" w:rsidRDefault="008F3E79" w:rsidP="008F3E79">
      <w:pPr>
        <w:pStyle w:val="ListNo1"/>
        <w:numPr>
          <w:ilvl w:val="0"/>
          <w:numId w:val="0"/>
        </w:numPr>
        <w:tabs>
          <w:tab w:val="left" w:pos="720"/>
        </w:tabs>
        <w:ind w:left="720" w:hanging="720"/>
      </w:pPr>
      <w:r>
        <w:t>(2)</w:t>
      </w:r>
      <w:r>
        <w:tab/>
      </w:r>
      <w:r w:rsidR="00004AAB">
        <w:t xml:space="preserve">the fraud was not material to the decisions reached by the </w:t>
      </w:r>
      <w:r w:rsidR="00684729">
        <w:t>AAT</w:t>
      </w:r>
      <w:r w:rsidR="00004AAB">
        <w:t xml:space="preserve"> and the Full Court (at [594]). </w:t>
      </w:r>
    </w:p>
    <w:p w14:paraId="77AD2ECF" w14:textId="77777777" w:rsidR="00004AAB" w:rsidRDefault="00004AAB" w:rsidP="00345DF4">
      <w:pPr>
        <w:pStyle w:val="NoNum"/>
      </w:pPr>
      <w:r>
        <w:t xml:space="preserve">I refer to these as the </w:t>
      </w:r>
      <w:r w:rsidRPr="00345DF4">
        <w:rPr>
          <w:b/>
          <w:bCs/>
        </w:rPr>
        <w:t>materiality and judicial review arguments</w:t>
      </w:r>
      <w:r>
        <w:t>.</w:t>
      </w:r>
    </w:p>
    <w:p w14:paraId="524C7794" w14:textId="76C77098" w:rsidR="006E6D7C" w:rsidRDefault="008F3E79" w:rsidP="008F3E79">
      <w:pPr>
        <w:pStyle w:val="Heading6"/>
        <w:numPr>
          <w:ilvl w:val="0"/>
          <w:numId w:val="0"/>
        </w:numPr>
        <w:tabs>
          <w:tab w:val="left" w:pos="1134"/>
        </w:tabs>
        <w:ind w:left="1134" w:hanging="1134"/>
      </w:pPr>
      <w:bookmarkStart w:id="30" w:name="_Ref156496393"/>
      <w:r>
        <w:t>5.3</w:t>
      </w:r>
      <w:r>
        <w:tab/>
      </w:r>
      <w:r w:rsidR="006E6D7C">
        <w:t>Disposition of ground two</w:t>
      </w:r>
      <w:bookmarkEnd w:id="30"/>
    </w:p>
    <w:p w14:paraId="49E9B34F" w14:textId="246C252C" w:rsidR="00004AAB" w:rsidRDefault="008F3E79" w:rsidP="008F3E79">
      <w:pPr>
        <w:pStyle w:val="Heading7"/>
        <w:numPr>
          <w:ilvl w:val="0"/>
          <w:numId w:val="0"/>
        </w:numPr>
        <w:tabs>
          <w:tab w:val="left" w:pos="1134"/>
        </w:tabs>
        <w:ind w:left="1134" w:hanging="1134"/>
      </w:pPr>
      <w:bookmarkStart w:id="31" w:name="_Ref156496394"/>
      <w:r>
        <w:t>5.3.1</w:t>
      </w:r>
      <w:r>
        <w:tab/>
      </w:r>
      <w:r w:rsidR="00004AAB">
        <w:t xml:space="preserve">The </w:t>
      </w:r>
      <w:r w:rsidR="006A5687">
        <w:t>p</w:t>
      </w:r>
      <w:r w:rsidR="00004AAB">
        <w:t xml:space="preserve">eriod </w:t>
      </w:r>
      <w:r w:rsidR="006A5687">
        <w:t>b</w:t>
      </w:r>
      <w:r w:rsidR="00004AAB">
        <w:t xml:space="preserve">efore the </w:t>
      </w:r>
      <w:r w:rsidR="006A5687">
        <w:t>p</w:t>
      </w:r>
      <w:r w:rsidR="00004AAB">
        <w:t xml:space="preserve">ositive </w:t>
      </w:r>
      <w:r w:rsidR="006A5687">
        <w:t>d</w:t>
      </w:r>
      <w:r w:rsidR="00004AAB">
        <w:t>efence</w:t>
      </w:r>
      <w:bookmarkEnd w:id="31"/>
    </w:p>
    <w:p w14:paraId="2590BE22" w14:textId="2E523FF3" w:rsidR="00004AAB" w:rsidRDefault="008F3E79" w:rsidP="008F3E79">
      <w:pPr>
        <w:pStyle w:val="ParaNumbering"/>
        <w:numPr>
          <w:ilvl w:val="0"/>
          <w:numId w:val="0"/>
        </w:numPr>
        <w:ind w:hanging="720"/>
      </w:pPr>
      <w:r>
        <w:rPr>
          <w:sz w:val="20"/>
        </w:rPr>
        <w:t>69</w:t>
      </w:r>
      <w:r>
        <w:rPr>
          <w:sz w:val="20"/>
        </w:rPr>
        <w:tab/>
      </w:r>
      <w:r w:rsidR="00004AAB">
        <w:t xml:space="preserve">If the issues on the application for indemnity costs fell to be determined on the basis of ground 2, I would not have accepted that Rawson’s conduct in this proceeding before filing its written submissions warranted the making of an indemnity costs order.   </w:t>
      </w:r>
    </w:p>
    <w:p w14:paraId="3CDAEF6D" w14:textId="709C1158" w:rsidR="00004AAB" w:rsidRDefault="008F3E79" w:rsidP="008F3E79">
      <w:pPr>
        <w:pStyle w:val="ParaNumbering"/>
        <w:numPr>
          <w:ilvl w:val="0"/>
          <w:numId w:val="0"/>
        </w:numPr>
        <w:ind w:hanging="720"/>
      </w:pPr>
      <w:r>
        <w:rPr>
          <w:sz w:val="20"/>
        </w:rPr>
        <w:t>70</w:t>
      </w:r>
      <w:r>
        <w:rPr>
          <w:sz w:val="20"/>
        </w:rPr>
        <w:tab/>
      </w:r>
      <w:r w:rsidR="00004AAB">
        <w:rPr>
          <w:b/>
          <w:bCs/>
          <w:i/>
          <w:iCs/>
        </w:rPr>
        <w:t>First</w:t>
      </w:r>
      <w:r w:rsidR="00004AAB">
        <w:t>, the Commissioner submits that Rawson’s relevant delinquency was its failure to admit the underlying fraudulent conduct in these proceedings.  In the Commissioner’s submission:</w:t>
      </w:r>
    </w:p>
    <w:p w14:paraId="361FF09B" w14:textId="77777777" w:rsidR="00004AAB" w:rsidRDefault="00004AAB" w:rsidP="00EF7654">
      <w:pPr>
        <w:pStyle w:val="Quote1"/>
      </w:pPr>
      <w:r>
        <w:t>R</w:t>
      </w:r>
      <w:r w:rsidRPr="00BF1F4C">
        <w:t xml:space="preserve">awson, having </w:t>
      </w:r>
      <w:r w:rsidRPr="00BF1F4C">
        <w:rPr>
          <w:u w:val="single"/>
        </w:rPr>
        <w:t>always known</w:t>
      </w:r>
      <w:r w:rsidRPr="00BF1F4C">
        <w:t xml:space="preserve"> the true position of its fraud, declined to plead to matters that concerned its knowledge of false or materially misleading evidence</w:t>
      </w:r>
      <w:r>
        <w:t xml:space="preserve"> … [T]he fact that it declined to plead to </w:t>
      </w:r>
      <w:r w:rsidRPr="00EF7654">
        <w:rPr>
          <w:u w:val="single"/>
        </w:rPr>
        <w:t>matters of central importance which were within its knowledge</w:t>
      </w:r>
      <w:r w:rsidRPr="00F36053">
        <w:t xml:space="preserve">, instigated the lengthy and costly process of the Commissioner, in these proceedings, setting out to prove the extent of Rawson’s fraud. </w:t>
      </w:r>
      <w:r>
        <w:t xml:space="preserve"> </w:t>
      </w:r>
      <w:r w:rsidRPr="00F36053">
        <w:t>What Rawson did was prolong its existing concerted effort to keep its knowledge of its true conduct from the Court, for as long as possible.</w:t>
      </w:r>
    </w:p>
    <w:p w14:paraId="025E3325" w14:textId="77777777" w:rsidR="00004AAB" w:rsidRDefault="00004AAB" w:rsidP="00EF7654">
      <w:pPr>
        <w:pStyle w:val="Quote1"/>
      </w:pPr>
      <w:r>
        <w:t>(Outline of Applicant’s Submissions in Reply at [6]-[7]; emphasis in original.)</w:t>
      </w:r>
    </w:p>
    <w:p w14:paraId="72DCB4D5" w14:textId="5B33E319" w:rsidR="00004AAB" w:rsidRDefault="008F3E79" w:rsidP="008F3E79">
      <w:pPr>
        <w:pStyle w:val="ParaNumbering"/>
        <w:numPr>
          <w:ilvl w:val="0"/>
          <w:numId w:val="0"/>
        </w:numPr>
        <w:ind w:hanging="720"/>
      </w:pPr>
      <w:r>
        <w:rPr>
          <w:sz w:val="20"/>
        </w:rPr>
        <w:lastRenderedPageBreak/>
        <w:t>71</w:t>
      </w:r>
      <w:r>
        <w:rPr>
          <w:sz w:val="20"/>
        </w:rPr>
        <w:tab/>
      </w:r>
      <w:r w:rsidR="00004AAB">
        <w:t>The difficulty with those submissions, however, is that they overlook a key component of the chronology outlined above, namely, the consent orders</w:t>
      </w:r>
      <w:r w:rsidR="00004AAB" w:rsidRPr="004600A7">
        <w:t xml:space="preserve"> </w:t>
      </w:r>
      <w:r w:rsidR="00004AAB">
        <w:t xml:space="preserve">made </w:t>
      </w:r>
      <w:r w:rsidR="00004AAB" w:rsidRPr="004600A7">
        <w:t>on 29 April 2015 and 3 September 2020</w:t>
      </w:r>
      <w:r w:rsidR="00004AAB">
        <w:t>.  By those consent orders, Rawson was expressly exempted from pleading to central elements of the Commissioner’s fraud case.</w:t>
      </w:r>
    </w:p>
    <w:p w14:paraId="18123789" w14:textId="36544DA7" w:rsidR="00004AAB" w:rsidRDefault="008F3E79" w:rsidP="008F3E79">
      <w:pPr>
        <w:pStyle w:val="ParaNumbering"/>
        <w:numPr>
          <w:ilvl w:val="0"/>
          <w:numId w:val="0"/>
        </w:numPr>
        <w:ind w:hanging="720"/>
      </w:pPr>
      <w:r>
        <w:rPr>
          <w:sz w:val="20"/>
        </w:rPr>
        <w:t>72</w:t>
      </w:r>
      <w:r>
        <w:rPr>
          <w:sz w:val="20"/>
        </w:rPr>
        <w:tab/>
      </w:r>
      <w:r w:rsidR="00004AAB">
        <w:t xml:space="preserve">It is true, as the Commissioner submits, that those orders did not </w:t>
      </w:r>
      <w:r w:rsidR="00004AAB" w:rsidRPr="005746A5">
        <w:rPr>
          <w:i/>
          <w:iCs/>
        </w:rPr>
        <w:t xml:space="preserve">prevent </w:t>
      </w:r>
      <w:r w:rsidR="00004AAB">
        <w:t>Rawson from admitting the fraud.  Rawson “</w:t>
      </w:r>
      <w:r w:rsidR="00004AAB" w:rsidRPr="005746A5">
        <w:rPr>
          <w:i/>
          <w:iCs/>
        </w:rPr>
        <w:t>at any time could have chosen to do something different</w:t>
      </w:r>
      <w:r w:rsidR="00004AAB">
        <w:t xml:space="preserve">”, as the Commissioner submitted: T39.27.  However, </w:t>
      </w:r>
      <w:r w:rsidR="00790B5C">
        <w:t>t</w:t>
      </w:r>
      <w:r w:rsidR="00004AAB">
        <w:t xml:space="preserve">he Commissioner cannot criticise Rawson </w:t>
      </w:r>
      <w:r w:rsidR="004A58E9">
        <w:t>conducting its defence in reliance on orders to which the Commissioner consented</w:t>
      </w:r>
      <w:r w:rsidR="00004AAB">
        <w:t xml:space="preserve">.  In so saying, I should make it clear that I am not intending in any way to criticise the Commissioner for having consented to the orders.  </w:t>
      </w:r>
    </w:p>
    <w:p w14:paraId="0DE93965" w14:textId="1200734F" w:rsidR="00004AAB" w:rsidRDefault="008F3E79" w:rsidP="008F3E79">
      <w:pPr>
        <w:pStyle w:val="ParaNumbering"/>
        <w:numPr>
          <w:ilvl w:val="0"/>
          <w:numId w:val="0"/>
        </w:numPr>
        <w:ind w:hanging="720"/>
      </w:pPr>
      <w:r>
        <w:rPr>
          <w:sz w:val="20"/>
        </w:rPr>
        <w:t>73</w:t>
      </w:r>
      <w:r>
        <w:rPr>
          <w:sz w:val="20"/>
        </w:rPr>
        <w:tab/>
      </w:r>
      <w:r w:rsidR="00004AAB" w:rsidRPr="00D30626">
        <w:rPr>
          <w:b/>
          <w:bCs/>
          <w:i/>
          <w:iCs/>
        </w:rPr>
        <w:t>Second</w:t>
      </w:r>
      <w:r w:rsidR="00004AAB">
        <w:rPr>
          <w:b/>
          <w:bCs/>
          <w:i/>
          <w:iCs/>
        </w:rPr>
        <w:t>ly</w:t>
      </w:r>
      <w:r w:rsidR="00004AAB">
        <w:t xml:space="preserve">, the Commissioner also submits that Rawson’s resistance to producing documents in this proceeding </w:t>
      </w:r>
      <w:r w:rsidR="00004AAB" w:rsidRPr="006F4FA0">
        <w:t>—</w:t>
      </w:r>
      <w:r w:rsidR="00004AAB">
        <w:t xml:space="preserve"> particularly its “</w:t>
      </w:r>
      <w:r w:rsidR="00004AAB" w:rsidRPr="00B90423">
        <w:rPr>
          <w:i/>
          <w:iCs/>
        </w:rPr>
        <w:t>vigorous</w:t>
      </w:r>
      <w:r w:rsidR="00004AAB">
        <w:t>” contestation to the letters of request in both Australian and Israeli proceedings (</w:t>
      </w:r>
      <w:r w:rsidR="00004AAB">
        <w:rPr>
          <w:i/>
          <w:iCs/>
        </w:rPr>
        <w:t>Rawson Primary Judgment</w:t>
      </w:r>
      <w:r w:rsidR="00004AAB">
        <w:t xml:space="preserve"> at [623]) </w:t>
      </w:r>
      <w:r w:rsidR="00004AAB" w:rsidRPr="006F4FA0">
        <w:t>—</w:t>
      </w:r>
      <w:r w:rsidR="00004AAB">
        <w:t xml:space="preserve"> warrants indemnity costs.  I do not agree.</w:t>
      </w:r>
    </w:p>
    <w:p w14:paraId="474B9B20" w14:textId="1D5CF3C4" w:rsidR="00004AAB" w:rsidRDefault="008F3E79" w:rsidP="008F3E79">
      <w:pPr>
        <w:pStyle w:val="ParaNumbering"/>
        <w:numPr>
          <w:ilvl w:val="0"/>
          <w:numId w:val="0"/>
        </w:numPr>
        <w:ind w:hanging="720"/>
      </w:pPr>
      <w:r>
        <w:rPr>
          <w:sz w:val="20"/>
        </w:rPr>
        <w:t>74</w:t>
      </w:r>
      <w:r>
        <w:rPr>
          <w:sz w:val="20"/>
        </w:rPr>
        <w:tab/>
      </w:r>
      <w:r w:rsidR="00004AAB">
        <w:t>The Commissioner made two interlocutory applications in this Court for letters of request be sent to the judicial authorities in Israel.  Rawson opposed the first application.  Rawson successfully appealed my decision ordering the issue of the letter of request</w:t>
      </w:r>
      <w:r w:rsidR="00551738">
        <w:t>,</w:t>
      </w:r>
      <w:r w:rsidR="00004AAB">
        <w:t xml:space="preserve"> </w:t>
      </w:r>
      <w:r w:rsidR="00BA1DEA">
        <w:t xml:space="preserve">primarily </w:t>
      </w:r>
      <w:r w:rsidR="00004AAB">
        <w:t>on the ground that t</w:t>
      </w:r>
      <w:r w:rsidR="00004AAB" w:rsidRPr="00146753">
        <w:t xml:space="preserve">he evidence </w:t>
      </w:r>
      <w:r w:rsidR="00004AAB">
        <w:t xml:space="preserve">did not establish that </w:t>
      </w:r>
      <w:r w:rsidR="00004AAB" w:rsidRPr="00146753">
        <w:t>Ms Asher-</w:t>
      </w:r>
      <w:proofErr w:type="spellStart"/>
      <w:r w:rsidR="00004AAB" w:rsidRPr="00146753">
        <w:t>Topilsky</w:t>
      </w:r>
      <w:proofErr w:type="spellEnd"/>
      <w:r w:rsidR="00004AAB" w:rsidRPr="00146753">
        <w:t xml:space="preserve"> would be </w:t>
      </w:r>
      <w:r w:rsidR="00C20D8D">
        <w:t xml:space="preserve">able to give evidence </w:t>
      </w:r>
      <w:r w:rsidR="00004AAB" w:rsidRPr="00146753">
        <w:t>material to any issue to be tried in the proceeding</w:t>
      </w:r>
      <w:r w:rsidR="00004AAB">
        <w:t>, being a</w:t>
      </w:r>
      <w:r w:rsidR="00004AAB" w:rsidRPr="00146753">
        <w:t xml:space="preserve"> matter to which regard </w:t>
      </w:r>
      <w:r w:rsidR="00004AAB">
        <w:t xml:space="preserve">must </w:t>
      </w:r>
      <w:r w:rsidR="00004AAB" w:rsidRPr="00146753">
        <w:t>be had under s</w:t>
      </w:r>
      <w:r w:rsidR="00C20D8D">
        <w:t> </w:t>
      </w:r>
      <w:r w:rsidR="00004AAB" w:rsidRPr="00146753">
        <w:t>7(2)</w:t>
      </w:r>
      <w:r w:rsidR="00004AAB">
        <w:t xml:space="preserve"> of the </w:t>
      </w:r>
      <w:r w:rsidR="00004AAB" w:rsidRPr="00BA1DEA">
        <w:rPr>
          <w:i/>
          <w:iCs/>
        </w:rPr>
        <w:t>Foreign Evidence Act</w:t>
      </w:r>
      <w:r w:rsidR="00C20D8D">
        <w:t xml:space="preserve">:  </w:t>
      </w:r>
      <w:r w:rsidR="00C20D8D" w:rsidRPr="00BA1DEA">
        <w:rPr>
          <w:i/>
          <w:iCs/>
        </w:rPr>
        <w:t>Rawson (No 2) FCAFC</w:t>
      </w:r>
      <w:r w:rsidR="00C20D8D">
        <w:t xml:space="preserve"> at [4]</w:t>
      </w:r>
      <w:r w:rsidR="00004AAB">
        <w:t xml:space="preserve">.  Rawson did not, however, oppose the </w:t>
      </w:r>
      <w:r w:rsidR="001659C1">
        <w:t xml:space="preserve">Commissioner’s </w:t>
      </w:r>
      <w:r w:rsidR="00004AAB">
        <w:t>second application</w:t>
      </w:r>
      <w:r w:rsidR="00450BBA">
        <w:t xml:space="preserve"> for the issue of letters of request</w:t>
      </w:r>
      <w:r w:rsidR="00004AAB">
        <w:t xml:space="preserve">.  Rawson’s conduct with respect to those applications </w:t>
      </w:r>
      <w:r w:rsidR="00004AAB" w:rsidRPr="006F4FA0">
        <w:t>—</w:t>
      </w:r>
      <w:r w:rsidR="00004AAB">
        <w:t xml:space="preserve"> succeeding on one application </w:t>
      </w:r>
      <w:r w:rsidR="0088583D">
        <w:t>o</w:t>
      </w:r>
      <w:r w:rsidR="00450BBA">
        <w:t xml:space="preserve">n appeal </w:t>
      </w:r>
      <w:r w:rsidR="00004AAB">
        <w:t xml:space="preserve">and taking no position with respect to the other </w:t>
      </w:r>
      <w:r w:rsidR="00450BBA">
        <w:t xml:space="preserve">application </w:t>
      </w:r>
      <w:r w:rsidR="00004AAB" w:rsidRPr="006F4FA0">
        <w:t>—</w:t>
      </w:r>
      <w:r w:rsidR="00004AAB">
        <w:t xml:space="preserve"> therefore demonstrates no delinquency.  </w:t>
      </w:r>
    </w:p>
    <w:p w14:paraId="3A8B06BF" w14:textId="1C58FFE0" w:rsidR="00004AAB" w:rsidRDefault="008F3E79" w:rsidP="008F3E79">
      <w:pPr>
        <w:pStyle w:val="ParaNumbering"/>
        <w:numPr>
          <w:ilvl w:val="0"/>
          <w:numId w:val="0"/>
        </w:numPr>
        <w:ind w:hanging="720"/>
      </w:pPr>
      <w:r>
        <w:rPr>
          <w:sz w:val="20"/>
        </w:rPr>
        <w:t>75</w:t>
      </w:r>
      <w:r>
        <w:rPr>
          <w:sz w:val="20"/>
        </w:rPr>
        <w:tab/>
      </w:r>
      <w:r w:rsidR="00004AAB">
        <w:t xml:space="preserve">The Commissioner also submits that Rawson impermissibly resisted the disclosure of certain documents through the various challenges in the Israeli Courts.  There are two difficulties with that submission.  </w:t>
      </w:r>
    </w:p>
    <w:p w14:paraId="028EAB5A" w14:textId="4FA587D6" w:rsidR="00004AAB" w:rsidRDefault="008F3E79" w:rsidP="008F3E79">
      <w:pPr>
        <w:pStyle w:val="ParaNumbering"/>
        <w:numPr>
          <w:ilvl w:val="0"/>
          <w:numId w:val="0"/>
        </w:numPr>
        <w:ind w:hanging="720"/>
      </w:pPr>
      <w:r>
        <w:rPr>
          <w:sz w:val="20"/>
        </w:rPr>
        <w:t>76</w:t>
      </w:r>
      <w:r>
        <w:rPr>
          <w:sz w:val="20"/>
        </w:rPr>
        <w:tab/>
      </w:r>
      <w:r w:rsidR="00004AAB">
        <w:t xml:space="preserve">The first is that the notice to produce was not resisted (directly at least) by Rawson in the Israeli proceedings because </w:t>
      </w:r>
      <w:r w:rsidR="006D6321">
        <w:t xml:space="preserve">the </w:t>
      </w:r>
      <w:r w:rsidR="00004AAB">
        <w:t xml:space="preserve">MDB was the only active respondent to the Israeli proceedings.  Faced with that difficulty, the Commissioner submits that Rawson was likely the cause of </w:t>
      </w:r>
      <w:r w:rsidR="002B2C9F">
        <w:t xml:space="preserve">the </w:t>
      </w:r>
      <w:r w:rsidR="006D6321">
        <w:t>MDB</w:t>
      </w:r>
      <w:r w:rsidR="00004AAB">
        <w:t xml:space="preserve">’s resistance in the Israeli proceedings.  That argument, however, suffers from an absence of </w:t>
      </w:r>
      <w:r w:rsidR="00004AAB">
        <w:lastRenderedPageBreak/>
        <w:t xml:space="preserve">proof.  In this proceeding, there has been no evidence as to why </w:t>
      </w:r>
      <w:r w:rsidR="006D6321">
        <w:t>the MDB</w:t>
      </w:r>
      <w:r w:rsidR="00004AAB">
        <w:t xml:space="preserve"> resisted the Israeli proceeding, and no proof that </w:t>
      </w:r>
      <w:r w:rsidR="006D6321">
        <w:t>the MDB</w:t>
      </w:r>
      <w:r w:rsidR="00004AAB">
        <w:t xml:space="preserve"> resisted the Israeli proceedings on Rawson’s instructions.  Whether </w:t>
      </w:r>
      <w:r w:rsidR="006D6321">
        <w:t>the MDB</w:t>
      </w:r>
      <w:r w:rsidR="00004AAB">
        <w:t xml:space="preserve">’s conduct was based on Rawson’s instructions, or whether </w:t>
      </w:r>
      <w:r w:rsidR="006D6321">
        <w:t>the MDB</w:t>
      </w:r>
      <w:r w:rsidR="00004AAB">
        <w:t xml:space="preserve"> had internal reasons for opposing that disclosure, has not been proved.  </w:t>
      </w:r>
    </w:p>
    <w:p w14:paraId="40B26B67" w14:textId="794B0FAE" w:rsidR="00004AAB" w:rsidRDefault="008F3E79" w:rsidP="008F3E79">
      <w:pPr>
        <w:pStyle w:val="ParaNumbering"/>
        <w:numPr>
          <w:ilvl w:val="0"/>
          <w:numId w:val="0"/>
        </w:numPr>
        <w:ind w:hanging="720"/>
      </w:pPr>
      <w:r>
        <w:rPr>
          <w:sz w:val="20"/>
        </w:rPr>
        <w:t>77</w:t>
      </w:r>
      <w:r>
        <w:rPr>
          <w:sz w:val="20"/>
        </w:rPr>
        <w:tab/>
      </w:r>
      <w:r w:rsidR="00004AAB">
        <w:t xml:space="preserve">Secondly, it is true to say that the proceedings against </w:t>
      </w:r>
      <w:r w:rsidR="006D6321">
        <w:t>the MDB</w:t>
      </w:r>
      <w:r w:rsidR="00004AAB">
        <w:t xml:space="preserve"> were rendered necessary at least in part by Rawson’s conduct insofar as it was open to Rawson at any time to have instructed </w:t>
      </w:r>
      <w:r w:rsidR="006D6321">
        <w:t>the MDB</w:t>
      </w:r>
      <w:r w:rsidR="00004AAB">
        <w:t xml:space="preserve"> to produce the documents.  As I found in the </w:t>
      </w:r>
      <w:r w:rsidR="00004AAB">
        <w:rPr>
          <w:i/>
          <w:iCs/>
        </w:rPr>
        <w:t>Rawson Primary Judgment</w:t>
      </w:r>
      <w:r w:rsidR="00004AAB">
        <w:t>, “</w:t>
      </w:r>
      <w:r w:rsidR="00004AAB" w:rsidRPr="00933834">
        <w:rPr>
          <w:i/>
          <w:iCs/>
        </w:rPr>
        <w:t>while MDB would have produced all of the documents held by it with respect to the Rawson loan and the back-to-back deposit account if requested by Rawson, it was never asked to do so</w:t>
      </w:r>
      <w:r w:rsidR="00004AAB">
        <w:t xml:space="preserve">”: at [605]; see also [555] and [648].  Further, no doubt, Rawson’s failure to ask for the documents stemmed from its motivation to conceal this evidence, given that it would disclose the existence of the Arthur Belan deposit account thereby disclosing the fraud.  These matters notwithstanding, it has never been suggested that </w:t>
      </w:r>
      <w:r w:rsidR="00004AAB" w:rsidRPr="00B13425">
        <w:rPr>
          <w:iCs/>
        </w:rPr>
        <w:t>Rawson</w:t>
      </w:r>
      <w:r w:rsidR="00004AAB">
        <w:t xml:space="preserve"> was under an </w:t>
      </w:r>
      <w:r w:rsidR="00004AAB" w:rsidRPr="00D00FBB">
        <w:rPr>
          <w:b/>
          <w:i/>
        </w:rPr>
        <w:t>obligation</w:t>
      </w:r>
      <w:r w:rsidR="00004AAB">
        <w:t xml:space="preserve"> to produce those documents in this proceeding.  There was, for example, no</w:t>
      </w:r>
      <w:r w:rsidR="006D6321">
        <w:t xml:space="preserve"> </w:t>
      </w:r>
      <w:r w:rsidR="004934AC">
        <w:t>c</w:t>
      </w:r>
      <w:r w:rsidR="006D6321">
        <w:t>ourt</w:t>
      </w:r>
      <w:r w:rsidR="00004AAB">
        <w:t xml:space="preserve"> order requiring Rawson to produce </w:t>
      </w:r>
      <w:r w:rsidR="006D6321">
        <w:t>the</w:t>
      </w:r>
      <w:r w:rsidR="00004AAB">
        <w:t xml:space="preserve"> documents sought by the Commissioner</w:t>
      </w:r>
      <w:r w:rsidR="006D6321">
        <w:t xml:space="preserve"> ultimately via the letters of request and related proceedings in Israel</w:t>
      </w:r>
      <w:r w:rsidR="00004AAB">
        <w:t xml:space="preserve">.  To the contrary, as outlined above, in </w:t>
      </w:r>
      <w:r w:rsidR="00004AAB" w:rsidRPr="00642149">
        <w:rPr>
          <w:i/>
          <w:iCs/>
        </w:rPr>
        <w:t>Rawson (No</w:t>
      </w:r>
      <w:r w:rsidR="00004AAB">
        <w:rPr>
          <w:i/>
          <w:iCs/>
        </w:rPr>
        <w:t> </w:t>
      </w:r>
      <w:r w:rsidR="00004AAB" w:rsidRPr="00642149">
        <w:rPr>
          <w:i/>
          <w:iCs/>
        </w:rPr>
        <w:t>2)</w:t>
      </w:r>
      <w:r w:rsidR="00004AAB">
        <w:t xml:space="preserve"> I rejected orders sought by the Commissioner which would have required Rawson to </w:t>
      </w:r>
      <w:r w:rsidR="00912C67">
        <w:t xml:space="preserve">assist in obtaining </w:t>
      </w:r>
      <w:r w:rsidR="00004AAB">
        <w:t>those documents</w:t>
      </w:r>
      <w:r w:rsidR="00912C67">
        <w:t>,</w:t>
      </w:r>
      <w:r w:rsidR="00004AAB">
        <w:t xml:space="preserve"> on the basis that </w:t>
      </w:r>
      <w:r w:rsidR="00912C67">
        <w:t>orders to that effect</w:t>
      </w:r>
      <w:r w:rsidR="00004AAB">
        <w:t xml:space="preserve"> would infringe Andrew and Margaret Binetter’s privilege against self-incrimination: at </w:t>
      </w:r>
      <w:r w:rsidR="00004AAB" w:rsidRPr="00642149">
        <w:rPr>
          <w:i/>
          <w:iCs/>
        </w:rPr>
        <w:t>Rawson (No 2)</w:t>
      </w:r>
      <w:r w:rsidR="00004AAB">
        <w:t xml:space="preserve"> [56].  </w:t>
      </w:r>
    </w:p>
    <w:p w14:paraId="17CF21E4" w14:textId="55D57735" w:rsidR="00004AAB" w:rsidRDefault="008F3E79" w:rsidP="008F3E79">
      <w:pPr>
        <w:pStyle w:val="ParaNumbering"/>
        <w:numPr>
          <w:ilvl w:val="0"/>
          <w:numId w:val="0"/>
        </w:numPr>
        <w:ind w:hanging="720"/>
      </w:pPr>
      <w:r>
        <w:rPr>
          <w:sz w:val="20"/>
        </w:rPr>
        <w:t>78</w:t>
      </w:r>
      <w:r>
        <w:rPr>
          <w:sz w:val="20"/>
        </w:rPr>
        <w:tab/>
      </w:r>
      <w:r w:rsidR="00004AAB">
        <w:t xml:space="preserve">In post-hearing submissions, the Commissioner contended that the basis on which I rejected those orders in </w:t>
      </w:r>
      <w:r w:rsidR="00004AAB" w:rsidRPr="00645452">
        <w:rPr>
          <w:i/>
          <w:iCs/>
        </w:rPr>
        <w:t>Rawson (No 2)</w:t>
      </w:r>
      <w:r w:rsidR="00004AAB">
        <w:t xml:space="preserve"> at [56] was incorrect.  Ultimately, however, it is not necessary to decide that issue.  The short point is that the Commissioner did not apply for leave to appeal against </w:t>
      </w:r>
      <w:r w:rsidR="001359E8">
        <w:rPr>
          <w:iCs/>
        </w:rPr>
        <w:t xml:space="preserve">the Court orders </w:t>
      </w:r>
      <w:r w:rsidR="001359E8">
        <w:t xml:space="preserve">dismissing the Commissioner’s application for Rawson to assist in obtaining nominated documents from the MDB </w:t>
      </w:r>
      <w:r w:rsidR="00F44474">
        <w:t xml:space="preserve">for the reasons given at [56] of </w:t>
      </w:r>
      <w:r w:rsidR="00F44474" w:rsidRPr="00492C4A">
        <w:rPr>
          <w:i/>
          <w:iCs/>
        </w:rPr>
        <w:t>Rawson (No</w:t>
      </w:r>
      <w:r w:rsidR="001C56DC">
        <w:rPr>
          <w:i/>
          <w:iCs/>
        </w:rPr>
        <w:t> </w:t>
      </w:r>
      <w:r w:rsidR="00F44474" w:rsidRPr="00492C4A">
        <w:rPr>
          <w:i/>
          <w:iCs/>
        </w:rPr>
        <w:t>2</w:t>
      </w:r>
      <w:r w:rsidR="00F44474">
        <w:rPr>
          <w:i/>
          <w:iCs/>
        </w:rPr>
        <w:t>)</w:t>
      </w:r>
      <w:r w:rsidR="00004AAB">
        <w:t xml:space="preserve">: </w:t>
      </w:r>
      <w:r w:rsidR="00E12A8F">
        <w:t xml:space="preserve"> see </w:t>
      </w:r>
      <w:r w:rsidR="00004AAB" w:rsidRPr="00B63314">
        <w:rPr>
          <w:i/>
          <w:iCs/>
        </w:rPr>
        <w:t xml:space="preserve">Rawson (No 2) FCAFC </w:t>
      </w:r>
      <w:r w:rsidR="00004AAB">
        <w:t>at [13].</w:t>
      </w:r>
      <w:r w:rsidR="006C6676" w:rsidDel="006C6676">
        <w:t xml:space="preserve"> </w:t>
      </w:r>
    </w:p>
    <w:p w14:paraId="0053E8A5" w14:textId="494ACE34" w:rsidR="00004AAB" w:rsidRDefault="008F3E79" w:rsidP="008F3E79">
      <w:pPr>
        <w:pStyle w:val="ParaNumbering"/>
        <w:numPr>
          <w:ilvl w:val="0"/>
          <w:numId w:val="0"/>
        </w:numPr>
        <w:ind w:hanging="720"/>
      </w:pPr>
      <w:r>
        <w:rPr>
          <w:sz w:val="20"/>
        </w:rPr>
        <w:t>79</w:t>
      </w:r>
      <w:r>
        <w:rPr>
          <w:sz w:val="20"/>
        </w:rPr>
        <w:tab/>
      </w:r>
      <w:r w:rsidR="00004AAB">
        <w:t xml:space="preserve">In these circumstances, the Commissioner has not established that Rawson’s conduct prior to the filing of its written submissions in chief justifies the making of an indemnity costs order.  </w:t>
      </w:r>
    </w:p>
    <w:p w14:paraId="2E10B9FD" w14:textId="524F1D93" w:rsidR="00004AAB" w:rsidRDefault="008F3E79" w:rsidP="008F3E79">
      <w:pPr>
        <w:pStyle w:val="Heading7"/>
        <w:numPr>
          <w:ilvl w:val="0"/>
          <w:numId w:val="0"/>
        </w:numPr>
        <w:tabs>
          <w:tab w:val="left" w:pos="1134"/>
        </w:tabs>
        <w:ind w:left="1134" w:hanging="1134"/>
      </w:pPr>
      <w:bookmarkStart w:id="32" w:name="_Ref156496395"/>
      <w:r>
        <w:t>5.3.2</w:t>
      </w:r>
      <w:r>
        <w:tab/>
      </w:r>
      <w:r w:rsidR="00004AAB">
        <w:t xml:space="preserve">The </w:t>
      </w:r>
      <w:r w:rsidR="006A5687">
        <w:t>p</w:t>
      </w:r>
      <w:r w:rsidR="00004AAB">
        <w:t xml:space="preserve">eriod </w:t>
      </w:r>
      <w:r w:rsidR="006A5687">
        <w:t>f</w:t>
      </w:r>
      <w:r w:rsidR="00004AAB">
        <w:t xml:space="preserve">rom the </w:t>
      </w:r>
      <w:r w:rsidR="006A5687">
        <w:t>p</w:t>
      </w:r>
      <w:r w:rsidR="00004AAB">
        <w:t xml:space="preserve">ositive </w:t>
      </w:r>
      <w:r w:rsidR="006A5687">
        <w:t>d</w:t>
      </w:r>
      <w:r w:rsidR="00004AAB">
        <w:t>efence</w:t>
      </w:r>
      <w:bookmarkEnd w:id="32"/>
    </w:p>
    <w:p w14:paraId="52BBF3A8" w14:textId="227DE1E0" w:rsidR="00004AAB" w:rsidRDefault="008F3E79" w:rsidP="008F3E79">
      <w:pPr>
        <w:pStyle w:val="ParaNumbering"/>
        <w:numPr>
          <w:ilvl w:val="0"/>
          <w:numId w:val="0"/>
        </w:numPr>
        <w:ind w:hanging="720"/>
      </w:pPr>
      <w:r>
        <w:rPr>
          <w:sz w:val="20"/>
        </w:rPr>
        <w:t>80</w:t>
      </w:r>
      <w:r>
        <w:rPr>
          <w:sz w:val="20"/>
        </w:rPr>
        <w:tab/>
      </w:r>
      <w:r w:rsidR="00004AAB">
        <w:t>On the alternative hypothesis that ground 1 was not upheld, I would, however, have held that Rawson should pay indemnity costs from the date on which it filed written submissions in chief</w:t>
      </w:r>
      <w:r w:rsidR="00B35277">
        <w:t>,</w:t>
      </w:r>
      <w:r w:rsidR="00004AAB">
        <w:t xml:space="preserve"> in which it advanced for the first time a positive defence of its conduct.</w:t>
      </w:r>
    </w:p>
    <w:p w14:paraId="28F93492" w14:textId="259D66CF" w:rsidR="00004AAB" w:rsidRDefault="008F3E79" w:rsidP="008F3E79">
      <w:pPr>
        <w:pStyle w:val="ParaNumbering"/>
        <w:numPr>
          <w:ilvl w:val="0"/>
          <w:numId w:val="0"/>
        </w:numPr>
        <w:ind w:hanging="720"/>
      </w:pPr>
      <w:r>
        <w:rPr>
          <w:sz w:val="20"/>
        </w:rPr>
        <w:lastRenderedPageBreak/>
        <w:t>81</w:t>
      </w:r>
      <w:r>
        <w:rPr>
          <w:sz w:val="20"/>
        </w:rPr>
        <w:tab/>
      </w:r>
      <w:r w:rsidR="00004AAB" w:rsidRPr="00176C83">
        <w:rPr>
          <w:b/>
          <w:bCs/>
          <w:i/>
          <w:iCs/>
        </w:rPr>
        <w:t>First</w:t>
      </w:r>
      <w:r w:rsidR="00004AAB">
        <w:t xml:space="preserve">, as a matter of principle, it is well-established that a party’s knowledge of any underlying wrongdoing may be relevant to an assessment of their conduct in the present proceeding.  As Lindgren J in </w:t>
      </w:r>
      <w:r w:rsidR="00004AAB" w:rsidRPr="00176C83">
        <w:rPr>
          <w:i/>
          <w:iCs/>
        </w:rPr>
        <w:t xml:space="preserve">NMFM </w:t>
      </w:r>
      <w:r w:rsidR="00004AAB" w:rsidRPr="00176C83">
        <w:rPr>
          <w:iCs/>
        </w:rPr>
        <w:t xml:space="preserve">held </w:t>
      </w:r>
      <w:r w:rsidR="00004AAB">
        <w:t>(at [56]) (in a passage that bears repeating), the “</w:t>
      </w:r>
      <w:r w:rsidR="00004AAB" w:rsidRPr="00176C83">
        <w:rPr>
          <w:i/>
          <w:iCs/>
        </w:rPr>
        <w:t xml:space="preserve">knowledge a party has, including knowledge of his or her past conduct, may be relevant to an assessment of his or her conduct </w:t>
      </w:r>
      <w:r w:rsidR="00004AAB" w:rsidRPr="00176C83">
        <w:rPr>
          <w:b/>
          <w:i/>
          <w:iCs/>
        </w:rPr>
        <w:t>as litigant</w:t>
      </w:r>
      <w:r w:rsidR="00004AAB">
        <w:t xml:space="preserve">” (emphasis added).  In support of that proposition, Lindgren J cited the decision in </w:t>
      </w:r>
      <w:r w:rsidR="00004AAB" w:rsidRPr="00F14799">
        <w:rPr>
          <w:i/>
          <w:iCs/>
        </w:rPr>
        <w:t xml:space="preserve">Australian Guarantee Corporation Ltd v </w:t>
      </w:r>
      <w:r w:rsidR="00004AAB" w:rsidRPr="00F14799">
        <w:rPr>
          <w:b/>
          <w:bCs/>
          <w:i/>
          <w:iCs/>
        </w:rPr>
        <w:t>De Jager</w:t>
      </w:r>
      <w:r w:rsidR="00004AAB" w:rsidRPr="00F14799">
        <w:rPr>
          <w:b/>
          <w:bCs/>
        </w:rPr>
        <w:t xml:space="preserve"> </w:t>
      </w:r>
      <w:r w:rsidR="00004AAB" w:rsidRPr="00F14799">
        <w:t>[1984] VR 483</w:t>
      </w:r>
      <w:r w:rsidR="00004AAB">
        <w:t>.  In that case, an action for possession</w:t>
      </w:r>
      <w:r w:rsidR="00004AAB" w:rsidDel="0052427E">
        <w:t xml:space="preserve"> </w:t>
      </w:r>
      <w:r w:rsidR="00004AAB">
        <w:t>by the applicant, A</w:t>
      </w:r>
      <w:r w:rsidR="000C2F5C">
        <w:t xml:space="preserve">ustralian </w:t>
      </w:r>
      <w:r w:rsidR="00004AAB">
        <w:t>G</w:t>
      </w:r>
      <w:r w:rsidR="000C2F5C">
        <w:t xml:space="preserve">uarantee </w:t>
      </w:r>
      <w:r w:rsidR="00763EB7">
        <w:t>Corporation (</w:t>
      </w:r>
      <w:r w:rsidR="00763EB7" w:rsidRPr="00176C83">
        <w:rPr>
          <w:b/>
          <w:bCs/>
        </w:rPr>
        <w:t>AGC</w:t>
      </w:r>
      <w:r w:rsidR="00763EB7">
        <w:t>)</w:t>
      </w:r>
      <w:r w:rsidR="00004AAB">
        <w:t xml:space="preserve">, was dismissed.  Critically, AGC had forwarded a mortgage for registration, knowing that the signature of the respondent (the wife-mortgagor) had not been attested, despite the document purporting to state that it had been.  While AGC did not then know that the wife’s signature had in fact been forged, </w:t>
      </w:r>
      <w:r w:rsidR="007F6E32">
        <w:t xml:space="preserve">its employees were aware that her signature had not been attested.  </w:t>
      </w:r>
      <w:r w:rsidR="00176C83">
        <w:t xml:space="preserve">In those circumstances, </w:t>
      </w:r>
      <w:proofErr w:type="spellStart"/>
      <w:r w:rsidR="00004AAB">
        <w:t>Tadgell</w:t>
      </w:r>
      <w:proofErr w:type="spellEnd"/>
      <w:r w:rsidR="00004AAB">
        <w:t xml:space="preserve"> J held that the applicant was guilty of fraud for the purposes of s 42 of the </w:t>
      </w:r>
      <w:r w:rsidR="00004AAB" w:rsidRPr="00176C83">
        <w:rPr>
          <w:i/>
        </w:rPr>
        <w:t xml:space="preserve">Transfer of Land Act 1958 </w:t>
      </w:r>
      <w:r w:rsidR="00004AAB">
        <w:t xml:space="preserve">in forwarding the instrument for registration despite knowing that it falsely purported to satisfy the legislative requirement of attestation.  With respect to costs, </w:t>
      </w:r>
      <w:proofErr w:type="spellStart"/>
      <w:r w:rsidR="00004AAB">
        <w:t>Tadgell</w:t>
      </w:r>
      <w:proofErr w:type="spellEnd"/>
      <w:r w:rsidR="00004AAB">
        <w:t xml:space="preserve"> J held (at 502) that the applicant having “</w:t>
      </w:r>
      <w:r w:rsidR="00004AAB" w:rsidRPr="004E758B">
        <w:rPr>
          <w:i/>
          <w:iCs/>
        </w:rPr>
        <w:t>pursued the action with the knowledge that it had</w:t>
      </w:r>
      <w:r w:rsidR="00004AAB">
        <w:rPr>
          <w:i/>
          <w:iCs/>
        </w:rPr>
        <w:t>, and failed,</w:t>
      </w:r>
      <w:r w:rsidR="00004AAB" w:rsidRPr="004E758B">
        <w:rPr>
          <w:i/>
          <w:iCs/>
        </w:rPr>
        <w:t>”</w:t>
      </w:r>
      <w:r w:rsidR="00004AAB" w:rsidRPr="006B5934">
        <w:t xml:space="preserve"> the Court</w:t>
      </w:r>
      <w:r w:rsidR="00004AAB" w:rsidRPr="004E758B">
        <w:rPr>
          <w:i/>
          <w:iCs/>
        </w:rPr>
        <w:t xml:space="preserve"> “ought to do what </w:t>
      </w:r>
      <w:r w:rsidR="00004AAB">
        <w:rPr>
          <w:i/>
          <w:iCs/>
        </w:rPr>
        <w:t>[it]</w:t>
      </w:r>
      <w:r w:rsidR="00004AAB" w:rsidRPr="004E758B">
        <w:rPr>
          <w:i/>
          <w:iCs/>
        </w:rPr>
        <w:t xml:space="preserve"> can to ensure that [the respondent] is not out of pocket over it</w:t>
      </w:r>
      <w:r w:rsidR="00004AAB">
        <w:t xml:space="preserve">”.  Thus, in considering that case, Lindgren J in </w:t>
      </w:r>
      <w:r w:rsidR="00004AAB" w:rsidRPr="004E758B">
        <w:rPr>
          <w:i/>
          <w:iCs/>
        </w:rPr>
        <w:t xml:space="preserve">NMFM </w:t>
      </w:r>
      <w:r w:rsidR="00004AAB">
        <w:t>(at [58]) held:</w:t>
      </w:r>
    </w:p>
    <w:p w14:paraId="7B629549" w14:textId="09E6C7CD" w:rsidR="00004AAB" w:rsidRDefault="00004AAB" w:rsidP="00D11AB0">
      <w:pPr>
        <w:pStyle w:val="Quote1"/>
      </w:pPr>
      <w:r w:rsidRPr="009A1987">
        <w:t xml:space="preserve">In my opinion it was </w:t>
      </w:r>
      <w:r>
        <w:t>AGC’s</w:t>
      </w:r>
      <w:r w:rsidRPr="009A1987">
        <w:t xml:space="preserve"> conduct “as litigant” that attracted the award of indemnity costs against it. </w:t>
      </w:r>
      <w:r>
        <w:t xml:space="preserve"> </w:t>
      </w:r>
      <w:r w:rsidRPr="009A1987">
        <w:t xml:space="preserve">It sought to enforce the mortgage against </w:t>
      </w:r>
      <w:r>
        <w:t xml:space="preserve">[the respondent] </w:t>
      </w:r>
      <w:r w:rsidRPr="009A1987">
        <w:t xml:space="preserve">whose signature, it always knew, had not been attested, and therefore might or might not have been forged. </w:t>
      </w:r>
      <w:r>
        <w:t xml:space="preserve"> </w:t>
      </w:r>
      <w:r w:rsidRPr="00FA7584">
        <w:rPr>
          <w:b/>
          <w:bCs/>
          <w:i/>
        </w:rPr>
        <w:t>As litigant, it assumed the role of an innocent mortgagee, knowing it had something to hide and hoping it would not be found out.</w:t>
      </w:r>
    </w:p>
    <w:p w14:paraId="1005FFF8" w14:textId="77777777" w:rsidR="00004AAB" w:rsidRDefault="00004AAB" w:rsidP="009A1987">
      <w:pPr>
        <w:pStyle w:val="Quote1"/>
      </w:pPr>
      <w:r>
        <w:t>(Emphasis added.)</w:t>
      </w:r>
    </w:p>
    <w:p w14:paraId="513976AE" w14:textId="35735C01" w:rsidR="00004AAB" w:rsidRDefault="008F3E79" w:rsidP="008F3E79">
      <w:pPr>
        <w:pStyle w:val="ParaNumbering"/>
        <w:numPr>
          <w:ilvl w:val="0"/>
          <w:numId w:val="0"/>
        </w:numPr>
        <w:ind w:hanging="720"/>
      </w:pPr>
      <w:r>
        <w:rPr>
          <w:sz w:val="20"/>
        </w:rPr>
        <w:t>82</w:t>
      </w:r>
      <w:r>
        <w:rPr>
          <w:sz w:val="20"/>
        </w:rPr>
        <w:tab/>
      </w:r>
      <w:r w:rsidR="00004AAB">
        <w:rPr>
          <w:bCs/>
          <w:iCs/>
        </w:rPr>
        <w:t xml:space="preserve">Similarly, </w:t>
      </w:r>
      <w:r w:rsidR="00004AAB">
        <w:t xml:space="preserve">in the </w:t>
      </w:r>
      <w:r w:rsidR="00004AAB">
        <w:rPr>
          <w:i/>
          <w:iCs/>
        </w:rPr>
        <w:t>Rawson (Primary Judgment)</w:t>
      </w:r>
      <w:r w:rsidR="00004AAB">
        <w:t xml:space="preserve">, I found that Rawson knew the true nature of the fraud but intentionally sought to conceal the true nature of its arrangements with </w:t>
      </w:r>
      <w:r w:rsidR="006D6321">
        <w:t>the MDB</w:t>
      </w:r>
      <w:r w:rsidR="00004AAB">
        <w:t xml:space="preserve">, being fully aware of the significance of disclosing the true arrangements to the Commissioner’s </w:t>
      </w:r>
      <w:r w:rsidR="00AE122F">
        <w:t xml:space="preserve">case </w:t>
      </w:r>
      <w:r w:rsidR="00004AAB">
        <w:t xml:space="preserve">that the AAT and Full Court decisions had been obtained by fraud:  see e.g. </w:t>
      </w:r>
      <w:r w:rsidR="00004AAB">
        <w:rPr>
          <w:i/>
          <w:iCs/>
        </w:rPr>
        <w:t xml:space="preserve">Rawson (Primary Judgment) </w:t>
      </w:r>
      <w:r w:rsidR="00004AAB">
        <w:t>at [575]-[576] and [648].</w:t>
      </w:r>
      <w:r w:rsidR="00004AAB" w:rsidRPr="00DC2277">
        <w:rPr>
          <w:i/>
          <w:iCs/>
        </w:rPr>
        <w:t xml:space="preserve"> </w:t>
      </w:r>
    </w:p>
    <w:p w14:paraId="248AC3C9" w14:textId="5C72A6BC" w:rsidR="00004AAB" w:rsidRDefault="008F3E79" w:rsidP="008F3E79">
      <w:pPr>
        <w:pStyle w:val="ParaNumbering"/>
        <w:numPr>
          <w:ilvl w:val="0"/>
          <w:numId w:val="0"/>
        </w:numPr>
        <w:ind w:hanging="720"/>
      </w:pPr>
      <w:r>
        <w:rPr>
          <w:sz w:val="20"/>
        </w:rPr>
        <w:t>83</w:t>
      </w:r>
      <w:r>
        <w:rPr>
          <w:sz w:val="20"/>
        </w:rPr>
        <w:tab/>
      </w:r>
      <w:r w:rsidR="00004AAB">
        <w:t xml:space="preserve">Accordingly, the findings in </w:t>
      </w:r>
      <w:r w:rsidR="00004AAB">
        <w:rPr>
          <w:i/>
          <w:iCs/>
        </w:rPr>
        <w:t xml:space="preserve">NMFM </w:t>
      </w:r>
      <w:r w:rsidR="00004AAB">
        <w:t xml:space="preserve">and </w:t>
      </w:r>
      <w:r w:rsidR="00004AAB">
        <w:rPr>
          <w:i/>
          <w:iCs/>
        </w:rPr>
        <w:t>De Jager</w:t>
      </w:r>
      <w:r w:rsidR="00004AAB">
        <w:t xml:space="preserve"> are equally apt to describe Rawson’s conduct in the present case, following the </w:t>
      </w:r>
      <w:r w:rsidR="000B43C6">
        <w:t>filing</w:t>
      </w:r>
      <w:r w:rsidR="00004AAB">
        <w:t xml:space="preserve"> of its written submissions in chief.  Rawson knew that it had committed a fraud on the </w:t>
      </w:r>
      <w:r w:rsidR="00B52B2A">
        <w:t>AAT</w:t>
      </w:r>
      <w:r w:rsidR="00004AAB">
        <w:t xml:space="preserve"> and </w:t>
      </w:r>
      <w:r w:rsidR="006D1D27">
        <w:t xml:space="preserve">the </w:t>
      </w:r>
      <w:r w:rsidR="00004AAB">
        <w:t>Full Court</w:t>
      </w:r>
      <w:r w:rsidR="000B43C6">
        <w:t xml:space="preserve"> in contending that the MDB loans were genuine</w:t>
      </w:r>
      <w:r w:rsidR="00004AAB">
        <w:t xml:space="preserve">.  That notwithstanding, </w:t>
      </w:r>
      <w:r w:rsidR="000B43C6">
        <w:t>Rawson</w:t>
      </w:r>
      <w:r w:rsidR="00004AAB">
        <w:t xml:space="preserve"> </w:t>
      </w:r>
      <w:r w:rsidR="000B43C6">
        <w:t xml:space="preserve">put forward </w:t>
      </w:r>
      <w:r w:rsidR="00004AAB">
        <w:t xml:space="preserve">a </w:t>
      </w:r>
      <w:r w:rsidR="00004AAB" w:rsidRPr="00132820">
        <w:rPr>
          <w:i/>
          <w:iCs/>
        </w:rPr>
        <w:t>positive</w:t>
      </w:r>
      <w:r w:rsidR="00004AAB">
        <w:t xml:space="preserve"> defence </w:t>
      </w:r>
      <w:r w:rsidR="006D1D27">
        <w:t xml:space="preserve">to this effect </w:t>
      </w:r>
      <w:r w:rsidR="006D1D27">
        <w:lastRenderedPageBreak/>
        <w:t>which it knew to be false</w:t>
      </w:r>
      <w:r w:rsidR="00004AAB">
        <w:t xml:space="preserve">.  To borrow from the language of </w:t>
      </w:r>
      <w:proofErr w:type="spellStart"/>
      <w:r w:rsidR="00004AAB">
        <w:t>Tadgell</w:t>
      </w:r>
      <w:proofErr w:type="spellEnd"/>
      <w:r w:rsidR="00004AAB">
        <w:t xml:space="preserve"> J, </w:t>
      </w:r>
      <w:r w:rsidR="006D1D27">
        <w:t>Rawson</w:t>
      </w:r>
      <w:r w:rsidR="00004AAB">
        <w:t xml:space="preserve"> “</w:t>
      </w:r>
      <w:r w:rsidR="00004AAB" w:rsidRPr="000B3BA4">
        <w:rPr>
          <w:i/>
          <w:iCs/>
        </w:rPr>
        <w:t>pursued</w:t>
      </w:r>
      <w:r w:rsidR="00004AAB">
        <w:t>” a positive defence “</w:t>
      </w:r>
      <w:r w:rsidR="00004AAB" w:rsidRPr="000B3BA4">
        <w:rPr>
          <w:i/>
          <w:iCs/>
        </w:rPr>
        <w:t>with the knowledge</w:t>
      </w:r>
      <w:r w:rsidR="00004AAB">
        <w:t>”</w:t>
      </w:r>
      <w:r w:rsidR="005F65E1">
        <w:t xml:space="preserve"> </w:t>
      </w:r>
      <w:r w:rsidR="00004AAB">
        <w:t>that its underlying conduct was in fact fraudulent.</w:t>
      </w:r>
    </w:p>
    <w:p w14:paraId="7A85AFF0" w14:textId="31A32FEF" w:rsidR="00004AAB" w:rsidRDefault="008F3E79" w:rsidP="008F3E79">
      <w:pPr>
        <w:pStyle w:val="ParaNumbering"/>
        <w:numPr>
          <w:ilvl w:val="0"/>
          <w:numId w:val="0"/>
        </w:numPr>
        <w:ind w:hanging="720"/>
      </w:pPr>
      <w:r>
        <w:rPr>
          <w:sz w:val="20"/>
        </w:rPr>
        <w:t>84</w:t>
      </w:r>
      <w:r>
        <w:rPr>
          <w:sz w:val="20"/>
        </w:rPr>
        <w:tab/>
      </w:r>
      <w:r w:rsidR="00004AAB">
        <w:t xml:space="preserve">That is not to say that Rawson was required to concede these proceedings.  As the Commissioner submits (Applicant’s Reply Submissions at [7]): </w:t>
      </w:r>
    </w:p>
    <w:p w14:paraId="75BB73AF" w14:textId="024FA7E6" w:rsidR="00004AAB" w:rsidRDefault="00004AAB" w:rsidP="00852A5B">
      <w:pPr>
        <w:pStyle w:val="Quote1"/>
      </w:pPr>
      <w:r>
        <w:t>Rawson could have argued its case … that establishing the relevant fraud was not enough, it had to be material to the impugned decision … and have admitted the underlying fraudulent conduct</w:t>
      </w:r>
      <w:r w:rsidR="00E16989">
        <w:t>.</w:t>
      </w:r>
    </w:p>
    <w:p w14:paraId="3351F730" w14:textId="4A04B511" w:rsidR="00004AAB" w:rsidRDefault="008F3E79" w:rsidP="008F3E79">
      <w:pPr>
        <w:pStyle w:val="ParaNumbering"/>
        <w:numPr>
          <w:ilvl w:val="0"/>
          <w:numId w:val="0"/>
        </w:numPr>
        <w:ind w:hanging="720"/>
      </w:pPr>
      <w:r>
        <w:rPr>
          <w:sz w:val="20"/>
        </w:rPr>
        <w:t>85</w:t>
      </w:r>
      <w:r>
        <w:rPr>
          <w:sz w:val="20"/>
        </w:rPr>
        <w:tab/>
      </w:r>
      <w:r w:rsidR="00004AAB">
        <w:t xml:space="preserve">Rawson, however, chose not to pursue this course.  Instead, it chose to positively defend that conduct, despite knowing that its underlying conduct was fraudulent.  In those circumstances, it is appropriate to order indemnity costs on and from 27 August 2020.  In so doing, I would emphasise the distinction between Rawson’s knowledge and conduct, on the one hand, and the conduct of the legal practitioners making submissions in this proceeding </w:t>
      </w:r>
      <w:r w:rsidR="0008457C">
        <w:t xml:space="preserve">acting </w:t>
      </w:r>
      <w:r w:rsidR="00004AAB">
        <w:t>on instructions from Rawson, on the other hand.  No criticism is intended of the legal practitioners in putting Rawson’s positive case in this proceeding.</w:t>
      </w:r>
    </w:p>
    <w:p w14:paraId="6A84B497" w14:textId="38CA7559" w:rsidR="00004AAB" w:rsidRDefault="008F3E79" w:rsidP="008F3E79">
      <w:pPr>
        <w:pStyle w:val="ParaNumbering"/>
        <w:numPr>
          <w:ilvl w:val="0"/>
          <w:numId w:val="0"/>
        </w:numPr>
        <w:ind w:hanging="720"/>
      </w:pPr>
      <w:r>
        <w:rPr>
          <w:sz w:val="20"/>
        </w:rPr>
        <w:t>86</w:t>
      </w:r>
      <w:r>
        <w:rPr>
          <w:sz w:val="20"/>
        </w:rPr>
        <w:tab/>
      </w:r>
      <w:r w:rsidR="00004AAB">
        <w:rPr>
          <w:b/>
          <w:bCs/>
          <w:i/>
          <w:iCs/>
        </w:rPr>
        <w:t>Finally</w:t>
      </w:r>
      <w:r w:rsidR="00004AAB">
        <w:t>, to these conclusions, one further comment should be added.  It is not to the point, as Rawson appears to submit, that the positive defence arguments were made by “</w:t>
      </w:r>
      <w:r w:rsidR="00004AAB" w:rsidRPr="005A7873">
        <w:rPr>
          <w:i/>
          <w:iCs/>
        </w:rPr>
        <w:t>eminent senior counsel</w:t>
      </w:r>
      <w:r w:rsidR="00004AAB">
        <w:t xml:space="preserve">”: Respondent’s Submissions at [9].  Nor does the fact that Rawson’s positive defence of its underlying conduct might have been tenable on an </w:t>
      </w:r>
      <w:r w:rsidR="00004AAB" w:rsidRPr="0008457C">
        <w:rPr>
          <w:b/>
          <w:i/>
        </w:rPr>
        <w:t>objective</w:t>
      </w:r>
      <w:r w:rsidR="00004AAB">
        <w:t xml:space="preserve"> construction of the evidence, meet the critical point: that Rawson was well aware that its positive defence was false.  As Besanko J recently held in </w:t>
      </w:r>
      <w:r w:rsidR="00004AAB" w:rsidRPr="00F14799">
        <w:rPr>
          <w:b/>
          <w:bCs/>
          <w:i/>
          <w:iCs/>
        </w:rPr>
        <w:t>Roberts-Smith</w:t>
      </w:r>
      <w:r w:rsidR="00004AAB" w:rsidRPr="00F14799">
        <w:rPr>
          <w:i/>
          <w:iCs/>
        </w:rPr>
        <w:t xml:space="preserve"> v Fairfax Media Publications Pty Limited (No 45)</w:t>
      </w:r>
      <w:r w:rsidR="00004AAB" w:rsidRPr="00F14799">
        <w:t xml:space="preserve"> [2023] FCA 1474</w:t>
      </w:r>
      <w:r w:rsidR="00004AAB">
        <w:t xml:space="preserve"> at [21]:</w:t>
      </w:r>
    </w:p>
    <w:p w14:paraId="001101FD" w14:textId="77777777" w:rsidR="00004AAB" w:rsidRDefault="00004AAB" w:rsidP="00693107">
      <w:pPr>
        <w:pStyle w:val="Quote1"/>
        <w:rPr>
          <w:b/>
          <w:bCs/>
        </w:rPr>
      </w:pPr>
      <w:r>
        <w:t>[T]</w:t>
      </w:r>
      <w:r w:rsidRPr="00693107">
        <w:t>he relevant question is not whether there was some prospect of success by reason of there being some prospect of persuading the Court to accept facts known to be false</w:t>
      </w:r>
      <w:r>
        <w:t xml:space="preserve"> … </w:t>
      </w:r>
      <w:r w:rsidRPr="00695000">
        <w:t xml:space="preserve">Furthermore, the applicant’s submissions that he has not engaged in any conduct which has prolonged the proceedings fails to recognise the fundamental point that he </w:t>
      </w:r>
      <w:r w:rsidRPr="00B27617">
        <w:rPr>
          <w:bCs/>
        </w:rPr>
        <w:t>knew from the commencement of the proceedings that the most serious imputations were substantially true</w:t>
      </w:r>
      <w:r w:rsidRPr="00695000">
        <w:rPr>
          <w:b/>
          <w:bCs/>
        </w:rPr>
        <w:t>.</w:t>
      </w:r>
    </w:p>
    <w:p w14:paraId="2786076D" w14:textId="77777777" w:rsidR="00004AAB" w:rsidRPr="00EC3387" w:rsidRDefault="00004AAB" w:rsidP="00693107">
      <w:pPr>
        <w:pStyle w:val="Quote1"/>
      </w:pPr>
      <w:r w:rsidRPr="00EC3387">
        <w:t>(Emphasis added.)</w:t>
      </w:r>
    </w:p>
    <w:p w14:paraId="5BD7A322" w14:textId="732DA2C6" w:rsidR="00004AAB" w:rsidRDefault="008F3E79" w:rsidP="008F3E79">
      <w:pPr>
        <w:pStyle w:val="ParaNumbering"/>
        <w:numPr>
          <w:ilvl w:val="0"/>
          <w:numId w:val="0"/>
        </w:numPr>
        <w:ind w:hanging="720"/>
      </w:pPr>
      <w:r>
        <w:rPr>
          <w:sz w:val="20"/>
        </w:rPr>
        <w:t>87</w:t>
      </w:r>
      <w:r>
        <w:rPr>
          <w:sz w:val="20"/>
        </w:rPr>
        <w:tab/>
      </w:r>
      <w:r w:rsidR="00004AAB">
        <w:t xml:space="preserve">In </w:t>
      </w:r>
      <w:r w:rsidR="00004AAB">
        <w:rPr>
          <w:i/>
          <w:iCs/>
        </w:rPr>
        <w:t>Roberts-Smith</w:t>
      </w:r>
      <w:r w:rsidR="00004AAB">
        <w:t xml:space="preserve">, the applicant’s denying of certain imputations, when he knew those imputations to be true, provided the basis for an indemnity costs order.  So too would Rawson’s positive defence </w:t>
      </w:r>
      <w:r w:rsidR="00B52B2A">
        <w:t xml:space="preserve">in this proceeding </w:t>
      </w:r>
      <w:r w:rsidR="00004AAB">
        <w:t xml:space="preserve">of its conduct as genuine, in circumstances where it knew that conduct was fraudulent, warrant an order </w:t>
      </w:r>
      <w:r w:rsidR="003D5B23">
        <w:t>for</w:t>
      </w:r>
      <w:r w:rsidR="00004AAB">
        <w:t xml:space="preserve"> indemnity costs from the date on which that positive defence was made</w:t>
      </w:r>
      <w:r w:rsidR="003D5B23">
        <w:t>,</w:t>
      </w:r>
      <w:r w:rsidR="00004AAB">
        <w:t xml:space="preserve"> if I had not in any event upheld ground </w:t>
      </w:r>
      <w:r w:rsidR="003D5B23">
        <w:t>one</w:t>
      </w:r>
      <w:r w:rsidR="00004AAB">
        <w:t xml:space="preserve"> of the application for indemnity costs.</w:t>
      </w:r>
    </w:p>
    <w:p w14:paraId="7A9A4237" w14:textId="27DBAB25" w:rsidR="00004AAB" w:rsidRDefault="008F3E79" w:rsidP="008F3E79">
      <w:pPr>
        <w:pStyle w:val="Heading5"/>
        <w:numPr>
          <w:ilvl w:val="0"/>
          <w:numId w:val="0"/>
        </w:numPr>
        <w:tabs>
          <w:tab w:val="left" w:pos="1134"/>
        </w:tabs>
        <w:ind w:left="1134" w:hanging="1134"/>
      </w:pPr>
      <w:bookmarkStart w:id="33" w:name="_Ref156496396"/>
      <w:r>
        <w:lastRenderedPageBreak/>
        <w:t>6.</w:t>
      </w:r>
      <w:r>
        <w:tab/>
      </w:r>
      <w:r w:rsidR="00004AAB">
        <w:t>SHOULD COSTS BE AWARDED IN A LUMP SUM?</w:t>
      </w:r>
      <w:bookmarkEnd w:id="33"/>
    </w:p>
    <w:p w14:paraId="0AEB2348" w14:textId="33ADA690" w:rsidR="00004AAB" w:rsidRDefault="008F3E79" w:rsidP="008F3E79">
      <w:pPr>
        <w:pStyle w:val="ParaNumbering"/>
        <w:numPr>
          <w:ilvl w:val="0"/>
          <w:numId w:val="0"/>
        </w:numPr>
        <w:ind w:hanging="720"/>
      </w:pPr>
      <w:r>
        <w:rPr>
          <w:sz w:val="20"/>
        </w:rPr>
        <w:t>88</w:t>
      </w:r>
      <w:r>
        <w:rPr>
          <w:sz w:val="20"/>
        </w:rPr>
        <w:tab/>
      </w:r>
      <w:r w:rsidR="00004AAB">
        <w:t>As earlier mentioned, the Commissioner seeks indemnity costs in a lump sum in the amount of $3,557,432.89 exclusive of goods and services tax (</w:t>
      </w:r>
      <w:r w:rsidR="00004AAB" w:rsidRPr="00B27617">
        <w:rPr>
          <w:b/>
        </w:rPr>
        <w:t>GST</w:t>
      </w:r>
      <w:r w:rsidR="00004AAB">
        <w:t xml:space="preserve">).  That application is supported by the affidavit of Rebecca </w:t>
      </w:r>
      <w:proofErr w:type="spellStart"/>
      <w:r w:rsidR="00004AAB">
        <w:t>Djittakasem</w:t>
      </w:r>
      <w:proofErr w:type="spellEnd"/>
      <w:r w:rsidR="00004AAB">
        <w:t xml:space="preserve"> Clarke, solicitor, affirmed on 21 July 2023 (the </w:t>
      </w:r>
      <w:r w:rsidR="00004AAB" w:rsidRPr="001C0AD8">
        <w:rPr>
          <w:b/>
        </w:rPr>
        <w:t>first Clarke affidavit</w:t>
      </w:r>
      <w:r w:rsidR="00004AAB">
        <w:t xml:space="preserve">).  </w:t>
      </w:r>
      <w:r w:rsidR="00325033">
        <w:t>In the event that it was unsuccessful</w:t>
      </w:r>
      <w:r w:rsidR="0009768E">
        <w:t xml:space="preserve"> in resisting the application for indemnity costs</w:t>
      </w:r>
      <w:r w:rsidR="00325033">
        <w:t xml:space="preserve">, </w:t>
      </w:r>
      <w:r w:rsidR="00004AAB">
        <w:t xml:space="preserve">Rawson did not lead any evidence or make any submissions in opposition to the making of a lump sum costs order; nor did it put in issue the quantum of costs sought by the Commissioner.  Nonetheless, I have briefly considered the appropriateness of exercising my discretion to award lump sum costs in the amount sought, given that no express concession was made and given the quantum of costs sought. </w:t>
      </w:r>
    </w:p>
    <w:p w14:paraId="79B538D3" w14:textId="16E393E6" w:rsidR="00004AAB" w:rsidRDefault="008F3E79" w:rsidP="008F3E79">
      <w:pPr>
        <w:pStyle w:val="ParaNumbering"/>
        <w:numPr>
          <w:ilvl w:val="0"/>
          <w:numId w:val="0"/>
        </w:numPr>
        <w:ind w:hanging="720"/>
      </w:pPr>
      <w:r>
        <w:rPr>
          <w:sz w:val="20"/>
        </w:rPr>
        <w:t>89</w:t>
      </w:r>
      <w:r>
        <w:rPr>
          <w:sz w:val="20"/>
        </w:rPr>
        <w:tab/>
      </w:r>
      <w:r w:rsidR="00004AAB" w:rsidRPr="00716B83">
        <w:t xml:space="preserve">The discretion to order costs as a lump sum must be exercised judicially and only after giving the parties an adequate opportunity to make submissions on the matter:  </w:t>
      </w:r>
      <w:r w:rsidR="00004AAB" w:rsidRPr="00852935">
        <w:rPr>
          <w:b/>
          <w:bCs/>
          <w:i/>
        </w:rPr>
        <w:t>Beach Petroleum</w:t>
      </w:r>
      <w:r w:rsidR="00004AAB" w:rsidRPr="00F14799">
        <w:rPr>
          <w:i/>
        </w:rPr>
        <w:t xml:space="preserve"> NL v Johnson (No 2)</w:t>
      </w:r>
      <w:r w:rsidR="00004AAB" w:rsidRPr="00F14799">
        <w:t xml:space="preserve"> (1995) 57 FCR 119</w:t>
      </w:r>
      <w:r w:rsidR="00004AAB" w:rsidRPr="00716B83">
        <w:t xml:space="preserve"> at 120 (von </w:t>
      </w:r>
      <w:proofErr w:type="spellStart"/>
      <w:r w:rsidR="00004AAB" w:rsidRPr="00716B83">
        <w:t>Doussa</w:t>
      </w:r>
      <w:proofErr w:type="spellEnd"/>
      <w:r w:rsidR="00004AAB" w:rsidRPr="00716B83">
        <w:t xml:space="preserve"> J);</w:t>
      </w:r>
      <w:r w:rsidR="00004AAB" w:rsidRPr="00716B83">
        <w:rPr>
          <w:i/>
        </w:rPr>
        <w:t xml:space="preserve"> </w:t>
      </w:r>
      <w:r w:rsidR="00004AAB" w:rsidRPr="008C55CE">
        <w:rPr>
          <w:b/>
          <w:i/>
        </w:rPr>
        <w:t>Julien</w:t>
      </w:r>
      <w:r w:rsidR="00004AAB" w:rsidRPr="00716B83">
        <w:rPr>
          <w:i/>
        </w:rPr>
        <w:t xml:space="preserve"> v Secretary, Department of Employment and Workplace Relations (No 2)</w:t>
      </w:r>
      <w:r w:rsidR="00004AAB" w:rsidRPr="00716B83">
        <w:t xml:space="preserve"> [2009] FCA 1259 at [9] (Spender J)</w:t>
      </w:r>
      <w:r w:rsidR="00004AAB">
        <w:t>.</w:t>
      </w:r>
    </w:p>
    <w:p w14:paraId="3851F548" w14:textId="0F2B9AF0" w:rsidR="00004AAB" w:rsidRDefault="008F3E79" w:rsidP="008F3E79">
      <w:pPr>
        <w:pStyle w:val="ParaNumbering"/>
        <w:numPr>
          <w:ilvl w:val="0"/>
          <w:numId w:val="0"/>
        </w:numPr>
        <w:ind w:hanging="720"/>
      </w:pPr>
      <w:r>
        <w:rPr>
          <w:sz w:val="20"/>
        </w:rPr>
        <w:t>90</w:t>
      </w:r>
      <w:r>
        <w:rPr>
          <w:sz w:val="20"/>
        </w:rPr>
        <w:tab/>
      </w:r>
      <w:r w:rsidR="00004AAB">
        <w:t xml:space="preserve">The Federal Court’s preference to avoid potentially expensive and lengthy taxation costs hearings and to utilise lump-sum costs orders was explained by Davies J in </w:t>
      </w:r>
      <w:r w:rsidR="00004AAB">
        <w:rPr>
          <w:i/>
        </w:rPr>
        <w:t xml:space="preserve">Royal v Eli Ali (No. 3) </w:t>
      </w:r>
      <w:r w:rsidR="00004AAB">
        <w:t>[2016] FCA 1573 at [10]:</w:t>
      </w:r>
    </w:p>
    <w:p w14:paraId="3B3BA419" w14:textId="77777777" w:rsidR="00004AAB" w:rsidRDefault="00004AAB" w:rsidP="0094192F">
      <w:pPr>
        <w:pStyle w:val="Quote1"/>
      </w:pPr>
      <w:r w:rsidRPr="00083AC2">
        <w:t xml:space="preserve">Whilst the Court has a broad discretion to award costs orders, the Court’s preference, wherever it is practicable and appropriate to do so, is to make a lump-sum costs order in order to finalise the costs issue and avoid, where possible, potentially expensive and lengthy taxation of costs hearings: Federal Court of Australia Practice Notes, Costs Practice Note (GPN-COSTS) 25 October 2016, at [3.3] and [4.1].  The expense, time and delay involved in a taxation of costs are all matters to take into consideration in determining whether to fix costs, bearing in mind s 37M of the </w:t>
      </w:r>
      <w:r w:rsidRPr="001C0AD8">
        <w:rPr>
          <w:i/>
        </w:rPr>
        <w:t>Federal Court of Australia Act 197</w:t>
      </w:r>
      <w:r w:rsidRPr="00083AC2">
        <w:t>6 (</w:t>
      </w:r>
      <w:proofErr w:type="spellStart"/>
      <w:r w:rsidRPr="00083AC2">
        <w:t>Cth</w:t>
      </w:r>
      <w:proofErr w:type="spellEnd"/>
      <w:r w:rsidRPr="00083AC2">
        <w:t xml:space="preserve">) and the objective of facilitating the just resolution of disputes as quickly, inexpensively and efficiently as possible.  The financial capacity of the party liable to pay the costs is also a consideration where the successful party is already likely to be out of pocket in respect of costs and taxation would add an additional unrecoverable cost.  There is no particular characteristic of a case though which must exist before a gross sum costs order can be made: </w:t>
      </w:r>
      <w:r>
        <w:t xml:space="preserve"> </w:t>
      </w:r>
      <w:r w:rsidRPr="001C0AD8">
        <w:rPr>
          <w:i/>
        </w:rPr>
        <w:t>Australasian Performing Rights Association Ltd v Marlin</w:t>
      </w:r>
      <w:r w:rsidRPr="00083AC2">
        <w:t xml:space="preserve"> [1999] FCA 1006.  The power may be exercised whenever the particular circumstances of the case warrant it: </w:t>
      </w:r>
      <w:r>
        <w:t xml:space="preserve"> </w:t>
      </w:r>
      <w:r w:rsidRPr="001C0AD8">
        <w:rPr>
          <w:i/>
        </w:rPr>
        <w:t>Beach Petroleum NL v Johnson (No 2)</w:t>
      </w:r>
      <w:r w:rsidRPr="00083AC2">
        <w:t xml:space="preserve"> (1995) 57 FCR 119 (“Beach Petroleum v Johnson”) at 122 123.  If a lump-sum costs order is to be made, the Court should be confident that the approach taken to the estimate of costs is logical, fair and reasonable.  The Court should be astute to avoid both overestimating the recoverable costs and underestimating the appropriate amount, for example by applying an arbitrary discount to the amounts claimed: </w:t>
      </w:r>
      <w:r w:rsidRPr="001C0AD8">
        <w:rPr>
          <w:i/>
        </w:rPr>
        <w:t>Beach Petroleum v Johnson</w:t>
      </w:r>
      <w:r w:rsidRPr="00083AC2">
        <w:t xml:space="preserve"> at 123.</w:t>
      </w:r>
    </w:p>
    <w:p w14:paraId="7A131DDB" w14:textId="12E8FC81" w:rsidR="00004AAB" w:rsidRDefault="008F3E79" w:rsidP="008F3E79">
      <w:pPr>
        <w:pStyle w:val="ParaNumbering"/>
        <w:numPr>
          <w:ilvl w:val="0"/>
          <w:numId w:val="0"/>
        </w:numPr>
        <w:ind w:hanging="720"/>
      </w:pPr>
      <w:r>
        <w:rPr>
          <w:sz w:val="20"/>
        </w:rPr>
        <w:t>91</w:t>
      </w:r>
      <w:r>
        <w:rPr>
          <w:sz w:val="20"/>
        </w:rPr>
        <w:tab/>
      </w:r>
      <w:r w:rsidR="00004AAB">
        <w:t>The principles with respect to the quantification of a lump-sum costs order are well</w:t>
      </w:r>
      <w:r w:rsidR="008C55CE">
        <w:t>-</w:t>
      </w:r>
      <w:r w:rsidR="00004AAB">
        <w:t>settled and were summarised by the Commissioner as follows (Applicant’s Submissions at [16]):</w:t>
      </w:r>
    </w:p>
    <w:p w14:paraId="4A6D6567" w14:textId="77777777" w:rsidR="00004AAB" w:rsidRDefault="00004AAB" w:rsidP="00045FBF">
      <w:pPr>
        <w:pStyle w:val="Quote1"/>
        <w:ind w:left="1440" w:hanging="703"/>
      </w:pPr>
      <w:r>
        <w:lastRenderedPageBreak/>
        <w:t>(a)</w:t>
      </w:r>
      <w:r>
        <w:tab/>
        <w:t xml:space="preserve">Specification of a lump-sum costs order is not the result of a process of assessment of costs; rather, the lump-sum can only be fixed broadly having regard to the information before the court [see also </w:t>
      </w:r>
      <w:r>
        <w:rPr>
          <w:i/>
          <w:iCs/>
        </w:rPr>
        <w:t>Harrison v Schipp</w:t>
      </w:r>
      <w:r w:rsidRPr="0040086B">
        <w:t xml:space="preserve"> [2002] NSWCA 213; (2002) 54 NSWLR 738 at [22] (Giles JA) and </w:t>
      </w:r>
      <w:r>
        <w:rPr>
          <w:i/>
          <w:iCs/>
        </w:rPr>
        <w:t xml:space="preserve">Beach Petroleum </w:t>
      </w:r>
      <w:r w:rsidRPr="0040086B">
        <w:t>at 124</w:t>
      </w:r>
      <w:r>
        <w:t>)];</w:t>
      </w:r>
    </w:p>
    <w:p w14:paraId="61D7EA38" w14:textId="77777777" w:rsidR="00004AAB" w:rsidRDefault="00004AAB" w:rsidP="00045FBF">
      <w:pPr>
        <w:pStyle w:val="Quote1"/>
        <w:ind w:left="1440" w:hanging="703"/>
      </w:pPr>
      <w:r>
        <w:t>(b)</w:t>
      </w:r>
      <w:r>
        <w:tab/>
        <w:t>The assessment of any lump-sum to be awarded must represent a review of the successful party's costs by reference to the circumstances of the case, including the pleadings and complexity of the issues raised, interlocutory processes, preparation for the hearing, etc;</w:t>
      </w:r>
    </w:p>
    <w:p w14:paraId="33416353" w14:textId="77777777" w:rsidR="00004AAB" w:rsidRDefault="00004AAB" w:rsidP="00045FBF">
      <w:pPr>
        <w:pStyle w:val="Quote1"/>
        <w:ind w:left="1440" w:hanging="703"/>
      </w:pPr>
      <w:r>
        <w:t>(c)</w:t>
      </w:r>
      <w:r>
        <w:tab/>
        <w:t>The costs ordered should be based on an informed assessment of the actual costs incurred by the party having regard to the information before the court; and</w:t>
      </w:r>
    </w:p>
    <w:p w14:paraId="6E8C4017" w14:textId="77777777" w:rsidR="00004AAB" w:rsidRDefault="00004AAB" w:rsidP="00045FBF">
      <w:pPr>
        <w:pStyle w:val="Quote1"/>
        <w:ind w:left="1440" w:hanging="703"/>
      </w:pPr>
      <w:r>
        <w:t>(d)</w:t>
      </w:r>
      <w:r>
        <w:tab/>
        <w:t>The approach taken to estimate the costs to be ordered must be logical, fair and reasonable. However, the court may adopt a "</w:t>
      </w:r>
      <w:r w:rsidRPr="00045FBF">
        <w:rPr>
          <w:i/>
          <w:iCs/>
        </w:rPr>
        <w:t>broad brush approach</w:t>
      </w:r>
      <w:r>
        <w:t xml:space="preserve">": </w:t>
      </w:r>
      <w:r w:rsidRPr="00045FBF">
        <w:rPr>
          <w:i/>
          <w:iCs/>
        </w:rPr>
        <w:t>Chaina</w:t>
      </w:r>
      <w:r>
        <w:t xml:space="preserve"> at [51].</w:t>
      </w:r>
    </w:p>
    <w:p w14:paraId="1583A380" w14:textId="77777777" w:rsidR="00004AAB" w:rsidRPr="00716B83" w:rsidRDefault="00004AAB" w:rsidP="0094192F">
      <w:pPr>
        <w:pStyle w:val="NoNum"/>
      </w:pPr>
      <w:r>
        <w:t xml:space="preserve">See also </w:t>
      </w:r>
      <w:r w:rsidRPr="001C0AD8">
        <w:rPr>
          <w:i/>
        </w:rPr>
        <w:t>Chaina v Presbyterian Church (NSW) Property Trust (No 26)</w:t>
      </w:r>
      <w:r>
        <w:t xml:space="preserve"> [2014] NSWSC 1009 at [43]-[44], [50]-[51] (by analogy); </w:t>
      </w:r>
      <w:proofErr w:type="spellStart"/>
      <w:r w:rsidRPr="000529AF">
        <w:rPr>
          <w:b/>
          <w:bCs/>
          <w:i/>
          <w:iCs/>
        </w:rPr>
        <w:t>Hamod</w:t>
      </w:r>
      <w:proofErr w:type="spellEnd"/>
      <w:r w:rsidRPr="000529AF">
        <w:rPr>
          <w:i/>
          <w:iCs/>
        </w:rPr>
        <w:t xml:space="preserve"> v State of New South Wales </w:t>
      </w:r>
      <w:r w:rsidRPr="008B08A3">
        <w:t xml:space="preserve">[2011] NSWCA 375 </w:t>
      </w:r>
      <w:r>
        <w:t>at [819]-[820] (</w:t>
      </w:r>
      <w:r w:rsidRPr="008B08A3">
        <w:t>Beazley JA</w:t>
      </w:r>
      <w:r>
        <w:t>,</w:t>
      </w:r>
      <w:r w:rsidRPr="008B08A3">
        <w:t xml:space="preserve"> with whom Giles and Whealy JJA agreed)</w:t>
      </w:r>
      <w:r>
        <w:t xml:space="preserve">; and </w:t>
      </w:r>
      <w:r w:rsidRPr="001C0AD8">
        <w:rPr>
          <w:b/>
          <w:i/>
        </w:rPr>
        <w:t>Soden</w:t>
      </w:r>
      <w:r w:rsidRPr="00716B83">
        <w:rPr>
          <w:i/>
        </w:rPr>
        <w:t xml:space="preserve"> v Croker (No. 3</w:t>
      </w:r>
      <w:r w:rsidRPr="00716B83">
        <w:t xml:space="preserve">) [2016] FCA 249 </w:t>
      </w:r>
      <w:r>
        <w:t xml:space="preserve">at [7]-[10] (Perry J). </w:t>
      </w:r>
      <w:r w:rsidRPr="00716B83">
        <w:t xml:space="preserve">  </w:t>
      </w:r>
    </w:p>
    <w:p w14:paraId="762423C3" w14:textId="6D3E87B4" w:rsidR="00004AAB" w:rsidRPr="00716B83" w:rsidRDefault="008F3E79" w:rsidP="008F3E79">
      <w:pPr>
        <w:pStyle w:val="ParaNumbering"/>
        <w:numPr>
          <w:ilvl w:val="0"/>
          <w:numId w:val="0"/>
        </w:numPr>
        <w:ind w:hanging="720"/>
      </w:pPr>
      <w:r w:rsidRPr="00716B83">
        <w:rPr>
          <w:sz w:val="20"/>
        </w:rPr>
        <w:t>92</w:t>
      </w:r>
      <w:r w:rsidRPr="00716B83">
        <w:rPr>
          <w:sz w:val="20"/>
        </w:rPr>
        <w:tab/>
      </w:r>
      <w:r w:rsidR="00004AAB" w:rsidRPr="00716B83">
        <w:t>Examples of circumstances resulting  an award</w:t>
      </w:r>
      <w:r w:rsidR="00004AAB">
        <w:t xml:space="preserve"> of lump sum costs, as explained in </w:t>
      </w:r>
      <w:r w:rsidR="00004AAB" w:rsidRPr="001C0AD8">
        <w:rPr>
          <w:i/>
        </w:rPr>
        <w:t>Soden</w:t>
      </w:r>
      <w:r w:rsidR="00004AAB">
        <w:t xml:space="preserve"> at [10]</w:t>
      </w:r>
      <w:r w:rsidR="00004AAB" w:rsidRPr="00716B83">
        <w:t xml:space="preserve"> </w:t>
      </w:r>
      <w:r w:rsidR="00004AAB">
        <w:t>include</w:t>
      </w:r>
      <w:r w:rsidR="00004AAB" w:rsidRPr="00716B83">
        <w:t>:</w:t>
      </w:r>
    </w:p>
    <w:p w14:paraId="637CEDDE" w14:textId="77777777" w:rsidR="00004AAB" w:rsidRPr="00716B83" w:rsidRDefault="00004AAB" w:rsidP="0094192F">
      <w:pPr>
        <w:pStyle w:val="Quote1"/>
      </w:pPr>
      <w:r w:rsidRPr="00716B83">
        <w:t>Where a taxation process was expected to be particularly complex (</w:t>
      </w:r>
      <w:proofErr w:type="spellStart"/>
      <w:r w:rsidRPr="00716B83">
        <w:t>eg</w:t>
      </w:r>
      <w:proofErr w:type="spellEnd"/>
      <w:r w:rsidRPr="00716B83">
        <w:t xml:space="preserve"> </w:t>
      </w:r>
      <w:r w:rsidRPr="00716B83">
        <w:rPr>
          <w:i/>
        </w:rPr>
        <w:t>Beach Petroleum</w:t>
      </w:r>
      <w:r w:rsidRPr="00716B83">
        <w:t xml:space="preserve">); </w:t>
      </w:r>
    </w:p>
    <w:p w14:paraId="4ABE4B91" w14:textId="77777777" w:rsidR="00004AAB" w:rsidRPr="00716B83" w:rsidRDefault="00004AAB" w:rsidP="0094192F">
      <w:pPr>
        <w:pStyle w:val="Quote1"/>
      </w:pPr>
      <w:r>
        <w:t>…</w:t>
      </w:r>
    </w:p>
    <w:p w14:paraId="0165E56D" w14:textId="77777777" w:rsidR="00004AAB" w:rsidRPr="00716B83" w:rsidRDefault="00004AAB" w:rsidP="0094192F">
      <w:pPr>
        <w:pStyle w:val="Quote1"/>
      </w:pPr>
      <w:r w:rsidRPr="00716B83">
        <w:t>Where a taxation process would be disproportionately expensive to the award of costs (</w:t>
      </w:r>
      <w:r w:rsidRPr="00716B83">
        <w:rPr>
          <w:i/>
        </w:rPr>
        <w:t xml:space="preserve">Cameron v Secretary, Department of Human Services (No 2) </w:t>
      </w:r>
      <w:r w:rsidRPr="00716B83">
        <w:t>[2015] FCA 1201); and</w:t>
      </w:r>
    </w:p>
    <w:p w14:paraId="3D1F41B7" w14:textId="77777777" w:rsidR="00004AAB" w:rsidRDefault="00004AAB" w:rsidP="0094192F">
      <w:pPr>
        <w:pStyle w:val="Quote1"/>
      </w:pPr>
      <w:r w:rsidRPr="00716B83">
        <w:t>Where the financial circumstances of the parties would lead one to conclude that the costs were unlikely to be recovered (</w:t>
      </w:r>
      <w:r w:rsidRPr="00716B83">
        <w:rPr>
          <w:i/>
        </w:rPr>
        <w:t xml:space="preserve">Julien; Hadid v Lenfest Communication Inc </w:t>
      </w:r>
      <w:r w:rsidRPr="00716B83">
        <w:t>[2000] FCA 481</w:t>
      </w:r>
      <w:r>
        <w:t xml:space="preserve"> [at [14]]</w:t>
      </w:r>
      <w:r w:rsidRPr="00716B83">
        <w:t>).</w:t>
      </w:r>
    </w:p>
    <w:p w14:paraId="7328EF62" w14:textId="79EBFC64" w:rsidR="00004AAB" w:rsidRDefault="008F3E79" w:rsidP="008F3E79">
      <w:pPr>
        <w:pStyle w:val="ParaNumbering"/>
        <w:numPr>
          <w:ilvl w:val="0"/>
          <w:numId w:val="0"/>
        </w:numPr>
        <w:ind w:hanging="720"/>
      </w:pPr>
      <w:r>
        <w:rPr>
          <w:sz w:val="20"/>
        </w:rPr>
        <w:t>93</w:t>
      </w:r>
      <w:r>
        <w:rPr>
          <w:sz w:val="20"/>
        </w:rPr>
        <w:tab/>
      </w:r>
      <w:r w:rsidR="00004AAB">
        <w:t>In her affidavit dated 21 July 2023, Ms Clarke summarised the total costs incurred by the Commissioner (aside from costs of the indemnity costs application) as follows:</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28"/>
        <w:gridCol w:w="2783"/>
      </w:tblGrid>
      <w:tr w:rsidR="00004AAB" w14:paraId="373B761F" w14:textId="77777777" w:rsidTr="00AF2AB1">
        <w:tc>
          <w:tcPr>
            <w:tcW w:w="6232" w:type="dxa"/>
          </w:tcPr>
          <w:p w14:paraId="0474691C" w14:textId="77777777" w:rsidR="00004AAB" w:rsidRPr="001C0AD8" w:rsidRDefault="00004AAB" w:rsidP="001C0AD8">
            <w:pPr>
              <w:pStyle w:val="NoNum"/>
              <w:rPr>
                <w:b/>
              </w:rPr>
            </w:pPr>
            <w:r>
              <w:rPr>
                <w:b/>
              </w:rPr>
              <w:t>Description</w:t>
            </w:r>
          </w:p>
        </w:tc>
        <w:tc>
          <w:tcPr>
            <w:tcW w:w="2785" w:type="dxa"/>
          </w:tcPr>
          <w:p w14:paraId="00F0F6DF" w14:textId="77777777" w:rsidR="00004AAB" w:rsidRPr="001C0AD8" w:rsidRDefault="00004AAB" w:rsidP="001C0AD8">
            <w:pPr>
              <w:pStyle w:val="NoNum"/>
              <w:rPr>
                <w:b/>
              </w:rPr>
            </w:pPr>
            <w:r w:rsidRPr="001C0AD8">
              <w:rPr>
                <w:b/>
              </w:rPr>
              <w:t>Costs incurred (ex. GST)</w:t>
            </w:r>
          </w:p>
        </w:tc>
      </w:tr>
      <w:tr w:rsidR="00004AAB" w14:paraId="44007D18" w14:textId="77777777" w:rsidTr="00AF2AB1">
        <w:tc>
          <w:tcPr>
            <w:tcW w:w="6232" w:type="dxa"/>
          </w:tcPr>
          <w:p w14:paraId="7F2F4413" w14:textId="77777777" w:rsidR="00004AAB" w:rsidRPr="001C0AD8" w:rsidRDefault="00004AAB" w:rsidP="001C0AD8">
            <w:pPr>
              <w:pStyle w:val="NoNum"/>
              <w:rPr>
                <w:b/>
              </w:rPr>
            </w:pPr>
            <w:r w:rsidRPr="001C0AD8">
              <w:rPr>
                <w:b/>
              </w:rPr>
              <w:t>Professional fees</w:t>
            </w:r>
          </w:p>
        </w:tc>
        <w:tc>
          <w:tcPr>
            <w:tcW w:w="2785" w:type="dxa"/>
          </w:tcPr>
          <w:p w14:paraId="535376C6" w14:textId="77777777" w:rsidR="00004AAB" w:rsidRPr="001C0AD8" w:rsidRDefault="00004AAB" w:rsidP="001C0AD8">
            <w:pPr>
              <w:pStyle w:val="NoNum"/>
              <w:rPr>
                <w:b/>
              </w:rPr>
            </w:pPr>
            <w:r w:rsidRPr="001C0AD8">
              <w:rPr>
                <w:b/>
              </w:rPr>
              <w:t>$1,787,498</w:t>
            </w:r>
          </w:p>
        </w:tc>
      </w:tr>
      <w:tr w:rsidR="00004AAB" w14:paraId="4A41FAFC" w14:textId="77777777" w:rsidTr="00AF2AB1">
        <w:tc>
          <w:tcPr>
            <w:tcW w:w="6232" w:type="dxa"/>
          </w:tcPr>
          <w:p w14:paraId="61CBE286" w14:textId="77777777" w:rsidR="00004AAB" w:rsidRPr="001C0AD8" w:rsidRDefault="00004AAB" w:rsidP="001C0AD8">
            <w:pPr>
              <w:pStyle w:val="NoNum"/>
              <w:rPr>
                <w:b/>
              </w:rPr>
            </w:pPr>
            <w:r w:rsidRPr="001C0AD8">
              <w:rPr>
                <w:b/>
              </w:rPr>
              <w:t>Counsel fees</w:t>
            </w:r>
          </w:p>
        </w:tc>
        <w:tc>
          <w:tcPr>
            <w:tcW w:w="2785" w:type="dxa"/>
          </w:tcPr>
          <w:p w14:paraId="65BE2297" w14:textId="77777777" w:rsidR="00004AAB" w:rsidRPr="001C0AD8" w:rsidRDefault="00004AAB" w:rsidP="001C0AD8">
            <w:pPr>
              <w:pStyle w:val="NoNum"/>
              <w:rPr>
                <w:b/>
              </w:rPr>
            </w:pPr>
            <w:r w:rsidRPr="001C0AD8">
              <w:rPr>
                <w:b/>
              </w:rPr>
              <w:t>$506,915</w:t>
            </w:r>
          </w:p>
        </w:tc>
      </w:tr>
      <w:tr w:rsidR="00004AAB" w14:paraId="73AB8AB0" w14:textId="77777777" w:rsidTr="00AF2AB1">
        <w:tc>
          <w:tcPr>
            <w:tcW w:w="6232" w:type="dxa"/>
          </w:tcPr>
          <w:p w14:paraId="60466040" w14:textId="77777777" w:rsidR="00004AAB" w:rsidRPr="001C0AD8" w:rsidRDefault="00004AAB" w:rsidP="001C0AD8">
            <w:pPr>
              <w:pStyle w:val="NoNum"/>
              <w:rPr>
                <w:b/>
              </w:rPr>
            </w:pPr>
            <w:r w:rsidRPr="001C0AD8">
              <w:rPr>
                <w:b/>
              </w:rPr>
              <w:lastRenderedPageBreak/>
              <w:t>Total Disbursements:</w:t>
            </w:r>
          </w:p>
        </w:tc>
        <w:tc>
          <w:tcPr>
            <w:tcW w:w="2785" w:type="dxa"/>
          </w:tcPr>
          <w:p w14:paraId="06E754C4" w14:textId="77777777" w:rsidR="00004AAB" w:rsidRPr="001C0AD8" w:rsidRDefault="00004AAB" w:rsidP="001C0AD8">
            <w:pPr>
              <w:pStyle w:val="NoNum"/>
              <w:rPr>
                <w:b/>
              </w:rPr>
            </w:pPr>
            <w:r w:rsidRPr="001C0AD8">
              <w:rPr>
                <w:b/>
              </w:rPr>
              <w:t>$1,469,471</w:t>
            </w:r>
          </w:p>
        </w:tc>
      </w:tr>
      <w:tr w:rsidR="00004AAB" w14:paraId="6FFCBC4B" w14:textId="77777777" w:rsidTr="00AF2AB1">
        <w:tc>
          <w:tcPr>
            <w:tcW w:w="6232" w:type="dxa"/>
          </w:tcPr>
          <w:p w14:paraId="16F47794" w14:textId="77777777" w:rsidR="00004AAB" w:rsidRDefault="00004AAB" w:rsidP="001C0AD8">
            <w:pPr>
              <w:pStyle w:val="NoNum"/>
              <w:ind w:left="720"/>
            </w:pPr>
            <w:r>
              <w:t>Consultant Fees – Legal -Heskia Hacmum Law Firm</w:t>
            </w:r>
          </w:p>
        </w:tc>
        <w:tc>
          <w:tcPr>
            <w:tcW w:w="2785" w:type="dxa"/>
          </w:tcPr>
          <w:p w14:paraId="3B9C2323" w14:textId="77777777" w:rsidR="00004AAB" w:rsidRDefault="00004AAB" w:rsidP="001C0AD8">
            <w:pPr>
              <w:pStyle w:val="NoNum"/>
            </w:pPr>
            <w:r>
              <w:t>$992,470</w:t>
            </w:r>
          </w:p>
        </w:tc>
      </w:tr>
      <w:tr w:rsidR="00004AAB" w14:paraId="72B49521" w14:textId="77777777" w:rsidTr="00AF2AB1">
        <w:tc>
          <w:tcPr>
            <w:tcW w:w="6232" w:type="dxa"/>
          </w:tcPr>
          <w:p w14:paraId="4DD08D7E" w14:textId="77777777" w:rsidR="00004AAB" w:rsidRDefault="00004AAB" w:rsidP="001C0AD8">
            <w:pPr>
              <w:pStyle w:val="NoNum"/>
              <w:ind w:left="720"/>
            </w:pPr>
            <w:r>
              <w:t>Translator Fees</w:t>
            </w:r>
          </w:p>
        </w:tc>
        <w:tc>
          <w:tcPr>
            <w:tcW w:w="2785" w:type="dxa"/>
          </w:tcPr>
          <w:p w14:paraId="54D10B8A" w14:textId="77777777" w:rsidR="00004AAB" w:rsidRDefault="00004AAB" w:rsidP="001C0AD8">
            <w:pPr>
              <w:pStyle w:val="NoNum"/>
            </w:pPr>
            <w:r>
              <w:t>$33,507</w:t>
            </w:r>
          </w:p>
        </w:tc>
      </w:tr>
      <w:tr w:rsidR="00004AAB" w14:paraId="77BB7CA7" w14:textId="77777777" w:rsidTr="00AF2AB1">
        <w:tc>
          <w:tcPr>
            <w:tcW w:w="6232" w:type="dxa"/>
          </w:tcPr>
          <w:p w14:paraId="14CA17B0" w14:textId="77777777" w:rsidR="00004AAB" w:rsidRDefault="00004AAB" w:rsidP="001C0AD8">
            <w:pPr>
              <w:pStyle w:val="NoNum"/>
              <w:ind w:left="720"/>
            </w:pPr>
            <w:r>
              <w:t>Investigator Fee - Heskia Hacmum Law Firm</w:t>
            </w:r>
          </w:p>
        </w:tc>
        <w:tc>
          <w:tcPr>
            <w:tcW w:w="2785" w:type="dxa"/>
          </w:tcPr>
          <w:p w14:paraId="27FB88CA" w14:textId="77777777" w:rsidR="00004AAB" w:rsidRDefault="00004AAB" w:rsidP="001C0AD8">
            <w:pPr>
              <w:pStyle w:val="NoNum"/>
            </w:pPr>
            <w:r>
              <w:t>$277,304</w:t>
            </w:r>
          </w:p>
        </w:tc>
      </w:tr>
      <w:tr w:rsidR="00004AAB" w14:paraId="7D711B11" w14:textId="77777777" w:rsidTr="00AF2AB1">
        <w:tc>
          <w:tcPr>
            <w:tcW w:w="6232" w:type="dxa"/>
          </w:tcPr>
          <w:p w14:paraId="6EAA199C" w14:textId="77777777" w:rsidR="00004AAB" w:rsidRDefault="00004AAB" w:rsidP="001C0AD8">
            <w:pPr>
              <w:pStyle w:val="NoNum"/>
              <w:ind w:left="720"/>
            </w:pPr>
            <w:r>
              <w:t>Other Disbursements</w:t>
            </w:r>
          </w:p>
        </w:tc>
        <w:tc>
          <w:tcPr>
            <w:tcW w:w="2785" w:type="dxa"/>
          </w:tcPr>
          <w:p w14:paraId="0EA57B1F" w14:textId="77777777" w:rsidR="00004AAB" w:rsidRDefault="00004AAB" w:rsidP="001C0AD8">
            <w:pPr>
              <w:pStyle w:val="NoNum"/>
            </w:pPr>
            <w:r>
              <w:t>$699,435</w:t>
            </w:r>
          </w:p>
        </w:tc>
      </w:tr>
      <w:tr w:rsidR="00004AAB" w14:paraId="271DDEAF" w14:textId="77777777" w:rsidTr="00AF2AB1">
        <w:tc>
          <w:tcPr>
            <w:tcW w:w="6232" w:type="dxa"/>
          </w:tcPr>
          <w:p w14:paraId="77284DF6" w14:textId="77777777" w:rsidR="00004AAB" w:rsidRPr="001C0AD8" w:rsidRDefault="00004AAB" w:rsidP="001C0AD8">
            <w:pPr>
              <w:pStyle w:val="NoNum"/>
              <w:rPr>
                <w:b/>
              </w:rPr>
            </w:pPr>
            <w:r>
              <w:rPr>
                <w:b/>
              </w:rPr>
              <w:t>Total Costs (ex. GST)</w:t>
            </w:r>
          </w:p>
        </w:tc>
        <w:tc>
          <w:tcPr>
            <w:tcW w:w="2785" w:type="dxa"/>
          </w:tcPr>
          <w:p w14:paraId="6043E10F" w14:textId="77777777" w:rsidR="00004AAB" w:rsidRPr="001C0AD8" w:rsidRDefault="00004AAB" w:rsidP="001C0AD8">
            <w:pPr>
              <w:pStyle w:val="NoNum"/>
              <w:rPr>
                <w:b/>
              </w:rPr>
            </w:pPr>
            <w:r>
              <w:rPr>
                <w:b/>
              </w:rPr>
              <w:t>$3,763,885</w:t>
            </w:r>
          </w:p>
        </w:tc>
      </w:tr>
    </w:tbl>
    <w:p w14:paraId="3FF49812" w14:textId="4B3CE362" w:rsidR="00004AAB" w:rsidRDefault="008F3E79" w:rsidP="008F3E79">
      <w:pPr>
        <w:pStyle w:val="ParaNumbering"/>
        <w:numPr>
          <w:ilvl w:val="0"/>
          <w:numId w:val="0"/>
        </w:numPr>
        <w:ind w:hanging="720"/>
      </w:pPr>
      <w:r>
        <w:rPr>
          <w:sz w:val="20"/>
        </w:rPr>
        <w:t>94</w:t>
      </w:r>
      <w:r>
        <w:rPr>
          <w:sz w:val="20"/>
        </w:rPr>
        <w:tab/>
      </w:r>
      <w:r w:rsidR="00004AAB">
        <w:t>Ms Clarke explained in summary (at [11] of her affidavit) that these costs related to work in the proceeding since its commencement, including applications for letters of request sent to judicial authorities in Israel and other interlocutory applications, attendances generally relating to the conduct of the proceeding from time to time, examinations in Israel of each of the persons named in the letters of request, and</w:t>
      </w:r>
      <w:r w:rsidR="00004AAB" w:rsidRPr="003B6921">
        <w:t xml:space="preserve"> </w:t>
      </w:r>
      <w:r w:rsidR="00004AAB">
        <w:t xml:space="preserve">attendance at the final hearing including associated preparation.  </w:t>
      </w:r>
      <w:r w:rsidR="008C55CE">
        <w:t>The</w:t>
      </w:r>
      <w:r w:rsidR="00004AAB">
        <w:t xml:space="preserve"> total was calculated based on</w:t>
      </w:r>
      <w:r w:rsidR="004E3157">
        <w:t xml:space="preserve"> a</w:t>
      </w:r>
      <w:r w:rsidR="00004AAB">
        <w:t xml:space="preserve"> summary of total fees and disbursements recorded by solicitors for the applicant, and annexed to Ms Clarke’s affidavit.</w:t>
      </w:r>
    </w:p>
    <w:p w14:paraId="257AC2BB" w14:textId="1863E460" w:rsidR="00004AAB" w:rsidRDefault="008F3E79" w:rsidP="008F3E79">
      <w:pPr>
        <w:pStyle w:val="ParaNumbering"/>
        <w:numPr>
          <w:ilvl w:val="0"/>
          <w:numId w:val="0"/>
        </w:numPr>
        <w:ind w:hanging="720"/>
      </w:pPr>
      <w:r>
        <w:rPr>
          <w:sz w:val="20"/>
        </w:rPr>
        <w:t>95</w:t>
      </w:r>
      <w:r>
        <w:rPr>
          <w:sz w:val="20"/>
        </w:rPr>
        <w:tab/>
      </w:r>
      <w:r w:rsidR="00004AAB">
        <w:t xml:space="preserve">At [15]-[17], Ms Clarke explains that the costs of certain interlocutory applications were then subtracted from the total amount of the Commissioner’s costs, namely, where orders had been made on those applications that there be no order as to costs or where costs were awarded against the Commissioner.  As a result, the total amount of indemnity costs sought by the Commissioner was in the sum of </w:t>
      </w:r>
      <w:r w:rsidR="00004AAB" w:rsidRPr="001C0AD8">
        <w:t>$3,557,432.89</w:t>
      </w:r>
      <w:r w:rsidR="00004AAB">
        <w:t xml:space="preserve"> (ex GST).  </w:t>
      </w:r>
    </w:p>
    <w:p w14:paraId="718D51C1" w14:textId="248B8B18" w:rsidR="00004AAB" w:rsidRDefault="008F3E79" w:rsidP="008F3E79">
      <w:pPr>
        <w:pStyle w:val="ParaNumbering"/>
        <w:numPr>
          <w:ilvl w:val="0"/>
          <w:numId w:val="0"/>
        </w:numPr>
        <w:ind w:hanging="720"/>
      </w:pPr>
      <w:r>
        <w:rPr>
          <w:sz w:val="20"/>
        </w:rPr>
        <w:t>96</w:t>
      </w:r>
      <w:r>
        <w:rPr>
          <w:sz w:val="20"/>
        </w:rPr>
        <w:tab/>
      </w:r>
      <w:r w:rsidR="00004AAB">
        <w:t>In my view and applying a broad brush approach to the calculation of costs, I am satisfied that this is an appropriate case for the award of indemnity costs to be in the fixed sum sought by the Commissioner</w:t>
      </w:r>
      <w:r w:rsidR="004E3157">
        <w:t xml:space="preserve"> rounded down to the nearest </w:t>
      </w:r>
      <w:r w:rsidR="00D52F71">
        <w:t>one hundred dollars</w:t>
      </w:r>
      <w:r w:rsidR="00004AAB">
        <w:t xml:space="preserve">. </w:t>
      </w:r>
    </w:p>
    <w:p w14:paraId="55864070" w14:textId="1E6BB1AA" w:rsidR="00004AAB" w:rsidRDefault="008F3E79" w:rsidP="008F3E79">
      <w:pPr>
        <w:pStyle w:val="ParaNumbering"/>
        <w:numPr>
          <w:ilvl w:val="0"/>
          <w:numId w:val="0"/>
        </w:numPr>
        <w:ind w:hanging="720"/>
      </w:pPr>
      <w:r>
        <w:rPr>
          <w:sz w:val="20"/>
        </w:rPr>
        <w:t>97</w:t>
      </w:r>
      <w:r>
        <w:rPr>
          <w:sz w:val="20"/>
        </w:rPr>
        <w:tab/>
      </w:r>
      <w:r w:rsidR="00004AAB" w:rsidRPr="00727508">
        <w:rPr>
          <w:b/>
          <w:bCs/>
          <w:i/>
          <w:iCs/>
        </w:rPr>
        <w:t>First</w:t>
      </w:r>
      <w:r w:rsidR="00004AAB">
        <w:t xml:space="preserve">, plainly the fixed sum award of indemnity costs sought is considerable.  However, the matter was lengthy and complex.  Some indication of the scale and complexity of the task of proving the fraud is apparent from my description at [32]-[35] of the </w:t>
      </w:r>
      <w:r w:rsidR="00004AAB" w:rsidRPr="00AE39F2">
        <w:rPr>
          <w:bCs/>
          <w:i/>
          <w:iCs/>
        </w:rPr>
        <w:t>Rawson Primary Judgment</w:t>
      </w:r>
      <w:r w:rsidR="00004AAB">
        <w:t xml:space="preserve"> of the volume of the evidence on which the Commissioner relied to prove the fraud, being comprised of an 8 volume key documents bundle, a 38 volume court book of documents in chronological order, and the 10 volume supplementary court book comprising the evidence </w:t>
      </w:r>
      <w:r w:rsidR="00004AAB">
        <w:lastRenderedPageBreak/>
        <w:t xml:space="preserve">obtained from Israel.  The Commissioner’s written submissions also exceeded 120 pages, its written reply submissions spanned over 25 pages, whilst the joint chronology spanned </w:t>
      </w:r>
      <w:r w:rsidR="00BF45B9">
        <w:t xml:space="preserve">over 50 </w:t>
      </w:r>
      <w:r w:rsidR="00004AAB">
        <w:t xml:space="preserve">pages.  </w:t>
      </w:r>
    </w:p>
    <w:p w14:paraId="1A62F51D" w14:textId="405F2DC5" w:rsidR="00004AAB" w:rsidRDefault="008F3E79" w:rsidP="008F3E79">
      <w:pPr>
        <w:pStyle w:val="ParaNumbering"/>
        <w:numPr>
          <w:ilvl w:val="0"/>
          <w:numId w:val="0"/>
        </w:numPr>
        <w:ind w:hanging="720"/>
      </w:pPr>
      <w:r>
        <w:rPr>
          <w:sz w:val="20"/>
        </w:rPr>
        <w:t>98</w:t>
      </w:r>
      <w:r>
        <w:rPr>
          <w:sz w:val="20"/>
        </w:rPr>
        <w:tab/>
      </w:r>
      <w:r w:rsidR="00004AAB" w:rsidRPr="00B25F41">
        <w:rPr>
          <w:b/>
          <w:bCs/>
          <w:i/>
          <w:iCs/>
        </w:rPr>
        <w:t>Secondly</w:t>
      </w:r>
      <w:r w:rsidR="00004AAB">
        <w:t xml:space="preserve">, in her first affidavit, it was Ms Clarke’s unchallenged opinion based on her involvement in the proceeding and the volume of material in the matter, that the taxation process would take approximately 12 to 18 months to complete at a cost to the Commissioner in the range of appropriately $350,000-$450,000 (ex GST).  </w:t>
      </w:r>
    </w:p>
    <w:p w14:paraId="616206A4" w14:textId="5489AA82" w:rsidR="00004AAB" w:rsidRDefault="008F3E79" w:rsidP="008F3E79">
      <w:pPr>
        <w:pStyle w:val="ParaNumbering"/>
        <w:numPr>
          <w:ilvl w:val="0"/>
          <w:numId w:val="0"/>
        </w:numPr>
        <w:ind w:hanging="720"/>
      </w:pPr>
      <w:r>
        <w:rPr>
          <w:sz w:val="20"/>
        </w:rPr>
        <w:t>99</w:t>
      </w:r>
      <w:r>
        <w:rPr>
          <w:sz w:val="20"/>
        </w:rPr>
        <w:tab/>
      </w:r>
      <w:r w:rsidR="00004AAB" w:rsidRPr="003749A4">
        <w:rPr>
          <w:b/>
          <w:bCs/>
          <w:i/>
          <w:iCs/>
        </w:rPr>
        <w:t>Thirdly</w:t>
      </w:r>
      <w:r w:rsidR="00004AAB">
        <w:t xml:space="preserve">, no issue was taken with the Commissioner’s contention in submissions that Rawson is likely to be impecunious.  That being so, this is also a factor weighing in favour of awarding indemnity costs.  In this regard, as Lehane J held in </w:t>
      </w:r>
      <w:r w:rsidR="00004AAB" w:rsidRPr="00BF45B9">
        <w:rPr>
          <w:b/>
          <w:bCs/>
          <w:i/>
        </w:rPr>
        <w:t>Hadid</w:t>
      </w:r>
      <w:r w:rsidR="00004AAB" w:rsidRPr="00716B83">
        <w:rPr>
          <w:i/>
        </w:rPr>
        <w:t xml:space="preserve"> v Lenfest Communication Inc </w:t>
      </w:r>
      <w:r w:rsidR="00004AAB" w:rsidRPr="00716B83">
        <w:t>[2000] FCA 481</w:t>
      </w:r>
      <w:r w:rsidR="00004AAB">
        <w:t xml:space="preserve"> at [14]:</w:t>
      </w:r>
    </w:p>
    <w:p w14:paraId="08A5A8C2" w14:textId="77777777" w:rsidR="00004AAB" w:rsidRDefault="00004AAB" w:rsidP="0094192F">
      <w:pPr>
        <w:pStyle w:val="Quote1"/>
      </w:pPr>
      <w:r w:rsidRPr="00BB39E8">
        <w:t>Where the amount of costs likely to be payable is very substantial and where, in any event, taxation is likely to be drawn-out, burdensome and expensive, the burden borne by the successful party is aggravated if it appears that, in any event, the party obliged to pay costs may not be able to meet a liability of the order likely to be involved. For that reason, in my view, in a case where the liability for costs may be expected to be large and a taxation complex and expensive the financial position of the party liable is a matter relevant to be taken into account in exercising the discretion</w:t>
      </w:r>
      <w:r>
        <w:t>.</w:t>
      </w:r>
    </w:p>
    <w:p w14:paraId="5647D286" w14:textId="33621342" w:rsidR="00004AAB" w:rsidRDefault="008F3E79" w:rsidP="008F3E79">
      <w:pPr>
        <w:pStyle w:val="ParaNumbering"/>
        <w:numPr>
          <w:ilvl w:val="0"/>
          <w:numId w:val="0"/>
        </w:numPr>
        <w:ind w:hanging="720"/>
      </w:pPr>
      <w:r>
        <w:rPr>
          <w:sz w:val="20"/>
        </w:rPr>
        <w:t>100</w:t>
      </w:r>
      <w:r>
        <w:rPr>
          <w:sz w:val="20"/>
        </w:rPr>
        <w:tab/>
      </w:r>
      <w:r w:rsidR="00004AAB" w:rsidRPr="00223F74">
        <w:rPr>
          <w:b/>
          <w:bCs/>
          <w:i/>
          <w:iCs/>
        </w:rPr>
        <w:t>Fourthly</w:t>
      </w:r>
      <w:r w:rsidR="00004AAB">
        <w:t xml:space="preserve">, the proceedings have been on foot for a lengthy period of time.  As such, it is desirable for them to be brought to a close as soon practicable and for any additional costs to be minimised:  s 37M of the </w:t>
      </w:r>
      <w:r w:rsidR="00004AAB">
        <w:rPr>
          <w:i/>
          <w:iCs/>
        </w:rPr>
        <w:t xml:space="preserve">Federal Court of Australia Act 1976 </w:t>
      </w:r>
      <w:r w:rsidR="00004AAB">
        <w:t>(</w:t>
      </w:r>
      <w:proofErr w:type="spellStart"/>
      <w:r w:rsidR="00004AAB">
        <w:t>Cth</w:t>
      </w:r>
      <w:proofErr w:type="spellEnd"/>
      <w:r w:rsidR="00004AAB">
        <w:t xml:space="preserve">).  </w:t>
      </w:r>
    </w:p>
    <w:p w14:paraId="1C64336D" w14:textId="6D7B6F19" w:rsidR="00004AAB" w:rsidRDefault="008F3E79" w:rsidP="008F3E79">
      <w:pPr>
        <w:pStyle w:val="ParaNumbering"/>
        <w:numPr>
          <w:ilvl w:val="0"/>
          <w:numId w:val="0"/>
        </w:numPr>
        <w:ind w:hanging="720"/>
      </w:pPr>
      <w:r>
        <w:rPr>
          <w:sz w:val="20"/>
        </w:rPr>
        <w:t>101</w:t>
      </w:r>
      <w:r>
        <w:rPr>
          <w:sz w:val="20"/>
        </w:rPr>
        <w:tab/>
      </w:r>
      <w:r w:rsidR="00004AAB" w:rsidRPr="00223F74">
        <w:rPr>
          <w:b/>
          <w:bCs/>
          <w:i/>
          <w:iCs/>
        </w:rPr>
        <w:t>Finally</w:t>
      </w:r>
      <w:r w:rsidR="00004AAB">
        <w:t xml:space="preserve">, in the event that Rawson was unsuccessful on the application for indemnity costs, it did not challenge that evidence or submit that orders fixing costs in those amounts should not be made.  </w:t>
      </w:r>
    </w:p>
    <w:p w14:paraId="4B15A0C8" w14:textId="058F8203" w:rsidR="00004AAB" w:rsidRDefault="008F3E79" w:rsidP="008F3E79">
      <w:pPr>
        <w:pStyle w:val="ParaNumbering"/>
        <w:numPr>
          <w:ilvl w:val="0"/>
          <w:numId w:val="0"/>
        </w:numPr>
        <w:ind w:hanging="720"/>
      </w:pPr>
      <w:r>
        <w:rPr>
          <w:sz w:val="20"/>
        </w:rPr>
        <w:t>102</w:t>
      </w:r>
      <w:r>
        <w:rPr>
          <w:sz w:val="20"/>
        </w:rPr>
        <w:tab/>
      </w:r>
      <w:r w:rsidR="00004AAB">
        <w:t xml:space="preserve">In addition, the Commissioner seeks an order that for party/party costs in the sum of $38,048.66 on the application for indemnity costs (the </w:t>
      </w:r>
      <w:r w:rsidR="00004AAB" w:rsidRPr="00E673DE">
        <w:rPr>
          <w:b/>
        </w:rPr>
        <w:t>interlocutory application</w:t>
      </w:r>
      <w:r w:rsidR="00004AAB">
        <w:t xml:space="preserve">).  This application is supported by the affidavit of Ms Clarke affirmed on 1 September 2023 (the </w:t>
      </w:r>
      <w:r w:rsidR="00004AAB" w:rsidRPr="00E673DE">
        <w:rPr>
          <w:b/>
        </w:rPr>
        <w:t>second Clarke affidavit</w:t>
      </w:r>
      <w:r w:rsidR="00004AAB">
        <w:t xml:space="preserve">), using a similar methodology to that described in relation to Ms Clarke’s first affidavit.  Rawson did not challenge the appropriateness of a fixed sum award of costs on the interlocutory application for indemnity costs in the event that it did not successfully resist the orders sought.  </w:t>
      </w:r>
      <w:r w:rsidR="00E673DE">
        <w:t xml:space="preserve">Both parties also accepted that any costs for this interlocutory application should be awarded on a </w:t>
      </w:r>
      <w:r w:rsidR="006E06E0">
        <w:t>party/party</w:t>
      </w:r>
      <w:r w:rsidR="00E673DE">
        <w:t xml:space="preserve"> basis.  </w:t>
      </w:r>
      <w:r w:rsidR="00004AAB">
        <w:t xml:space="preserve">In all of the circumstances outlined above, and having regard to the desirability of finalising the proceedings and Rawson’s likely impecuniosity, I </w:t>
      </w:r>
      <w:r w:rsidR="00004AAB">
        <w:lastRenderedPageBreak/>
        <w:t>also agree that an order fixing cost of the interlocutory application in the amounts sought is appropriate.</w:t>
      </w:r>
    </w:p>
    <w:p w14:paraId="17C5FDBD" w14:textId="73E96231" w:rsidR="00004AAB" w:rsidRDefault="008F3E79" w:rsidP="008F3E79">
      <w:pPr>
        <w:pStyle w:val="Heading5"/>
        <w:numPr>
          <w:ilvl w:val="0"/>
          <w:numId w:val="0"/>
        </w:numPr>
        <w:tabs>
          <w:tab w:val="left" w:pos="1134"/>
        </w:tabs>
        <w:ind w:left="1134" w:hanging="1134"/>
      </w:pPr>
      <w:bookmarkStart w:id="34" w:name="_Ref156496397"/>
      <w:r>
        <w:t>7.</w:t>
      </w:r>
      <w:r>
        <w:tab/>
      </w:r>
      <w:r w:rsidR="00004AAB">
        <w:t>CONCLUSION</w:t>
      </w:r>
      <w:bookmarkEnd w:id="34"/>
    </w:p>
    <w:p w14:paraId="21A3F069" w14:textId="281976A5" w:rsidR="00004AAB" w:rsidRDefault="008F3E79" w:rsidP="008F3E79">
      <w:pPr>
        <w:pStyle w:val="ParaNumbering"/>
        <w:numPr>
          <w:ilvl w:val="0"/>
          <w:numId w:val="0"/>
        </w:numPr>
        <w:ind w:hanging="720"/>
      </w:pPr>
      <w:r>
        <w:rPr>
          <w:sz w:val="20"/>
        </w:rPr>
        <w:t>103</w:t>
      </w:r>
      <w:r>
        <w:rPr>
          <w:sz w:val="20"/>
        </w:rPr>
        <w:tab/>
      </w:r>
      <w:r w:rsidR="00004AAB">
        <w:t xml:space="preserve">For those reasons, Rawson is to pay the Commissioner’s costs for the entirety of the proceeding on an indemnity basis fixed in the sum of </w:t>
      </w:r>
      <w:r w:rsidR="00004AAB" w:rsidRPr="006261DA">
        <w:t>$3,557,4</w:t>
      </w:r>
      <w:r w:rsidR="00BF18D9">
        <w:t>00.00</w:t>
      </w:r>
      <w:r w:rsidR="00004AAB">
        <w:t xml:space="preserve"> (ex GST), save for the costs of the indemnity costs application.</w:t>
      </w:r>
    </w:p>
    <w:p w14:paraId="294AC131" w14:textId="6245BABB" w:rsidR="00004AAB" w:rsidRDefault="008F3E79" w:rsidP="008F3E79">
      <w:pPr>
        <w:pStyle w:val="ParaNumbering"/>
        <w:numPr>
          <w:ilvl w:val="0"/>
          <w:numId w:val="0"/>
        </w:numPr>
        <w:ind w:hanging="720"/>
      </w:pPr>
      <w:r>
        <w:rPr>
          <w:sz w:val="20"/>
        </w:rPr>
        <w:t>104</w:t>
      </w:r>
      <w:r>
        <w:rPr>
          <w:sz w:val="20"/>
        </w:rPr>
        <w:tab/>
      </w:r>
      <w:r w:rsidR="00004AAB">
        <w:t xml:space="preserve">As the application for indemnity costs has been successful, it is appropriate that the Commissioner be awarded their costs in relation to the application for indemnity costs.  Those costs should be paid on a </w:t>
      </w:r>
      <w:r w:rsidR="006E06E0">
        <w:t>party/party</w:t>
      </w:r>
      <w:r w:rsidR="00004AAB">
        <w:t xml:space="preserve"> basis fixed in the sum of $38,0</w:t>
      </w:r>
      <w:r w:rsidR="00BF18D9">
        <w:t>00.00 rounded down to the nearest one hundred dollars</w:t>
      </w:r>
      <w:r w:rsidR="00004AAB">
        <w:t>.  I will make orders in those terms.</w:t>
      </w:r>
    </w:p>
    <w:tbl>
      <w:tblPr>
        <w:tblW w:w="0" w:type="auto"/>
        <w:tblLook w:val="04A0" w:firstRow="1" w:lastRow="0" w:firstColumn="1" w:lastColumn="0" w:noHBand="0" w:noVBand="1"/>
      </w:tblPr>
      <w:tblGrid>
        <w:gridCol w:w="3794"/>
      </w:tblGrid>
      <w:tr w:rsidR="005E62AF" w:rsidRPr="005E62AF" w14:paraId="447C28C3" w14:textId="77777777">
        <w:tc>
          <w:tcPr>
            <w:tcW w:w="3794" w:type="dxa"/>
            <w:shd w:val="clear" w:color="auto" w:fill="auto"/>
          </w:tcPr>
          <w:p w14:paraId="66396FA0" w14:textId="3971367F" w:rsidR="005E62AF" w:rsidRPr="005E62AF" w:rsidRDefault="005E62AF" w:rsidP="005E62AF">
            <w:pPr>
              <w:pStyle w:val="Normal1linespace"/>
            </w:pPr>
            <w:bookmarkStart w:id="35" w:name="Certification"/>
            <w:r w:rsidRPr="005E62AF">
              <w:t xml:space="preserve">I certify that the preceding </w:t>
            </w:r>
            <w:bookmarkStart w:id="36" w:name="NumberWord"/>
            <w:r>
              <w:t xml:space="preserve">one hundred and </w:t>
            </w:r>
            <w:bookmarkEnd w:id="36"/>
            <w:r w:rsidR="0075263B">
              <w:t>four</w:t>
            </w:r>
            <w:r w:rsidRPr="005E62AF">
              <w:t xml:space="preserve"> (</w:t>
            </w:r>
            <w:bookmarkStart w:id="37" w:name="NumberNumeral"/>
            <w:r>
              <w:t>10</w:t>
            </w:r>
            <w:bookmarkEnd w:id="37"/>
            <w:r w:rsidR="0075263B">
              <w:t>4</w:t>
            </w:r>
            <w:r w:rsidRPr="005E62AF">
              <w:t xml:space="preserve">) numbered </w:t>
            </w:r>
            <w:bookmarkStart w:id="38" w:name="CertPara"/>
            <w:r>
              <w:t>paragraphs are</w:t>
            </w:r>
            <w:bookmarkEnd w:id="38"/>
            <w:r w:rsidRPr="005E62AF">
              <w:t xml:space="preserve"> a true copy of the Reasons for Judgment of </w:t>
            </w:r>
            <w:bookmarkStart w:id="39" w:name="bkHonourable"/>
            <w:r w:rsidRPr="005E62AF">
              <w:t xml:space="preserve">the Honourable </w:t>
            </w:r>
            <w:bookmarkStart w:id="40" w:name="Justice"/>
            <w:bookmarkEnd w:id="39"/>
            <w:r>
              <w:t>Justice</w:t>
            </w:r>
            <w:r w:rsidR="006A4E34">
              <w:t xml:space="preserve"> Perry</w:t>
            </w:r>
            <w:r>
              <w:t xml:space="preserve"> </w:t>
            </w:r>
            <w:bookmarkEnd w:id="40"/>
            <w:r w:rsidRPr="005E62AF">
              <w:t>.</w:t>
            </w:r>
          </w:p>
        </w:tc>
      </w:tr>
    </w:tbl>
    <w:p w14:paraId="6A34A04C" w14:textId="77777777" w:rsidR="005E62AF" w:rsidRDefault="005E62AF" w:rsidP="00815065">
      <w:pPr>
        <w:pStyle w:val="BodyText"/>
      </w:pPr>
    </w:p>
    <w:p w14:paraId="1ED1B035" w14:textId="3D3EF6E5" w:rsidR="005E62AF" w:rsidRDefault="005E62AF" w:rsidP="00815065">
      <w:pPr>
        <w:pStyle w:val="BodyText"/>
      </w:pPr>
      <w:r>
        <w:t>Associate:</w:t>
      </w:r>
      <w:r w:rsidR="00EE3478">
        <w:t xml:space="preserve"> </w:t>
      </w:r>
    </w:p>
    <w:p w14:paraId="6D61B16D" w14:textId="77777777" w:rsidR="005E62AF" w:rsidRDefault="005E62AF" w:rsidP="00815065">
      <w:pPr>
        <w:pStyle w:val="BodyText"/>
      </w:pPr>
    </w:p>
    <w:p w14:paraId="3C720A83" w14:textId="616BF047" w:rsidR="00FF25AD" w:rsidRPr="005E62AF" w:rsidRDefault="005E62AF" w:rsidP="00EC1B57">
      <w:pPr>
        <w:pStyle w:val="BodyText"/>
        <w:tabs>
          <w:tab w:val="left" w:pos="1134"/>
        </w:tabs>
        <w:rPr>
          <w:highlight w:val="yellow"/>
        </w:rPr>
      </w:pPr>
      <w:r>
        <w:t>Dated:</w:t>
      </w:r>
      <w:r>
        <w:tab/>
      </w:r>
      <w:bookmarkStart w:id="41" w:name="CertifyDated"/>
      <w:bookmarkEnd w:id="41"/>
      <w:r w:rsidR="00EE3478">
        <w:t>19 January 2024</w:t>
      </w:r>
      <w:bookmarkEnd w:id="35"/>
    </w:p>
    <w:sectPr w:rsidR="00FF25AD" w:rsidRPr="005E62AF"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8997" w14:textId="77777777" w:rsidR="006024E2" w:rsidRDefault="006024E2">
      <w:pPr>
        <w:spacing w:line="20" w:lineRule="exact"/>
      </w:pPr>
    </w:p>
    <w:p w14:paraId="54704B62" w14:textId="77777777" w:rsidR="006024E2" w:rsidRDefault="006024E2"/>
    <w:p w14:paraId="7308CD29" w14:textId="77777777" w:rsidR="006024E2" w:rsidRDefault="006024E2"/>
  </w:endnote>
  <w:endnote w:type="continuationSeparator" w:id="0">
    <w:p w14:paraId="085869C9" w14:textId="77777777" w:rsidR="006024E2" w:rsidRDefault="006024E2">
      <w:r>
        <w:t xml:space="preserve"> </w:t>
      </w:r>
    </w:p>
    <w:p w14:paraId="42DF0A74" w14:textId="77777777" w:rsidR="006024E2" w:rsidRDefault="006024E2"/>
    <w:p w14:paraId="01A0D418" w14:textId="77777777" w:rsidR="006024E2" w:rsidRDefault="006024E2"/>
  </w:endnote>
  <w:endnote w:type="continuationNotice" w:id="1">
    <w:p w14:paraId="09FB8C63" w14:textId="77777777" w:rsidR="006024E2" w:rsidRDefault="006024E2">
      <w:r>
        <w:t xml:space="preserve"> </w:t>
      </w:r>
    </w:p>
    <w:p w14:paraId="12455A3E" w14:textId="77777777" w:rsidR="006024E2" w:rsidRDefault="006024E2"/>
    <w:p w14:paraId="09A3B50F" w14:textId="77777777" w:rsidR="006024E2" w:rsidRDefault="00602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2434" w14:textId="3C942FC9"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2336" behindDoc="0" locked="0" layoutInCell="1" allowOverlap="1" wp14:anchorId="2BAB9F7D" wp14:editId="72123B8D">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EFC331"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367A33">
          <w:rPr>
            <w:bCs/>
            <w:sz w:val="18"/>
            <w:szCs w:val="18"/>
          </w:rPr>
          <w:t xml:space="preserve">Commissioner of Taxation v Rawson Finances Pty Ltd (Costs) [2024] FCA 19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731B" w14:textId="1EC6DEB8"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4144" behindDoc="0" locked="0" layoutInCell="1" allowOverlap="1" wp14:anchorId="40837274" wp14:editId="0DCAAB14">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53499" id="Straight Connector 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C39A74A747144913B9339A04F76FE612"/>
        </w:placeholder>
        <w:dataBinding w:prefixMappings="xmlns:ns0='http://schemas.globalmacros.com/FCA'" w:xpath="/ns0:root[1]/ns0:Name[1]" w:storeItemID="{687E7CCB-4AA5-44E7-B148-17BA2B6F57C0}"/>
        <w:text w:multiLine="1"/>
      </w:sdtPr>
      <w:sdtEndPr/>
      <w:sdtContent>
        <w:r w:rsidR="00367A33">
          <w:rPr>
            <w:bCs/>
            <w:sz w:val="18"/>
            <w:szCs w:val="18"/>
          </w:rPr>
          <w:t xml:space="preserve">Commissioner of Taxation v Rawson Finances Pty Ltd (Costs) [2024] FCA 19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52FA" w14:textId="07B03CC6"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3120" behindDoc="0" locked="0" layoutInCell="1" allowOverlap="1" wp14:anchorId="3311D710" wp14:editId="4E744E8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9AC820" id="Straight Connector 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C7DC2B53506E41C1A317112056B32AC9"/>
        </w:placeholder>
        <w:dataBinding w:prefixMappings="xmlns:ns0='http://schemas.globalmacros.com/FCA'" w:xpath="/ns0:root[1]/ns0:Name[1]" w:storeItemID="{687E7CCB-4AA5-44E7-B148-17BA2B6F57C0}"/>
        <w:text w:multiLine="1"/>
      </w:sdtPr>
      <w:sdtEndPr/>
      <w:sdtContent>
        <w:r w:rsidR="00367A33">
          <w:rPr>
            <w:bCs/>
            <w:sz w:val="18"/>
            <w:szCs w:val="18"/>
          </w:rPr>
          <w:t xml:space="preserve">Commissioner of Taxation v Rawson Finances Pty Ltd (Costs) [2024] FCA 19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B1C0" w14:textId="2B6CF3FD"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872" behindDoc="0" locked="0" layoutInCell="1" allowOverlap="1" wp14:anchorId="5EF4DF4A" wp14:editId="732702B4">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BD693" id="Straight Connector 7"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036C3C395CA6421297CA3DBEA11A4D5B"/>
        </w:placeholder>
        <w:dataBinding w:prefixMappings="xmlns:ns0='http://schemas.globalmacros.com/FCA'" w:xpath="/ns0:root[1]/ns0:Name[1]" w:storeItemID="{687E7CCB-4AA5-44E7-B148-17BA2B6F57C0}"/>
        <w:text w:multiLine="1"/>
      </w:sdtPr>
      <w:sdtEndPr/>
      <w:sdtContent>
        <w:r w:rsidR="00367A33">
          <w:rPr>
            <w:bCs/>
            <w:sz w:val="18"/>
            <w:szCs w:val="18"/>
          </w:rPr>
          <w:t xml:space="preserve">Commissioner of Taxation v Rawson Finances Pty Ltd (Costs) [2024] FCA 19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F762" w14:textId="02DC8CD6"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0800" behindDoc="0" locked="0" layoutInCell="1" allowOverlap="1" wp14:anchorId="3A9FB804" wp14:editId="1C63386A">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142BFB"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C89A1CEC74934F519046F7AD43268E96"/>
        </w:placeholder>
        <w:dataBinding w:prefixMappings="xmlns:ns0='http://schemas.globalmacros.com/FCA'" w:xpath="/ns0:root[1]/ns0:Name[1]" w:storeItemID="{687E7CCB-4AA5-44E7-B148-17BA2B6F57C0}"/>
        <w:text w:multiLine="1"/>
      </w:sdtPr>
      <w:sdtEndPr/>
      <w:sdtContent>
        <w:r w:rsidR="00367A33">
          <w:rPr>
            <w:bCs/>
            <w:sz w:val="18"/>
            <w:szCs w:val="18"/>
          </w:rPr>
          <w:t xml:space="preserve">Commissioner of Taxation v Rawson Finances Pty Ltd (Costs) [2024] FCA 19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6B7C" w14:textId="77777777" w:rsidR="006024E2" w:rsidRDefault="006024E2"/>
  </w:footnote>
  <w:footnote w:type="continuationSeparator" w:id="0">
    <w:p w14:paraId="72616993" w14:textId="77777777" w:rsidR="006024E2" w:rsidRDefault="006024E2">
      <w:r>
        <w:continuationSeparator/>
      </w:r>
    </w:p>
    <w:p w14:paraId="1E1C1468" w14:textId="77777777" w:rsidR="006024E2" w:rsidRDefault="006024E2"/>
    <w:p w14:paraId="364791C1" w14:textId="77777777" w:rsidR="006024E2" w:rsidRDefault="006024E2"/>
  </w:footnote>
  <w:footnote w:type="continuationNotice" w:id="1">
    <w:p w14:paraId="4E0B0122" w14:textId="77777777" w:rsidR="006024E2" w:rsidRDefault="006024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9CA3"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C1A8"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9955"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DC25"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9618"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CA5240FA"/>
    <w:lvl w:ilvl="0" w:tplc="04FCB904">
      <w:start w:val="1"/>
      <w:numFmt w:val="decimal"/>
      <w:pStyle w:val="Quote2Bullet"/>
      <w:lvlText w:val="(%1)"/>
      <w:lvlJc w:val="left"/>
      <w:pPr>
        <w:ind w:left="2160" w:hanging="360"/>
      </w:pPr>
      <w:rPr>
        <w:rFonts w:ascii="Times New Roman" w:eastAsia="Batang" w:hAnsi="Times New Roman" w:cs="Times New Roman"/>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5AB6BC7"/>
    <w:multiLevelType w:val="hybridMultilevel"/>
    <w:tmpl w:val="9BEE8676"/>
    <w:lvl w:ilvl="0" w:tplc="0C09000F">
      <w:start w:val="1"/>
      <w:numFmt w:val="decimal"/>
      <w:lvlText w:val="%1."/>
      <w:lvlJc w:val="left"/>
      <w:pPr>
        <w:ind w:left="720" w:hanging="360"/>
      </w:pPr>
      <w:rPr>
        <w:rFonts w:hint="default"/>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C9AA23B4"/>
    <w:lvl w:ilvl="0" w:tplc="FA3EBBDE">
      <w:start w:val="1"/>
      <w:numFmt w:val="lowerLetter"/>
      <w:pStyle w:val="Quote3Bullet"/>
      <w:lvlText w:val="(%1)"/>
      <w:lvlJc w:val="left"/>
      <w:pPr>
        <w:ind w:left="2880" w:hanging="360"/>
      </w:pPr>
      <w:rPr>
        <w:rFonts w:ascii="Times New Roman" w:eastAsia="Batang" w:hAnsi="Times New Roman" w:cs="Times New Roman"/>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2A467F"/>
    <w:multiLevelType w:val="multilevel"/>
    <w:tmpl w:val="7686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369454591">
    <w:abstractNumId w:val="15"/>
  </w:num>
  <w:num w:numId="2" w16cid:durableId="365057462">
    <w:abstractNumId w:val="9"/>
  </w:num>
  <w:num w:numId="3" w16cid:durableId="305822580">
    <w:abstractNumId w:val="7"/>
  </w:num>
  <w:num w:numId="4" w16cid:durableId="974137335">
    <w:abstractNumId w:val="6"/>
  </w:num>
  <w:num w:numId="5" w16cid:durableId="1766267254">
    <w:abstractNumId w:val="5"/>
  </w:num>
  <w:num w:numId="6" w16cid:durableId="613633843">
    <w:abstractNumId w:val="4"/>
  </w:num>
  <w:num w:numId="7" w16cid:durableId="2028364954">
    <w:abstractNumId w:val="8"/>
  </w:num>
  <w:num w:numId="8" w16cid:durableId="1637373246">
    <w:abstractNumId w:val="3"/>
  </w:num>
  <w:num w:numId="9" w16cid:durableId="871235849">
    <w:abstractNumId w:val="2"/>
  </w:num>
  <w:num w:numId="10" w16cid:durableId="1394739564">
    <w:abstractNumId w:val="1"/>
  </w:num>
  <w:num w:numId="11" w16cid:durableId="1781028952">
    <w:abstractNumId w:val="0"/>
  </w:num>
  <w:num w:numId="12" w16cid:durableId="414326071">
    <w:abstractNumId w:val="24"/>
  </w:num>
  <w:num w:numId="13" w16cid:durableId="1781997738">
    <w:abstractNumId w:val="21"/>
  </w:num>
  <w:num w:numId="14" w16cid:durableId="1284920390">
    <w:abstractNumId w:val="22"/>
  </w:num>
  <w:num w:numId="15" w16cid:durableId="813722961">
    <w:abstractNumId w:val="26"/>
  </w:num>
  <w:num w:numId="16" w16cid:durableId="1626085010">
    <w:abstractNumId w:val="14"/>
  </w:num>
  <w:num w:numId="17" w16cid:durableId="1193114045">
    <w:abstractNumId w:val="25"/>
  </w:num>
  <w:num w:numId="18" w16cid:durableId="1906450962">
    <w:abstractNumId w:val="11"/>
  </w:num>
  <w:num w:numId="19" w16cid:durableId="113788045">
    <w:abstractNumId w:val="19"/>
  </w:num>
  <w:num w:numId="20" w16cid:durableId="1266961379">
    <w:abstractNumId w:val="16"/>
  </w:num>
  <w:num w:numId="21" w16cid:durableId="1607928055">
    <w:abstractNumId w:val="17"/>
  </w:num>
  <w:num w:numId="22" w16cid:durableId="1895583797">
    <w:abstractNumId w:val="20"/>
  </w:num>
  <w:num w:numId="23" w16cid:durableId="45960028">
    <w:abstractNumId w:val="10"/>
  </w:num>
  <w:num w:numId="24" w16cid:durableId="1946036789">
    <w:abstractNumId w:val="10"/>
  </w:num>
  <w:num w:numId="25" w16cid:durableId="57679437">
    <w:abstractNumId w:val="13"/>
  </w:num>
  <w:num w:numId="26" w16cid:durableId="723452747">
    <w:abstractNumId w:val="18"/>
  </w:num>
  <w:num w:numId="27" w16cid:durableId="2032292461">
    <w:abstractNumId w:val="18"/>
  </w:num>
  <w:num w:numId="28" w16cid:durableId="1390227687">
    <w:abstractNumId w:val="18"/>
  </w:num>
  <w:num w:numId="29" w16cid:durableId="200096461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4098619">
    <w:abstractNumId w:val="11"/>
    <w:lvlOverride w:ilvl="0">
      <w:startOverride w:val="1"/>
    </w:lvlOverride>
  </w:num>
  <w:num w:numId="31" w16cid:durableId="129832968">
    <w:abstractNumId w:val="11"/>
    <w:lvlOverride w:ilvl="0">
      <w:startOverride w:val="1"/>
    </w:lvlOverride>
  </w:num>
  <w:num w:numId="32" w16cid:durableId="1956055175">
    <w:abstractNumId w:val="11"/>
    <w:lvlOverride w:ilvl="0">
      <w:startOverride w:val="2"/>
    </w:lvlOverride>
  </w:num>
  <w:num w:numId="33" w16cid:durableId="1960718715">
    <w:abstractNumId w:val="11"/>
    <w:lvlOverride w:ilvl="0">
      <w:startOverride w:val="2"/>
    </w:lvlOverride>
  </w:num>
  <w:num w:numId="34" w16cid:durableId="1147667524">
    <w:abstractNumId w:val="11"/>
    <w:lvlOverride w:ilvl="0">
      <w:startOverride w:val="4"/>
    </w:lvlOverride>
  </w:num>
  <w:num w:numId="35" w16cid:durableId="1587424693">
    <w:abstractNumId w:val="11"/>
    <w:lvlOverride w:ilvl="0">
      <w:startOverride w:val="5"/>
    </w:lvlOverride>
  </w:num>
  <w:num w:numId="36" w16cid:durableId="73736046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16cid:durableId="767969999">
    <w:abstractNumId w:val="20"/>
    <w:lvlOverride w:ilvl="0">
      <w:lvl w:ilvl="0">
        <w:start w:val="1"/>
        <w:numFmt w:val="decimal"/>
        <w:pStyle w:val="ListNo1"/>
        <w:lvlText w:val="(%1)"/>
        <w:lvlJc w:val="left"/>
        <w:pPr>
          <w:tabs>
            <w:tab w:val="num" w:pos="720"/>
          </w:tabs>
          <w:ind w:left="720" w:hanging="720"/>
        </w:pPr>
        <w:rPr>
          <w:rFonts w:ascii="Times New Roman" w:hAnsi="Times New Roman" w:cs="Times New Roman" w:hint="default"/>
        </w:rPr>
      </w:lvl>
    </w:lvlOverride>
    <w:lvlOverride w:ilvl="1">
      <w:lvl w:ilvl="1">
        <w:start w:val="1"/>
        <w:numFmt w:val="lowerLetter"/>
        <w:pStyle w:val="ListNo2"/>
        <w:lvlText w:val="(%2)"/>
        <w:lvlJc w:val="left"/>
        <w:pPr>
          <w:tabs>
            <w:tab w:val="num" w:pos="1440"/>
          </w:tabs>
          <w:ind w:left="1440" w:hanging="720"/>
        </w:pPr>
      </w:lvl>
    </w:lvlOverride>
    <w:lvlOverride w:ilvl="2">
      <w:lvl w:ilvl="2">
        <w:start w:val="1"/>
        <w:numFmt w:val="lowerRoman"/>
        <w:pStyle w:val="ListNo3"/>
        <w:lvlText w:val="(%3)"/>
        <w:lvlJc w:val="left"/>
        <w:pPr>
          <w:tabs>
            <w:tab w:val="num" w:pos="2160"/>
          </w:tabs>
          <w:ind w:left="2160" w:hanging="720"/>
        </w:pPr>
      </w:lvl>
    </w:lvlOverride>
    <w:lvlOverride w:ilvl="3">
      <w:lvl w:ilvl="3">
        <w:numFmt w:val="none"/>
        <w:lvlRestart w:val="0"/>
        <w:suff w:val="nothing"/>
        <w:lvlText w:val=""/>
        <w:lvlJc w:val="left"/>
        <w:pPr>
          <w:ind w:left="-32767" w:firstLine="0"/>
        </w:pPr>
      </w:lvl>
    </w:lvlOverride>
    <w:lvlOverride w:ilvl="4">
      <w:lvl w:ilvl="4">
        <w:start w:val="1"/>
        <w:numFmt w:val="none"/>
        <w:lvlRestart w:val="0"/>
        <w:suff w:val="nothing"/>
        <w:lvlText w:val=""/>
        <w:lvlJc w:val="left"/>
        <w:pPr>
          <w:ind w:left="-32767" w:firstLine="0"/>
        </w:pPr>
      </w:lvl>
    </w:lvlOverride>
    <w:lvlOverride w:ilvl="5">
      <w:lvl w:ilvl="5">
        <w:start w:val="1"/>
        <w:numFmt w:val="none"/>
        <w:lvlRestart w:val="0"/>
        <w:suff w:val="nothing"/>
        <w:lvlText w:val=""/>
        <w:lvlJc w:val="left"/>
        <w:pPr>
          <w:ind w:left="-32767" w:firstLine="0"/>
        </w:pPr>
      </w:lvl>
    </w:lvlOverride>
    <w:lvlOverride w:ilvl="6">
      <w:lvl w:ilvl="6">
        <w:start w:val="1"/>
        <w:numFmt w:val="none"/>
        <w:lvlRestart w:val="0"/>
        <w:suff w:val="nothing"/>
        <w:lvlText w:val=""/>
        <w:lvlJc w:val="left"/>
        <w:pPr>
          <w:ind w:left="-32767" w:firstLine="0"/>
        </w:pPr>
      </w:lvl>
    </w:lvlOverride>
    <w:lvlOverride w:ilvl="7">
      <w:lvl w:ilvl="7">
        <w:start w:val="1"/>
        <w:numFmt w:val="none"/>
        <w:lvlRestart w:val="0"/>
        <w:suff w:val="nothing"/>
        <w:lvlText w:val=""/>
        <w:lvlJc w:val="left"/>
        <w:pPr>
          <w:ind w:left="-32767" w:firstLine="0"/>
        </w:pPr>
      </w:lvl>
    </w:lvlOverride>
    <w:lvlOverride w:ilvl="8">
      <w:lvl w:ilvl="8">
        <w:start w:val="1"/>
        <w:numFmt w:val="none"/>
        <w:lvlRestart w:val="0"/>
        <w:suff w:val="nothing"/>
        <w:lvlText w:val=""/>
        <w:lvlJc w:val="left"/>
        <w:pPr>
          <w:ind w:left="-32767" w:firstLine="0"/>
        </w:pPr>
      </w:lvl>
    </w:lvlOverride>
  </w:num>
  <w:num w:numId="38" w16cid:durableId="16368315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030658">
    <w:abstractNumId w:val="20"/>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0" w16cid:durableId="2083213105">
    <w:abstractNumId w:val="20"/>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1" w16cid:durableId="1890221639">
    <w:abstractNumId w:val="12"/>
  </w:num>
  <w:num w:numId="42" w16cid:durableId="1706053216">
    <w:abstractNumId w:val="11"/>
    <w:lvlOverride w:ilvl="0">
      <w:startOverride w:val="1"/>
    </w:lvlOverride>
  </w:num>
  <w:num w:numId="43" w16cid:durableId="388500086">
    <w:abstractNumId w:val="11"/>
    <w:lvlOverride w:ilvl="0">
      <w:startOverride w:val="2"/>
    </w:lvlOverride>
  </w:num>
  <w:num w:numId="44" w16cid:durableId="828710732">
    <w:abstractNumId w:val="11"/>
    <w:lvlOverride w:ilvl="0">
      <w:startOverride w:val="2"/>
    </w:lvlOverride>
  </w:num>
  <w:num w:numId="45" w16cid:durableId="348533688">
    <w:abstractNumId w:val="11"/>
    <w:lvlOverride w:ilvl="0">
      <w:startOverride w:val="2"/>
    </w:lvlOverride>
  </w:num>
  <w:num w:numId="46" w16cid:durableId="1291203907">
    <w:abstractNumId w:val="11"/>
    <w:lvlOverride w:ilvl="0">
      <w:startOverride w:val="2"/>
    </w:lvlOverride>
  </w:num>
  <w:num w:numId="47" w16cid:durableId="884220131">
    <w:abstractNumId w:val="23"/>
    <w:lvlOverride w:ilvl="0">
      <w:startOverride w:val="60"/>
    </w:lvlOverride>
  </w:num>
  <w:num w:numId="48" w16cid:durableId="133268415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52994163">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45312756">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66615637">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85503264">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A0"/>
    <w:rsid w:val="00000747"/>
    <w:rsid w:val="000008DE"/>
    <w:rsid w:val="0000103E"/>
    <w:rsid w:val="00001766"/>
    <w:rsid w:val="00001F26"/>
    <w:rsid w:val="00001FC2"/>
    <w:rsid w:val="00002294"/>
    <w:rsid w:val="00002502"/>
    <w:rsid w:val="00003E39"/>
    <w:rsid w:val="000041FB"/>
    <w:rsid w:val="000043F8"/>
    <w:rsid w:val="00004884"/>
    <w:rsid w:val="00004AAB"/>
    <w:rsid w:val="000053B2"/>
    <w:rsid w:val="00005A23"/>
    <w:rsid w:val="00005B0D"/>
    <w:rsid w:val="00007F2E"/>
    <w:rsid w:val="00010019"/>
    <w:rsid w:val="00010E8B"/>
    <w:rsid w:val="000115C5"/>
    <w:rsid w:val="00011759"/>
    <w:rsid w:val="00012627"/>
    <w:rsid w:val="000127C6"/>
    <w:rsid w:val="00013725"/>
    <w:rsid w:val="00013B07"/>
    <w:rsid w:val="00014637"/>
    <w:rsid w:val="0001469E"/>
    <w:rsid w:val="00014A3B"/>
    <w:rsid w:val="00014CE7"/>
    <w:rsid w:val="000158EE"/>
    <w:rsid w:val="00015993"/>
    <w:rsid w:val="00015F55"/>
    <w:rsid w:val="0001710B"/>
    <w:rsid w:val="000215FB"/>
    <w:rsid w:val="00021CCB"/>
    <w:rsid w:val="00021D22"/>
    <w:rsid w:val="00022289"/>
    <w:rsid w:val="000226D7"/>
    <w:rsid w:val="00022760"/>
    <w:rsid w:val="000232B4"/>
    <w:rsid w:val="000233D1"/>
    <w:rsid w:val="000237E9"/>
    <w:rsid w:val="00024296"/>
    <w:rsid w:val="000243A2"/>
    <w:rsid w:val="00027398"/>
    <w:rsid w:val="00027A9F"/>
    <w:rsid w:val="0003043B"/>
    <w:rsid w:val="000308DD"/>
    <w:rsid w:val="00031369"/>
    <w:rsid w:val="0003151E"/>
    <w:rsid w:val="000318EF"/>
    <w:rsid w:val="0003201A"/>
    <w:rsid w:val="0003207A"/>
    <w:rsid w:val="00032B8D"/>
    <w:rsid w:val="00032F9F"/>
    <w:rsid w:val="000334CB"/>
    <w:rsid w:val="000339A3"/>
    <w:rsid w:val="00034835"/>
    <w:rsid w:val="00034849"/>
    <w:rsid w:val="00034885"/>
    <w:rsid w:val="00034BE5"/>
    <w:rsid w:val="000358D2"/>
    <w:rsid w:val="00041C07"/>
    <w:rsid w:val="0004230B"/>
    <w:rsid w:val="0004311A"/>
    <w:rsid w:val="00043B74"/>
    <w:rsid w:val="0004493E"/>
    <w:rsid w:val="00044CCE"/>
    <w:rsid w:val="00045BB7"/>
    <w:rsid w:val="00045F81"/>
    <w:rsid w:val="0004664E"/>
    <w:rsid w:val="0004684C"/>
    <w:rsid w:val="0005031C"/>
    <w:rsid w:val="00051B0F"/>
    <w:rsid w:val="000537E7"/>
    <w:rsid w:val="000538B8"/>
    <w:rsid w:val="00054555"/>
    <w:rsid w:val="00055719"/>
    <w:rsid w:val="00055D51"/>
    <w:rsid w:val="00055FB9"/>
    <w:rsid w:val="0005641B"/>
    <w:rsid w:val="000572EC"/>
    <w:rsid w:val="000573F0"/>
    <w:rsid w:val="00057CB8"/>
    <w:rsid w:val="000601CA"/>
    <w:rsid w:val="0006023A"/>
    <w:rsid w:val="000609BB"/>
    <w:rsid w:val="0006196A"/>
    <w:rsid w:val="00061EE2"/>
    <w:rsid w:val="0006211E"/>
    <w:rsid w:val="000626E7"/>
    <w:rsid w:val="00062AA7"/>
    <w:rsid w:val="00063305"/>
    <w:rsid w:val="00063D77"/>
    <w:rsid w:val="00063F06"/>
    <w:rsid w:val="000650F0"/>
    <w:rsid w:val="000654BA"/>
    <w:rsid w:val="00065EEA"/>
    <w:rsid w:val="00066A91"/>
    <w:rsid w:val="00067229"/>
    <w:rsid w:val="00067BC1"/>
    <w:rsid w:val="0007034F"/>
    <w:rsid w:val="0007052A"/>
    <w:rsid w:val="00071797"/>
    <w:rsid w:val="00071FB3"/>
    <w:rsid w:val="0007213A"/>
    <w:rsid w:val="00072DEB"/>
    <w:rsid w:val="000732CA"/>
    <w:rsid w:val="000749A4"/>
    <w:rsid w:val="00074A9E"/>
    <w:rsid w:val="00074EA8"/>
    <w:rsid w:val="00075CD8"/>
    <w:rsid w:val="00075E61"/>
    <w:rsid w:val="00076196"/>
    <w:rsid w:val="0007689F"/>
    <w:rsid w:val="00077768"/>
    <w:rsid w:val="00077AAF"/>
    <w:rsid w:val="00077B6B"/>
    <w:rsid w:val="00081497"/>
    <w:rsid w:val="00082FE3"/>
    <w:rsid w:val="000831EC"/>
    <w:rsid w:val="00083724"/>
    <w:rsid w:val="00083734"/>
    <w:rsid w:val="00083AC2"/>
    <w:rsid w:val="00083C75"/>
    <w:rsid w:val="00084126"/>
    <w:rsid w:val="000843D4"/>
    <w:rsid w:val="0008457C"/>
    <w:rsid w:val="00084F89"/>
    <w:rsid w:val="00085255"/>
    <w:rsid w:val="0008670D"/>
    <w:rsid w:val="00086D0C"/>
    <w:rsid w:val="0009021D"/>
    <w:rsid w:val="0009152A"/>
    <w:rsid w:val="00092DAC"/>
    <w:rsid w:val="00093240"/>
    <w:rsid w:val="00093AB4"/>
    <w:rsid w:val="00093EA9"/>
    <w:rsid w:val="00094130"/>
    <w:rsid w:val="00094E74"/>
    <w:rsid w:val="00095101"/>
    <w:rsid w:val="0009613A"/>
    <w:rsid w:val="00096916"/>
    <w:rsid w:val="00096C16"/>
    <w:rsid w:val="0009729A"/>
    <w:rsid w:val="0009768E"/>
    <w:rsid w:val="000A1206"/>
    <w:rsid w:val="000A2E76"/>
    <w:rsid w:val="000A4082"/>
    <w:rsid w:val="000A4807"/>
    <w:rsid w:val="000A495C"/>
    <w:rsid w:val="000A4BE4"/>
    <w:rsid w:val="000A6494"/>
    <w:rsid w:val="000B2320"/>
    <w:rsid w:val="000B3BA4"/>
    <w:rsid w:val="000B43C6"/>
    <w:rsid w:val="000B79E4"/>
    <w:rsid w:val="000B7F4C"/>
    <w:rsid w:val="000C023E"/>
    <w:rsid w:val="000C0570"/>
    <w:rsid w:val="000C0D45"/>
    <w:rsid w:val="000C274D"/>
    <w:rsid w:val="000C2E28"/>
    <w:rsid w:val="000C2F0F"/>
    <w:rsid w:val="000C2F5C"/>
    <w:rsid w:val="000C3A72"/>
    <w:rsid w:val="000C3B0B"/>
    <w:rsid w:val="000C3B10"/>
    <w:rsid w:val="000C405D"/>
    <w:rsid w:val="000C4275"/>
    <w:rsid w:val="000C4E4B"/>
    <w:rsid w:val="000C5195"/>
    <w:rsid w:val="000C60BB"/>
    <w:rsid w:val="000C6229"/>
    <w:rsid w:val="000C62EF"/>
    <w:rsid w:val="000C659F"/>
    <w:rsid w:val="000C66EB"/>
    <w:rsid w:val="000D0573"/>
    <w:rsid w:val="000D1828"/>
    <w:rsid w:val="000D1B79"/>
    <w:rsid w:val="000D2137"/>
    <w:rsid w:val="000D2DF4"/>
    <w:rsid w:val="000D32D2"/>
    <w:rsid w:val="000D3FD2"/>
    <w:rsid w:val="000D4B2E"/>
    <w:rsid w:val="000D4BD7"/>
    <w:rsid w:val="000D4C9F"/>
    <w:rsid w:val="000D4D6A"/>
    <w:rsid w:val="000D7141"/>
    <w:rsid w:val="000D7D09"/>
    <w:rsid w:val="000E0BD7"/>
    <w:rsid w:val="000E0DE4"/>
    <w:rsid w:val="000E1384"/>
    <w:rsid w:val="000E169C"/>
    <w:rsid w:val="000E34C1"/>
    <w:rsid w:val="000E3FC8"/>
    <w:rsid w:val="000E4424"/>
    <w:rsid w:val="000E4542"/>
    <w:rsid w:val="000E49C3"/>
    <w:rsid w:val="000E4A23"/>
    <w:rsid w:val="000E5AA1"/>
    <w:rsid w:val="000E6580"/>
    <w:rsid w:val="000E6D14"/>
    <w:rsid w:val="000E6D49"/>
    <w:rsid w:val="000E6F7C"/>
    <w:rsid w:val="000E7272"/>
    <w:rsid w:val="000E75C6"/>
    <w:rsid w:val="000E79DA"/>
    <w:rsid w:val="000E7BAE"/>
    <w:rsid w:val="000F09BF"/>
    <w:rsid w:val="000F0B45"/>
    <w:rsid w:val="000F11B2"/>
    <w:rsid w:val="000F128B"/>
    <w:rsid w:val="000F133D"/>
    <w:rsid w:val="000F1368"/>
    <w:rsid w:val="000F1FF1"/>
    <w:rsid w:val="000F2681"/>
    <w:rsid w:val="000F32B3"/>
    <w:rsid w:val="000F4920"/>
    <w:rsid w:val="000F5580"/>
    <w:rsid w:val="000F57E8"/>
    <w:rsid w:val="000F6175"/>
    <w:rsid w:val="000F67F5"/>
    <w:rsid w:val="00100B88"/>
    <w:rsid w:val="00100CDA"/>
    <w:rsid w:val="00101538"/>
    <w:rsid w:val="001037FF"/>
    <w:rsid w:val="00103FF1"/>
    <w:rsid w:val="0010536B"/>
    <w:rsid w:val="00105CC9"/>
    <w:rsid w:val="00110B61"/>
    <w:rsid w:val="00110C57"/>
    <w:rsid w:val="00110F9D"/>
    <w:rsid w:val="00111121"/>
    <w:rsid w:val="0011145C"/>
    <w:rsid w:val="00111708"/>
    <w:rsid w:val="001128BD"/>
    <w:rsid w:val="00112CCF"/>
    <w:rsid w:val="00113577"/>
    <w:rsid w:val="00113B37"/>
    <w:rsid w:val="0011419D"/>
    <w:rsid w:val="00114665"/>
    <w:rsid w:val="00114756"/>
    <w:rsid w:val="00114B02"/>
    <w:rsid w:val="0011567B"/>
    <w:rsid w:val="00115CAB"/>
    <w:rsid w:val="00115F4B"/>
    <w:rsid w:val="00116CAD"/>
    <w:rsid w:val="00117012"/>
    <w:rsid w:val="0011741F"/>
    <w:rsid w:val="00117428"/>
    <w:rsid w:val="00120430"/>
    <w:rsid w:val="00120E22"/>
    <w:rsid w:val="00121BBF"/>
    <w:rsid w:val="001226C0"/>
    <w:rsid w:val="00122C17"/>
    <w:rsid w:val="001237FE"/>
    <w:rsid w:val="00124FFD"/>
    <w:rsid w:val="001257C3"/>
    <w:rsid w:val="00126106"/>
    <w:rsid w:val="001263FE"/>
    <w:rsid w:val="00126879"/>
    <w:rsid w:val="00126C1C"/>
    <w:rsid w:val="00126EC8"/>
    <w:rsid w:val="0012724B"/>
    <w:rsid w:val="0012731C"/>
    <w:rsid w:val="001276AD"/>
    <w:rsid w:val="00127B6A"/>
    <w:rsid w:val="00130E62"/>
    <w:rsid w:val="00131B21"/>
    <w:rsid w:val="00132054"/>
    <w:rsid w:val="00132820"/>
    <w:rsid w:val="001329AE"/>
    <w:rsid w:val="00132AAD"/>
    <w:rsid w:val="00132E2E"/>
    <w:rsid w:val="001331BF"/>
    <w:rsid w:val="00134563"/>
    <w:rsid w:val="00134964"/>
    <w:rsid w:val="00134A01"/>
    <w:rsid w:val="0013518D"/>
    <w:rsid w:val="001351B9"/>
    <w:rsid w:val="00135323"/>
    <w:rsid w:val="001359E8"/>
    <w:rsid w:val="00135E01"/>
    <w:rsid w:val="001372B7"/>
    <w:rsid w:val="00137BAF"/>
    <w:rsid w:val="00140D82"/>
    <w:rsid w:val="0014106D"/>
    <w:rsid w:val="00141675"/>
    <w:rsid w:val="00141727"/>
    <w:rsid w:val="001420E0"/>
    <w:rsid w:val="00142B12"/>
    <w:rsid w:val="0014358C"/>
    <w:rsid w:val="001438CD"/>
    <w:rsid w:val="00143C4E"/>
    <w:rsid w:val="0014443A"/>
    <w:rsid w:val="001448BE"/>
    <w:rsid w:val="00146A01"/>
    <w:rsid w:val="0014741E"/>
    <w:rsid w:val="00147A33"/>
    <w:rsid w:val="001522FB"/>
    <w:rsid w:val="00152D22"/>
    <w:rsid w:val="00153811"/>
    <w:rsid w:val="001540D2"/>
    <w:rsid w:val="00154A2F"/>
    <w:rsid w:val="00154E77"/>
    <w:rsid w:val="00155410"/>
    <w:rsid w:val="00155703"/>
    <w:rsid w:val="001557BD"/>
    <w:rsid w:val="00155B87"/>
    <w:rsid w:val="00155CD2"/>
    <w:rsid w:val="001607CE"/>
    <w:rsid w:val="001615FA"/>
    <w:rsid w:val="00161D7A"/>
    <w:rsid w:val="00163C36"/>
    <w:rsid w:val="00164066"/>
    <w:rsid w:val="001648F2"/>
    <w:rsid w:val="00165037"/>
    <w:rsid w:val="0016554B"/>
    <w:rsid w:val="001659C1"/>
    <w:rsid w:val="001668AE"/>
    <w:rsid w:val="00166C05"/>
    <w:rsid w:val="00166D83"/>
    <w:rsid w:val="00167AFF"/>
    <w:rsid w:val="001727A4"/>
    <w:rsid w:val="0017291B"/>
    <w:rsid w:val="00172E33"/>
    <w:rsid w:val="0017376C"/>
    <w:rsid w:val="001738AB"/>
    <w:rsid w:val="00173DF6"/>
    <w:rsid w:val="00175470"/>
    <w:rsid w:val="001765E0"/>
    <w:rsid w:val="00176C83"/>
    <w:rsid w:val="00176D9E"/>
    <w:rsid w:val="00177555"/>
    <w:rsid w:val="00177759"/>
    <w:rsid w:val="00180BB3"/>
    <w:rsid w:val="0018187E"/>
    <w:rsid w:val="00181DEA"/>
    <w:rsid w:val="00183EAF"/>
    <w:rsid w:val="00184493"/>
    <w:rsid w:val="0018468E"/>
    <w:rsid w:val="00185444"/>
    <w:rsid w:val="00185CEA"/>
    <w:rsid w:val="00185DD6"/>
    <w:rsid w:val="00185E6B"/>
    <w:rsid w:val="00186188"/>
    <w:rsid w:val="00186753"/>
    <w:rsid w:val="00187922"/>
    <w:rsid w:val="00187BBC"/>
    <w:rsid w:val="00190B3E"/>
    <w:rsid w:val="0019108C"/>
    <w:rsid w:val="00191512"/>
    <w:rsid w:val="001925CF"/>
    <w:rsid w:val="00192D4D"/>
    <w:rsid w:val="001932F3"/>
    <w:rsid w:val="0019332C"/>
    <w:rsid w:val="0019446A"/>
    <w:rsid w:val="001A1EE9"/>
    <w:rsid w:val="001A221B"/>
    <w:rsid w:val="001A2577"/>
    <w:rsid w:val="001A2B40"/>
    <w:rsid w:val="001A3C9C"/>
    <w:rsid w:val="001A4309"/>
    <w:rsid w:val="001A46AE"/>
    <w:rsid w:val="001A47D5"/>
    <w:rsid w:val="001A489D"/>
    <w:rsid w:val="001A4BE4"/>
    <w:rsid w:val="001A4D66"/>
    <w:rsid w:val="001A615F"/>
    <w:rsid w:val="001A6B43"/>
    <w:rsid w:val="001A6C52"/>
    <w:rsid w:val="001A7511"/>
    <w:rsid w:val="001A7C09"/>
    <w:rsid w:val="001B1053"/>
    <w:rsid w:val="001B10C5"/>
    <w:rsid w:val="001B14AC"/>
    <w:rsid w:val="001B1D3A"/>
    <w:rsid w:val="001B2842"/>
    <w:rsid w:val="001B3085"/>
    <w:rsid w:val="001B3E16"/>
    <w:rsid w:val="001B4578"/>
    <w:rsid w:val="001B5495"/>
    <w:rsid w:val="001B5550"/>
    <w:rsid w:val="001B5E40"/>
    <w:rsid w:val="001B737B"/>
    <w:rsid w:val="001B7940"/>
    <w:rsid w:val="001C08A6"/>
    <w:rsid w:val="001C171A"/>
    <w:rsid w:val="001C18D7"/>
    <w:rsid w:val="001C2D81"/>
    <w:rsid w:val="001C2FE0"/>
    <w:rsid w:val="001C34D8"/>
    <w:rsid w:val="001C37CA"/>
    <w:rsid w:val="001C3AEE"/>
    <w:rsid w:val="001C4085"/>
    <w:rsid w:val="001C56DC"/>
    <w:rsid w:val="001C56EB"/>
    <w:rsid w:val="001C59B1"/>
    <w:rsid w:val="001C6440"/>
    <w:rsid w:val="001C64AD"/>
    <w:rsid w:val="001C6D0C"/>
    <w:rsid w:val="001C718F"/>
    <w:rsid w:val="001C7ACC"/>
    <w:rsid w:val="001C7B6F"/>
    <w:rsid w:val="001C7FF4"/>
    <w:rsid w:val="001D0451"/>
    <w:rsid w:val="001D12A9"/>
    <w:rsid w:val="001D165A"/>
    <w:rsid w:val="001D39E6"/>
    <w:rsid w:val="001D3ADF"/>
    <w:rsid w:val="001D4303"/>
    <w:rsid w:val="001D5617"/>
    <w:rsid w:val="001D56DF"/>
    <w:rsid w:val="001D6746"/>
    <w:rsid w:val="001E0C61"/>
    <w:rsid w:val="001E0E3C"/>
    <w:rsid w:val="001E1038"/>
    <w:rsid w:val="001E12A9"/>
    <w:rsid w:val="001E1642"/>
    <w:rsid w:val="001E1DFB"/>
    <w:rsid w:val="001E2D5B"/>
    <w:rsid w:val="001E3B49"/>
    <w:rsid w:val="001E465A"/>
    <w:rsid w:val="001E4A05"/>
    <w:rsid w:val="001E5939"/>
    <w:rsid w:val="001E5B26"/>
    <w:rsid w:val="001E6A19"/>
    <w:rsid w:val="001E7388"/>
    <w:rsid w:val="001F0F3F"/>
    <w:rsid w:val="001F1185"/>
    <w:rsid w:val="001F13DD"/>
    <w:rsid w:val="001F175C"/>
    <w:rsid w:val="001F1E7D"/>
    <w:rsid w:val="001F2473"/>
    <w:rsid w:val="001F2DBC"/>
    <w:rsid w:val="001F46FA"/>
    <w:rsid w:val="001F5824"/>
    <w:rsid w:val="001F68EC"/>
    <w:rsid w:val="001F73E8"/>
    <w:rsid w:val="001F7620"/>
    <w:rsid w:val="001F7690"/>
    <w:rsid w:val="002011F6"/>
    <w:rsid w:val="002021D3"/>
    <w:rsid w:val="0020262C"/>
    <w:rsid w:val="00202723"/>
    <w:rsid w:val="002030D2"/>
    <w:rsid w:val="0020364E"/>
    <w:rsid w:val="00204D1B"/>
    <w:rsid w:val="0020511F"/>
    <w:rsid w:val="0020541A"/>
    <w:rsid w:val="00205854"/>
    <w:rsid w:val="00205DC8"/>
    <w:rsid w:val="002064F6"/>
    <w:rsid w:val="00206B96"/>
    <w:rsid w:val="00207134"/>
    <w:rsid w:val="002075E5"/>
    <w:rsid w:val="00210513"/>
    <w:rsid w:val="00210D74"/>
    <w:rsid w:val="002113B1"/>
    <w:rsid w:val="00211A3E"/>
    <w:rsid w:val="0021205A"/>
    <w:rsid w:val="00212064"/>
    <w:rsid w:val="0021320B"/>
    <w:rsid w:val="00213F20"/>
    <w:rsid w:val="00214055"/>
    <w:rsid w:val="002140D8"/>
    <w:rsid w:val="002149BE"/>
    <w:rsid w:val="00215816"/>
    <w:rsid w:val="00215BCA"/>
    <w:rsid w:val="00215CCA"/>
    <w:rsid w:val="002160F5"/>
    <w:rsid w:val="0021686F"/>
    <w:rsid w:val="00217595"/>
    <w:rsid w:val="00217AC4"/>
    <w:rsid w:val="00217D5F"/>
    <w:rsid w:val="00220BBD"/>
    <w:rsid w:val="00220DC4"/>
    <w:rsid w:val="00221461"/>
    <w:rsid w:val="002225AB"/>
    <w:rsid w:val="00222F30"/>
    <w:rsid w:val="00222F90"/>
    <w:rsid w:val="00223FF2"/>
    <w:rsid w:val="00224537"/>
    <w:rsid w:val="00224661"/>
    <w:rsid w:val="002247C9"/>
    <w:rsid w:val="00224F30"/>
    <w:rsid w:val="002254CC"/>
    <w:rsid w:val="002261B0"/>
    <w:rsid w:val="0023049B"/>
    <w:rsid w:val="00230E26"/>
    <w:rsid w:val="00231673"/>
    <w:rsid w:val="00232225"/>
    <w:rsid w:val="00232470"/>
    <w:rsid w:val="00233908"/>
    <w:rsid w:val="00234C35"/>
    <w:rsid w:val="00235956"/>
    <w:rsid w:val="0024074C"/>
    <w:rsid w:val="00240B5E"/>
    <w:rsid w:val="00241928"/>
    <w:rsid w:val="00242AB9"/>
    <w:rsid w:val="0024320E"/>
    <w:rsid w:val="00243E5E"/>
    <w:rsid w:val="00243F5D"/>
    <w:rsid w:val="002440B1"/>
    <w:rsid w:val="0024429E"/>
    <w:rsid w:val="0024505E"/>
    <w:rsid w:val="00245A50"/>
    <w:rsid w:val="002461F2"/>
    <w:rsid w:val="002467A6"/>
    <w:rsid w:val="00246FAD"/>
    <w:rsid w:val="00247453"/>
    <w:rsid w:val="00247C9A"/>
    <w:rsid w:val="0025160C"/>
    <w:rsid w:val="00251EA2"/>
    <w:rsid w:val="00251EDF"/>
    <w:rsid w:val="002524B7"/>
    <w:rsid w:val="00252CC4"/>
    <w:rsid w:val="00252F10"/>
    <w:rsid w:val="002535D0"/>
    <w:rsid w:val="00253772"/>
    <w:rsid w:val="002539B3"/>
    <w:rsid w:val="00254D92"/>
    <w:rsid w:val="00256336"/>
    <w:rsid w:val="00257C3E"/>
    <w:rsid w:val="002602C2"/>
    <w:rsid w:val="00260ADB"/>
    <w:rsid w:val="0026113C"/>
    <w:rsid w:val="00261322"/>
    <w:rsid w:val="002618C0"/>
    <w:rsid w:val="00261CF2"/>
    <w:rsid w:val="00262D5D"/>
    <w:rsid w:val="00263135"/>
    <w:rsid w:val="00263690"/>
    <w:rsid w:val="00263CFC"/>
    <w:rsid w:val="002645CD"/>
    <w:rsid w:val="00265380"/>
    <w:rsid w:val="002666C9"/>
    <w:rsid w:val="0026683D"/>
    <w:rsid w:val="00266ABD"/>
    <w:rsid w:val="00270136"/>
    <w:rsid w:val="0027036E"/>
    <w:rsid w:val="00270FD7"/>
    <w:rsid w:val="00271D0A"/>
    <w:rsid w:val="00272289"/>
    <w:rsid w:val="002729C2"/>
    <w:rsid w:val="00273D33"/>
    <w:rsid w:val="002740F3"/>
    <w:rsid w:val="00274464"/>
    <w:rsid w:val="00274479"/>
    <w:rsid w:val="00274D1A"/>
    <w:rsid w:val="00274F5B"/>
    <w:rsid w:val="00275E2B"/>
    <w:rsid w:val="002761FB"/>
    <w:rsid w:val="002762C0"/>
    <w:rsid w:val="002768EF"/>
    <w:rsid w:val="0027714F"/>
    <w:rsid w:val="00277519"/>
    <w:rsid w:val="002803F8"/>
    <w:rsid w:val="00280836"/>
    <w:rsid w:val="00282725"/>
    <w:rsid w:val="00282E1A"/>
    <w:rsid w:val="00283B0B"/>
    <w:rsid w:val="00283CA3"/>
    <w:rsid w:val="002840F1"/>
    <w:rsid w:val="00285922"/>
    <w:rsid w:val="00285CDE"/>
    <w:rsid w:val="00287691"/>
    <w:rsid w:val="00287F13"/>
    <w:rsid w:val="00287FB0"/>
    <w:rsid w:val="0029064F"/>
    <w:rsid w:val="00290B15"/>
    <w:rsid w:val="0029113B"/>
    <w:rsid w:val="00291D5B"/>
    <w:rsid w:val="002927FC"/>
    <w:rsid w:val="00292CC9"/>
    <w:rsid w:val="00292D36"/>
    <w:rsid w:val="002934C0"/>
    <w:rsid w:val="00293E1F"/>
    <w:rsid w:val="00293FB8"/>
    <w:rsid w:val="00296949"/>
    <w:rsid w:val="0029700C"/>
    <w:rsid w:val="00297530"/>
    <w:rsid w:val="0029764C"/>
    <w:rsid w:val="002A0703"/>
    <w:rsid w:val="002A07E4"/>
    <w:rsid w:val="002A0B8F"/>
    <w:rsid w:val="002A18BF"/>
    <w:rsid w:val="002A1996"/>
    <w:rsid w:val="002A1B50"/>
    <w:rsid w:val="002A1D51"/>
    <w:rsid w:val="002A2B6E"/>
    <w:rsid w:val="002A35D3"/>
    <w:rsid w:val="002A4B50"/>
    <w:rsid w:val="002A4CF9"/>
    <w:rsid w:val="002A5505"/>
    <w:rsid w:val="002A5831"/>
    <w:rsid w:val="002A5C20"/>
    <w:rsid w:val="002A5DF6"/>
    <w:rsid w:val="002A7B8A"/>
    <w:rsid w:val="002A7F46"/>
    <w:rsid w:val="002B062E"/>
    <w:rsid w:val="002B0E91"/>
    <w:rsid w:val="002B132C"/>
    <w:rsid w:val="002B1BB4"/>
    <w:rsid w:val="002B1ED2"/>
    <w:rsid w:val="002B2C9F"/>
    <w:rsid w:val="002B38DC"/>
    <w:rsid w:val="002B3F23"/>
    <w:rsid w:val="002B482A"/>
    <w:rsid w:val="002B4975"/>
    <w:rsid w:val="002B4EB5"/>
    <w:rsid w:val="002B5461"/>
    <w:rsid w:val="002B5AF5"/>
    <w:rsid w:val="002B6779"/>
    <w:rsid w:val="002B6F5B"/>
    <w:rsid w:val="002B71C0"/>
    <w:rsid w:val="002B7A34"/>
    <w:rsid w:val="002B7E97"/>
    <w:rsid w:val="002C0168"/>
    <w:rsid w:val="002C01D4"/>
    <w:rsid w:val="002C0396"/>
    <w:rsid w:val="002C0AF1"/>
    <w:rsid w:val="002C0CFD"/>
    <w:rsid w:val="002C184C"/>
    <w:rsid w:val="002C1CCF"/>
    <w:rsid w:val="002C1EA1"/>
    <w:rsid w:val="002C2183"/>
    <w:rsid w:val="002C2FC0"/>
    <w:rsid w:val="002C3087"/>
    <w:rsid w:val="002C31AD"/>
    <w:rsid w:val="002C39A2"/>
    <w:rsid w:val="002C4236"/>
    <w:rsid w:val="002C4545"/>
    <w:rsid w:val="002C4E96"/>
    <w:rsid w:val="002C5606"/>
    <w:rsid w:val="002C57FC"/>
    <w:rsid w:val="002C58D7"/>
    <w:rsid w:val="002C5F37"/>
    <w:rsid w:val="002C6E82"/>
    <w:rsid w:val="002C7313"/>
    <w:rsid w:val="002C7385"/>
    <w:rsid w:val="002D04C6"/>
    <w:rsid w:val="002D0C44"/>
    <w:rsid w:val="002D113B"/>
    <w:rsid w:val="002D2738"/>
    <w:rsid w:val="002D2766"/>
    <w:rsid w:val="002D2DBB"/>
    <w:rsid w:val="002D2DD4"/>
    <w:rsid w:val="002D35CC"/>
    <w:rsid w:val="002D37D8"/>
    <w:rsid w:val="002D451F"/>
    <w:rsid w:val="002D4727"/>
    <w:rsid w:val="002D54A6"/>
    <w:rsid w:val="002D5B9E"/>
    <w:rsid w:val="002D68F8"/>
    <w:rsid w:val="002D71FD"/>
    <w:rsid w:val="002D7C90"/>
    <w:rsid w:val="002E0C7B"/>
    <w:rsid w:val="002E15CC"/>
    <w:rsid w:val="002E34E1"/>
    <w:rsid w:val="002E3779"/>
    <w:rsid w:val="002E4C36"/>
    <w:rsid w:val="002E55CF"/>
    <w:rsid w:val="002E57AF"/>
    <w:rsid w:val="002E5BF9"/>
    <w:rsid w:val="002E62EF"/>
    <w:rsid w:val="002E6A7A"/>
    <w:rsid w:val="002F15DB"/>
    <w:rsid w:val="002F1E49"/>
    <w:rsid w:val="002F2989"/>
    <w:rsid w:val="002F2A8D"/>
    <w:rsid w:val="002F2F43"/>
    <w:rsid w:val="002F49AC"/>
    <w:rsid w:val="002F4E9C"/>
    <w:rsid w:val="002F57F3"/>
    <w:rsid w:val="002F6B13"/>
    <w:rsid w:val="002F6E15"/>
    <w:rsid w:val="002F7853"/>
    <w:rsid w:val="002F78C9"/>
    <w:rsid w:val="00300436"/>
    <w:rsid w:val="00300A0A"/>
    <w:rsid w:val="00302F4E"/>
    <w:rsid w:val="0030381E"/>
    <w:rsid w:val="00303BF6"/>
    <w:rsid w:val="00306538"/>
    <w:rsid w:val="0030678B"/>
    <w:rsid w:val="00306B7D"/>
    <w:rsid w:val="00306C69"/>
    <w:rsid w:val="00307481"/>
    <w:rsid w:val="00310BC5"/>
    <w:rsid w:val="0031256C"/>
    <w:rsid w:val="00313B51"/>
    <w:rsid w:val="00314D6C"/>
    <w:rsid w:val="0031529F"/>
    <w:rsid w:val="0031638C"/>
    <w:rsid w:val="00316D2A"/>
    <w:rsid w:val="00317587"/>
    <w:rsid w:val="003179FB"/>
    <w:rsid w:val="003203C4"/>
    <w:rsid w:val="00322A7C"/>
    <w:rsid w:val="00322EEC"/>
    <w:rsid w:val="00323061"/>
    <w:rsid w:val="003233FF"/>
    <w:rsid w:val="003248CC"/>
    <w:rsid w:val="00324E24"/>
    <w:rsid w:val="00325033"/>
    <w:rsid w:val="003259F7"/>
    <w:rsid w:val="00326895"/>
    <w:rsid w:val="0032755B"/>
    <w:rsid w:val="003275B1"/>
    <w:rsid w:val="00330FC7"/>
    <w:rsid w:val="00331413"/>
    <w:rsid w:val="0033169B"/>
    <w:rsid w:val="00332644"/>
    <w:rsid w:val="00332C59"/>
    <w:rsid w:val="00332D16"/>
    <w:rsid w:val="00333E7E"/>
    <w:rsid w:val="003342E7"/>
    <w:rsid w:val="00335C86"/>
    <w:rsid w:val="0033631E"/>
    <w:rsid w:val="003368EB"/>
    <w:rsid w:val="0033759D"/>
    <w:rsid w:val="003402D3"/>
    <w:rsid w:val="0034068E"/>
    <w:rsid w:val="00340A6A"/>
    <w:rsid w:val="00341A69"/>
    <w:rsid w:val="00342AB9"/>
    <w:rsid w:val="00343ABC"/>
    <w:rsid w:val="00343F0F"/>
    <w:rsid w:val="00344197"/>
    <w:rsid w:val="0034525E"/>
    <w:rsid w:val="00345332"/>
    <w:rsid w:val="00345ADA"/>
    <w:rsid w:val="00345DF4"/>
    <w:rsid w:val="00346109"/>
    <w:rsid w:val="003463FE"/>
    <w:rsid w:val="00346586"/>
    <w:rsid w:val="00346A99"/>
    <w:rsid w:val="00346F65"/>
    <w:rsid w:val="003472FC"/>
    <w:rsid w:val="00347750"/>
    <w:rsid w:val="00347D41"/>
    <w:rsid w:val="00347F8F"/>
    <w:rsid w:val="00351B32"/>
    <w:rsid w:val="00351CFB"/>
    <w:rsid w:val="0035207B"/>
    <w:rsid w:val="00352E30"/>
    <w:rsid w:val="003532E4"/>
    <w:rsid w:val="003544ED"/>
    <w:rsid w:val="003554B3"/>
    <w:rsid w:val="00356632"/>
    <w:rsid w:val="00357305"/>
    <w:rsid w:val="00357684"/>
    <w:rsid w:val="00357C7E"/>
    <w:rsid w:val="0036082F"/>
    <w:rsid w:val="00360EE9"/>
    <w:rsid w:val="003622C8"/>
    <w:rsid w:val="00362947"/>
    <w:rsid w:val="00362A34"/>
    <w:rsid w:val="00362F26"/>
    <w:rsid w:val="003653B6"/>
    <w:rsid w:val="00366E4A"/>
    <w:rsid w:val="00367A33"/>
    <w:rsid w:val="00367B14"/>
    <w:rsid w:val="00370327"/>
    <w:rsid w:val="0037039F"/>
    <w:rsid w:val="00370C66"/>
    <w:rsid w:val="00370EA5"/>
    <w:rsid w:val="003715F1"/>
    <w:rsid w:val="003719B8"/>
    <w:rsid w:val="003722D3"/>
    <w:rsid w:val="0037239A"/>
    <w:rsid w:val="003729D6"/>
    <w:rsid w:val="00372B5F"/>
    <w:rsid w:val="003735C3"/>
    <w:rsid w:val="00373CCC"/>
    <w:rsid w:val="00373D9F"/>
    <w:rsid w:val="00374CC4"/>
    <w:rsid w:val="00375090"/>
    <w:rsid w:val="003762ED"/>
    <w:rsid w:val="0037675B"/>
    <w:rsid w:val="0037686A"/>
    <w:rsid w:val="00376A0F"/>
    <w:rsid w:val="00376FEF"/>
    <w:rsid w:val="003774B2"/>
    <w:rsid w:val="00377B3B"/>
    <w:rsid w:val="00380509"/>
    <w:rsid w:val="00380E88"/>
    <w:rsid w:val="00380F2D"/>
    <w:rsid w:val="00381944"/>
    <w:rsid w:val="00381BF2"/>
    <w:rsid w:val="00382B1C"/>
    <w:rsid w:val="003845A9"/>
    <w:rsid w:val="003850C9"/>
    <w:rsid w:val="00386B9F"/>
    <w:rsid w:val="003903D5"/>
    <w:rsid w:val="00390883"/>
    <w:rsid w:val="00391579"/>
    <w:rsid w:val="003922F8"/>
    <w:rsid w:val="0039275A"/>
    <w:rsid w:val="00394202"/>
    <w:rsid w:val="00394C6E"/>
    <w:rsid w:val="00395B24"/>
    <w:rsid w:val="00396425"/>
    <w:rsid w:val="00397000"/>
    <w:rsid w:val="003A0D89"/>
    <w:rsid w:val="003A0E74"/>
    <w:rsid w:val="003A1B00"/>
    <w:rsid w:val="003A2732"/>
    <w:rsid w:val="003A2AFA"/>
    <w:rsid w:val="003A2B4C"/>
    <w:rsid w:val="003A2D38"/>
    <w:rsid w:val="003A4933"/>
    <w:rsid w:val="003A4E37"/>
    <w:rsid w:val="003A58F8"/>
    <w:rsid w:val="003A5EC0"/>
    <w:rsid w:val="003A64B4"/>
    <w:rsid w:val="003A70C7"/>
    <w:rsid w:val="003A7ECC"/>
    <w:rsid w:val="003A7FCE"/>
    <w:rsid w:val="003B2569"/>
    <w:rsid w:val="003B2C72"/>
    <w:rsid w:val="003B4561"/>
    <w:rsid w:val="003B58B4"/>
    <w:rsid w:val="003B5B75"/>
    <w:rsid w:val="003B5EC0"/>
    <w:rsid w:val="003B6921"/>
    <w:rsid w:val="003B6B9B"/>
    <w:rsid w:val="003C0189"/>
    <w:rsid w:val="003C1333"/>
    <w:rsid w:val="003C20FF"/>
    <w:rsid w:val="003C2646"/>
    <w:rsid w:val="003C31E8"/>
    <w:rsid w:val="003C4941"/>
    <w:rsid w:val="003C49BC"/>
    <w:rsid w:val="003C550A"/>
    <w:rsid w:val="003C5672"/>
    <w:rsid w:val="003C6055"/>
    <w:rsid w:val="003C757B"/>
    <w:rsid w:val="003C7973"/>
    <w:rsid w:val="003D19F9"/>
    <w:rsid w:val="003D2650"/>
    <w:rsid w:val="003D2F83"/>
    <w:rsid w:val="003D3392"/>
    <w:rsid w:val="003D4AB2"/>
    <w:rsid w:val="003D4C8E"/>
    <w:rsid w:val="003D524C"/>
    <w:rsid w:val="003D560C"/>
    <w:rsid w:val="003D5B23"/>
    <w:rsid w:val="003D5C00"/>
    <w:rsid w:val="003D69C3"/>
    <w:rsid w:val="003D6E8E"/>
    <w:rsid w:val="003D77BE"/>
    <w:rsid w:val="003D7C27"/>
    <w:rsid w:val="003E021A"/>
    <w:rsid w:val="003E030E"/>
    <w:rsid w:val="003E0694"/>
    <w:rsid w:val="003E2A84"/>
    <w:rsid w:val="003E3154"/>
    <w:rsid w:val="003E3888"/>
    <w:rsid w:val="003E4C57"/>
    <w:rsid w:val="003E5874"/>
    <w:rsid w:val="003E72D3"/>
    <w:rsid w:val="003F05F1"/>
    <w:rsid w:val="003F10E5"/>
    <w:rsid w:val="003F1126"/>
    <w:rsid w:val="003F16BB"/>
    <w:rsid w:val="003F193E"/>
    <w:rsid w:val="003F242C"/>
    <w:rsid w:val="003F34F1"/>
    <w:rsid w:val="003F40D3"/>
    <w:rsid w:val="003F5040"/>
    <w:rsid w:val="003F50C6"/>
    <w:rsid w:val="003F6042"/>
    <w:rsid w:val="0040038F"/>
    <w:rsid w:val="0040058B"/>
    <w:rsid w:val="00401906"/>
    <w:rsid w:val="00402007"/>
    <w:rsid w:val="004031D8"/>
    <w:rsid w:val="00403932"/>
    <w:rsid w:val="00403F6C"/>
    <w:rsid w:val="0040416E"/>
    <w:rsid w:val="00406CBF"/>
    <w:rsid w:val="004104B6"/>
    <w:rsid w:val="00410F84"/>
    <w:rsid w:val="00411AE8"/>
    <w:rsid w:val="00411CD9"/>
    <w:rsid w:val="00412938"/>
    <w:rsid w:val="00413B74"/>
    <w:rsid w:val="00415065"/>
    <w:rsid w:val="0041530F"/>
    <w:rsid w:val="004153F0"/>
    <w:rsid w:val="0041591F"/>
    <w:rsid w:val="00415DE3"/>
    <w:rsid w:val="00416543"/>
    <w:rsid w:val="00416B7D"/>
    <w:rsid w:val="004175EB"/>
    <w:rsid w:val="0042222E"/>
    <w:rsid w:val="004228DC"/>
    <w:rsid w:val="00423FFB"/>
    <w:rsid w:val="0042423F"/>
    <w:rsid w:val="00424354"/>
    <w:rsid w:val="004247F4"/>
    <w:rsid w:val="004248D6"/>
    <w:rsid w:val="004249DD"/>
    <w:rsid w:val="00425C77"/>
    <w:rsid w:val="00425DD8"/>
    <w:rsid w:val="004265E9"/>
    <w:rsid w:val="00426A20"/>
    <w:rsid w:val="00426A72"/>
    <w:rsid w:val="00426B93"/>
    <w:rsid w:val="00427117"/>
    <w:rsid w:val="00431812"/>
    <w:rsid w:val="00431A2C"/>
    <w:rsid w:val="0043229F"/>
    <w:rsid w:val="004325FE"/>
    <w:rsid w:val="00432F0E"/>
    <w:rsid w:val="004342F3"/>
    <w:rsid w:val="00434948"/>
    <w:rsid w:val="00435046"/>
    <w:rsid w:val="00435C5F"/>
    <w:rsid w:val="00436155"/>
    <w:rsid w:val="00436460"/>
    <w:rsid w:val="0043658C"/>
    <w:rsid w:val="00436DE6"/>
    <w:rsid w:val="00441B52"/>
    <w:rsid w:val="00441E98"/>
    <w:rsid w:val="00442E0C"/>
    <w:rsid w:val="004439F9"/>
    <w:rsid w:val="00443C17"/>
    <w:rsid w:val="00443DD6"/>
    <w:rsid w:val="0044424B"/>
    <w:rsid w:val="0044495E"/>
    <w:rsid w:val="004473A0"/>
    <w:rsid w:val="00447614"/>
    <w:rsid w:val="00447E3B"/>
    <w:rsid w:val="00450BBA"/>
    <w:rsid w:val="00450F3A"/>
    <w:rsid w:val="00451B5C"/>
    <w:rsid w:val="00452FB1"/>
    <w:rsid w:val="004532F7"/>
    <w:rsid w:val="00455814"/>
    <w:rsid w:val="00455929"/>
    <w:rsid w:val="004566B5"/>
    <w:rsid w:val="00456C6C"/>
    <w:rsid w:val="00457626"/>
    <w:rsid w:val="00457D45"/>
    <w:rsid w:val="00457EEB"/>
    <w:rsid w:val="004600A7"/>
    <w:rsid w:val="00460F1F"/>
    <w:rsid w:val="00461DF1"/>
    <w:rsid w:val="004622A3"/>
    <w:rsid w:val="00463271"/>
    <w:rsid w:val="004639D2"/>
    <w:rsid w:val="0046475E"/>
    <w:rsid w:val="00464D51"/>
    <w:rsid w:val="0046570A"/>
    <w:rsid w:val="004706C4"/>
    <w:rsid w:val="004708FD"/>
    <w:rsid w:val="00471125"/>
    <w:rsid w:val="00471651"/>
    <w:rsid w:val="00472027"/>
    <w:rsid w:val="00472203"/>
    <w:rsid w:val="0047320D"/>
    <w:rsid w:val="0047359C"/>
    <w:rsid w:val="004739BE"/>
    <w:rsid w:val="004764A0"/>
    <w:rsid w:val="00477133"/>
    <w:rsid w:val="00477247"/>
    <w:rsid w:val="00477F15"/>
    <w:rsid w:val="00477FA2"/>
    <w:rsid w:val="004804CF"/>
    <w:rsid w:val="00481817"/>
    <w:rsid w:val="004821F8"/>
    <w:rsid w:val="004825BC"/>
    <w:rsid w:val="0048308D"/>
    <w:rsid w:val="00483314"/>
    <w:rsid w:val="00483624"/>
    <w:rsid w:val="004845BC"/>
    <w:rsid w:val="00484962"/>
    <w:rsid w:val="00484F6D"/>
    <w:rsid w:val="00484FB7"/>
    <w:rsid w:val="0048554D"/>
    <w:rsid w:val="00486A8C"/>
    <w:rsid w:val="00486A8F"/>
    <w:rsid w:val="004874CC"/>
    <w:rsid w:val="00490830"/>
    <w:rsid w:val="00491075"/>
    <w:rsid w:val="00491E3D"/>
    <w:rsid w:val="004926E8"/>
    <w:rsid w:val="004927AF"/>
    <w:rsid w:val="00492C4A"/>
    <w:rsid w:val="0049338A"/>
    <w:rsid w:val="004934AC"/>
    <w:rsid w:val="0049417F"/>
    <w:rsid w:val="00494849"/>
    <w:rsid w:val="00494C9B"/>
    <w:rsid w:val="00496067"/>
    <w:rsid w:val="004964C8"/>
    <w:rsid w:val="004968CC"/>
    <w:rsid w:val="00496D41"/>
    <w:rsid w:val="00497E61"/>
    <w:rsid w:val="004A18E8"/>
    <w:rsid w:val="004A295F"/>
    <w:rsid w:val="004A37FF"/>
    <w:rsid w:val="004A466D"/>
    <w:rsid w:val="004A58E9"/>
    <w:rsid w:val="004A5EEE"/>
    <w:rsid w:val="004A6602"/>
    <w:rsid w:val="004A6FB4"/>
    <w:rsid w:val="004A783B"/>
    <w:rsid w:val="004A7881"/>
    <w:rsid w:val="004B01F5"/>
    <w:rsid w:val="004B0294"/>
    <w:rsid w:val="004B15A8"/>
    <w:rsid w:val="004B1715"/>
    <w:rsid w:val="004B1F31"/>
    <w:rsid w:val="004B2B91"/>
    <w:rsid w:val="004B2E65"/>
    <w:rsid w:val="004B329C"/>
    <w:rsid w:val="004B3EFA"/>
    <w:rsid w:val="004B5500"/>
    <w:rsid w:val="004B6317"/>
    <w:rsid w:val="004B7A93"/>
    <w:rsid w:val="004B7B7B"/>
    <w:rsid w:val="004C0070"/>
    <w:rsid w:val="004C0B1B"/>
    <w:rsid w:val="004C1495"/>
    <w:rsid w:val="004C181B"/>
    <w:rsid w:val="004C1E4E"/>
    <w:rsid w:val="004C208F"/>
    <w:rsid w:val="004C2501"/>
    <w:rsid w:val="004C2A87"/>
    <w:rsid w:val="004C2D65"/>
    <w:rsid w:val="004C3E19"/>
    <w:rsid w:val="004C3E5A"/>
    <w:rsid w:val="004C481C"/>
    <w:rsid w:val="004C4D7B"/>
    <w:rsid w:val="004C4ED3"/>
    <w:rsid w:val="004C5E38"/>
    <w:rsid w:val="004C5EAB"/>
    <w:rsid w:val="004C667B"/>
    <w:rsid w:val="004C6924"/>
    <w:rsid w:val="004C6C31"/>
    <w:rsid w:val="004C70E1"/>
    <w:rsid w:val="004C75E5"/>
    <w:rsid w:val="004C7ECD"/>
    <w:rsid w:val="004D061D"/>
    <w:rsid w:val="004D0678"/>
    <w:rsid w:val="004D0B5F"/>
    <w:rsid w:val="004D23F8"/>
    <w:rsid w:val="004D2483"/>
    <w:rsid w:val="004D2EA5"/>
    <w:rsid w:val="004D2F8A"/>
    <w:rsid w:val="004D32A6"/>
    <w:rsid w:val="004D37E2"/>
    <w:rsid w:val="004D3C74"/>
    <w:rsid w:val="004D3E11"/>
    <w:rsid w:val="004D53E5"/>
    <w:rsid w:val="004D5E48"/>
    <w:rsid w:val="004D5F4E"/>
    <w:rsid w:val="004D6BFF"/>
    <w:rsid w:val="004D7950"/>
    <w:rsid w:val="004E0A7A"/>
    <w:rsid w:val="004E1472"/>
    <w:rsid w:val="004E19C9"/>
    <w:rsid w:val="004E1E50"/>
    <w:rsid w:val="004E1FCC"/>
    <w:rsid w:val="004E20C0"/>
    <w:rsid w:val="004E23A7"/>
    <w:rsid w:val="004E2C80"/>
    <w:rsid w:val="004E3157"/>
    <w:rsid w:val="004E37E5"/>
    <w:rsid w:val="004E3F7F"/>
    <w:rsid w:val="004E4A2A"/>
    <w:rsid w:val="004E5236"/>
    <w:rsid w:val="004E5DDB"/>
    <w:rsid w:val="004E6492"/>
    <w:rsid w:val="004E6DC4"/>
    <w:rsid w:val="004E7C54"/>
    <w:rsid w:val="004F0089"/>
    <w:rsid w:val="004F0499"/>
    <w:rsid w:val="004F0C90"/>
    <w:rsid w:val="004F0F9E"/>
    <w:rsid w:val="004F0FE6"/>
    <w:rsid w:val="004F1204"/>
    <w:rsid w:val="004F15D4"/>
    <w:rsid w:val="004F21C1"/>
    <w:rsid w:val="004F285F"/>
    <w:rsid w:val="004F3302"/>
    <w:rsid w:val="004F65F7"/>
    <w:rsid w:val="004F6E08"/>
    <w:rsid w:val="0050047A"/>
    <w:rsid w:val="00500A49"/>
    <w:rsid w:val="00500B9F"/>
    <w:rsid w:val="00501A12"/>
    <w:rsid w:val="00502912"/>
    <w:rsid w:val="00502A6C"/>
    <w:rsid w:val="00502DDE"/>
    <w:rsid w:val="0050309C"/>
    <w:rsid w:val="00503D2C"/>
    <w:rsid w:val="005043D9"/>
    <w:rsid w:val="0050449F"/>
    <w:rsid w:val="00504E84"/>
    <w:rsid w:val="0050677A"/>
    <w:rsid w:val="00506AAD"/>
    <w:rsid w:val="00507D7E"/>
    <w:rsid w:val="00510A2C"/>
    <w:rsid w:val="00511075"/>
    <w:rsid w:val="005114BA"/>
    <w:rsid w:val="005121F3"/>
    <w:rsid w:val="00512AE2"/>
    <w:rsid w:val="00512BEA"/>
    <w:rsid w:val="00512CED"/>
    <w:rsid w:val="0051327C"/>
    <w:rsid w:val="0051346D"/>
    <w:rsid w:val="00513EAE"/>
    <w:rsid w:val="0051434F"/>
    <w:rsid w:val="00514F5E"/>
    <w:rsid w:val="00516806"/>
    <w:rsid w:val="00517232"/>
    <w:rsid w:val="0052098C"/>
    <w:rsid w:val="00520CF6"/>
    <w:rsid w:val="005231D1"/>
    <w:rsid w:val="00523213"/>
    <w:rsid w:val="0052354B"/>
    <w:rsid w:val="005235A2"/>
    <w:rsid w:val="00525A49"/>
    <w:rsid w:val="005262D1"/>
    <w:rsid w:val="005265E6"/>
    <w:rsid w:val="00526A79"/>
    <w:rsid w:val="00527348"/>
    <w:rsid w:val="0052745B"/>
    <w:rsid w:val="00527DF8"/>
    <w:rsid w:val="00527ECD"/>
    <w:rsid w:val="00530876"/>
    <w:rsid w:val="00530F22"/>
    <w:rsid w:val="00532099"/>
    <w:rsid w:val="00532384"/>
    <w:rsid w:val="005326DA"/>
    <w:rsid w:val="00532766"/>
    <w:rsid w:val="005336B8"/>
    <w:rsid w:val="00533CF8"/>
    <w:rsid w:val="00534DAB"/>
    <w:rsid w:val="00535613"/>
    <w:rsid w:val="005359EB"/>
    <w:rsid w:val="00535C57"/>
    <w:rsid w:val="00537E57"/>
    <w:rsid w:val="0054098B"/>
    <w:rsid w:val="00541709"/>
    <w:rsid w:val="0054254A"/>
    <w:rsid w:val="00542934"/>
    <w:rsid w:val="005429A5"/>
    <w:rsid w:val="00544477"/>
    <w:rsid w:val="00544EB5"/>
    <w:rsid w:val="0054500B"/>
    <w:rsid w:val="005461C5"/>
    <w:rsid w:val="005466B5"/>
    <w:rsid w:val="005466C7"/>
    <w:rsid w:val="005472E3"/>
    <w:rsid w:val="0055096F"/>
    <w:rsid w:val="00551609"/>
    <w:rsid w:val="00551738"/>
    <w:rsid w:val="005531C0"/>
    <w:rsid w:val="00553B17"/>
    <w:rsid w:val="00553EB7"/>
    <w:rsid w:val="00554030"/>
    <w:rsid w:val="00554314"/>
    <w:rsid w:val="00554F79"/>
    <w:rsid w:val="00555B3F"/>
    <w:rsid w:val="00555D88"/>
    <w:rsid w:val="0055642E"/>
    <w:rsid w:val="005568A9"/>
    <w:rsid w:val="00556DFC"/>
    <w:rsid w:val="00557504"/>
    <w:rsid w:val="0056035B"/>
    <w:rsid w:val="00561B26"/>
    <w:rsid w:val="00561B33"/>
    <w:rsid w:val="00561BAB"/>
    <w:rsid w:val="00562829"/>
    <w:rsid w:val="005629B3"/>
    <w:rsid w:val="0056319F"/>
    <w:rsid w:val="00564F79"/>
    <w:rsid w:val="0056567C"/>
    <w:rsid w:val="005659D5"/>
    <w:rsid w:val="005662F4"/>
    <w:rsid w:val="00566650"/>
    <w:rsid w:val="005668B3"/>
    <w:rsid w:val="00567FAC"/>
    <w:rsid w:val="005703CD"/>
    <w:rsid w:val="00570527"/>
    <w:rsid w:val="005706EA"/>
    <w:rsid w:val="00570731"/>
    <w:rsid w:val="0057128A"/>
    <w:rsid w:val="005724F6"/>
    <w:rsid w:val="0057259D"/>
    <w:rsid w:val="00573AC4"/>
    <w:rsid w:val="00573C03"/>
    <w:rsid w:val="005746A5"/>
    <w:rsid w:val="0057494B"/>
    <w:rsid w:val="00574AD9"/>
    <w:rsid w:val="00576814"/>
    <w:rsid w:val="005801FC"/>
    <w:rsid w:val="00580658"/>
    <w:rsid w:val="00580F9D"/>
    <w:rsid w:val="00582930"/>
    <w:rsid w:val="00582A3D"/>
    <w:rsid w:val="00583CB4"/>
    <w:rsid w:val="00584DE6"/>
    <w:rsid w:val="00584FC7"/>
    <w:rsid w:val="00585B51"/>
    <w:rsid w:val="00585BA9"/>
    <w:rsid w:val="00586680"/>
    <w:rsid w:val="005868CA"/>
    <w:rsid w:val="00586F47"/>
    <w:rsid w:val="00587359"/>
    <w:rsid w:val="005922A4"/>
    <w:rsid w:val="005929F2"/>
    <w:rsid w:val="00593832"/>
    <w:rsid w:val="00595016"/>
    <w:rsid w:val="00595376"/>
    <w:rsid w:val="005970CD"/>
    <w:rsid w:val="00597AAE"/>
    <w:rsid w:val="005A09F2"/>
    <w:rsid w:val="005A1768"/>
    <w:rsid w:val="005A17C5"/>
    <w:rsid w:val="005A222C"/>
    <w:rsid w:val="005A227F"/>
    <w:rsid w:val="005A2A2B"/>
    <w:rsid w:val="005A2E60"/>
    <w:rsid w:val="005A34DD"/>
    <w:rsid w:val="005A3ED0"/>
    <w:rsid w:val="005A4DF8"/>
    <w:rsid w:val="005A574B"/>
    <w:rsid w:val="005A5830"/>
    <w:rsid w:val="005A5B6F"/>
    <w:rsid w:val="005A623E"/>
    <w:rsid w:val="005A634E"/>
    <w:rsid w:val="005A7873"/>
    <w:rsid w:val="005A78C8"/>
    <w:rsid w:val="005B12FA"/>
    <w:rsid w:val="005B1426"/>
    <w:rsid w:val="005B155E"/>
    <w:rsid w:val="005B43BB"/>
    <w:rsid w:val="005B48A8"/>
    <w:rsid w:val="005B52A2"/>
    <w:rsid w:val="005B5577"/>
    <w:rsid w:val="005B5F0E"/>
    <w:rsid w:val="005B6A6B"/>
    <w:rsid w:val="005B6CED"/>
    <w:rsid w:val="005B6F0D"/>
    <w:rsid w:val="005B7400"/>
    <w:rsid w:val="005C069D"/>
    <w:rsid w:val="005C09E8"/>
    <w:rsid w:val="005C0A8E"/>
    <w:rsid w:val="005C1735"/>
    <w:rsid w:val="005C1767"/>
    <w:rsid w:val="005C17AA"/>
    <w:rsid w:val="005C185C"/>
    <w:rsid w:val="005C1F95"/>
    <w:rsid w:val="005C42EF"/>
    <w:rsid w:val="005C45AF"/>
    <w:rsid w:val="005C4BD4"/>
    <w:rsid w:val="005C4D0F"/>
    <w:rsid w:val="005C5027"/>
    <w:rsid w:val="005C64A9"/>
    <w:rsid w:val="005C6C7B"/>
    <w:rsid w:val="005C6EC4"/>
    <w:rsid w:val="005C709F"/>
    <w:rsid w:val="005D1980"/>
    <w:rsid w:val="005D1C92"/>
    <w:rsid w:val="005D32D9"/>
    <w:rsid w:val="005D406C"/>
    <w:rsid w:val="005D5237"/>
    <w:rsid w:val="005D5AB5"/>
    <w:rsid w:val="005D5D1F"/>
    <w:rsid w:val="005D6F14"/>
    <w:rsid w:val="005D73C0"/>
    <w:rsid w:val="005D74EA"/>
    <w:rsid w:val="005E000D"/>
    <w:rsid w:val="005E02F5"/>
    <w:rsid w:val="005E0510"/>
    <w:rsid w:val="005E0521"/>
    <w:rsid w:val="005E0E92"/>
    <w:rsid w:val="005E11D8"/>
    <w:rsid w:val="005E1531"/>
    <w:rsid w:val="005E176E"/>
    <w:rsid w:val="005E1CD0"/>
    <w:rsid w:val="005E218E"/>
    <w:rsid w:val="005E35A0"/>
    <w:rsid w:val="005E37D7"/>
    <w:rsid w:val="005E3C6F"/>
    <w:rsid w:val="005E423B"/>
    <w:rsid w:val="005E4918"/>
    <w:rsid w:val="005E538D"/>
    <w:rsid w:val="005E53E2"/>
    <w:rsid w:val="005E62AF"/>
    <w:rsid w:val="005E74C5"/>
    <w:rsid w:val="005E76E3"/>
    <w:rsid w:val="005E7B72"/>
    <w:rsid w:val="005E7C1D"/>
    <w:rsid w:val="005F0A6B"/>
    <w:rsid w:val="005F0D1B"/>
    <w:rsid w:val="005F10AC"/>
    <w:rsid w:val="005F11D1"/>
    <w:rsid w:val="005F1865"/>
    <w:rsid w:val="005F2AA0"/>
    <w:rsid w:val="005F3424"/>
    <w:rsid w:val="005F4507"/>
    <w:rsid w:val="005F4F2A"/>
    <w:rsid w:val="005F5F7B"/>
    <w:rsid w:val="005F65E1"/>
    <w:rsid w:val="005F7BB4"/>
    <w:rsid w:val="006007BD"/>
    <w:rsid w:val="006013C8"/>
    <w:rsid w:val="006024E2"/>
    <w:rsid w:val="0060270D"/>
    <w:rsid w:val="00602BD8"/>
    <w:rsid w:val="00604051"/>
    <w:rsid w:val="00604342"/>
    <w:rsid w:val="00604611"/>
    <w:rsid w:val="0060607D"/>
    <w:rsid w:val="00606BE4"/>
    <w:rsid w:val="00610D07"/>
    <w:rsid w:val="00611586"/>
    <w:rsid w:val="00612BF9"/>
    <w:rsid w:val="00612D26"/>
    <w:rsid w:val="00613848"/>
    <w:rsid w:val="00613DE6"/>
    <w:rsid w:val="0061408F"/>
    <w:rsid w:val="00615111"/>
    <w:rsid w:val="00615205"/>
    <w:rsid w:val="00615855"/>
    <w:rsid w:val="006160C5"/>
    <w:rsid w:val="006160DB"/>
    <w:rsid w:val="0061735D"/>
    <w:rsid w:val="0062043F"/>
    <w:rsid w:val="0062066C"/>
    <w:rsid w:val="00620DA8"/>
    <w:rsid w:val="00621887"/>
    <w:rsid w:val="00622B48"/>
    <w:rsid w:val="00622D84"/>
    <w:rsid w:val="00624520"/>
    <w:rsid w:val="006271F5"/>
    <w:rsid w:val="006273C4"/>
    <w:rsid w:val="0062754A"/>
    <w:rsid w:val="006301CD"/>
    <w:rsid w:val="00630EDB"/>
    <w:rsid w:val="00631807"/>
    <w:rsid w:val="00631C4F"/>
    <w:rsid w:val="00632300"/>
    <w:rsid w:val="006325A2"/>
    <w:rsid w:val="0063270E"/>
    <w:rsid w:val="00632BB7"/>
    <w:rsid w:val="00633738"/>
    <w:rsid w:val="00633954"/>
    <w:rsid w:val="00634048"/>
    <w:rsid w:val="006344E1"/>
    <w:rsid w:val="00634CAD"/>
    <w:rsid w:val="00634DA2"/>
    <w:rsid w:val="006354C6"/>
    <w:rsid w:val="00635B36"/>
    <w:rsid w:val="00636871"/>
    <w:rsid w:val="00636B0A"/>
    <w:rsid w:val="00636B8B"/>
    <w:rsid w:val="00636F03"/>
    <w:rsid w:val="0063754B"/>
    <w:rsid w:val="006375BB"/>
    <w:rsid w:val="00640EE1"/>
    <w:rsid w:val="00640F4E"/>
    <w:rsid w:val="006415E3"/>
    <w:rsid w:val="00642149"/>
    <w:rsid w:val="006425AE"/>
    <w:rsid w:val="006425F0"/>
    <w:rsid w:val="006427BB"/>
    <w:rsid w:val="00642F4B"/>
    <w:rsid w:val="006439A8"/>
    <w:rsid w:val="00643DE0"/>
    <w:rsid w:val="00643E46"/>
    <w:rsid w:val="006442A7"/>
    <w:rsid w:val="0064437D"/>
    <w:rsid w:val="00644E85"/>
    <w:rsid w:val="00644F24"/>
    <w:rsid w:val="006450AD"/>
    <w:rsid w:val="00645452"/>
    <w:rsid w:val="00645C61"/>
    <w:rsid w:val="0064682E"/>
    <w:rsid w:val="00646988"/>
    <w:rsid w:val="0065045C"/>
    <w:rsid w:val="006516D8"/>
    <w:rsid w:val="00651E64"/>
    <w:rsid w:val="0065284F"/>
    <w:rsid w:val="00652999"/>
    <w:rsid w:val="00652C52"/>
    <w:rsid w:val="00654039"/>
    <w:rsid w:val="0065455B"/>
    <w:rsid w:val="006549F3"/>
    <w:rsid w:val="00654C4F"/>
    <w:rsid w:val="00655B14"/>
    <w:rsid w:val="006567C1"/>
    <w:rsid w:val="006567CB"/>
    <w:rsid w:val="006570D3"/>
    <w:rsid w:val="006572F0"/>
    <w:rsid w:val="0066063F"/>
    <w:rsid w:val="00660D13"/>
    <w:rsid w:val="00660E29"/>
    <w:rsid w:val="00660F9F"/>
    <w:rsid w:val="00661129"/>
    <w:rsid w:val="00661930"/>
    <w:rsid w:val="00661C5E"/>
    <w:rsid w:val="006624C0"/>
    <w:rsid w:val="00662BB0"/>
    <w:rsid w:val="00663878"/>
    <w:rsid w:val="00663F3A"/>
    <w:rsid w:val="006654FF"/>
    <w:rsid w:val="00667265"/>
    <w:rsid w:val="00667773"/>
    <w:rsid w:val="00667812"/>
    <w:rsid w:val="00667C24"/>
    <w:rsid w:val="00670743"/>
    <w:rsid w:val="006719C5"/>
    <w:rsid w:val="00672046"/>
    <w:rsid w:val="006723FB"/>
    <w:rsid w:val="006724D4"/>
    <w:rsid w:val="0067305F"/>
    <w:rsid w:val="006730F9"/>
    <w:rsid w:val="006759A6"/>
    <w:rsid w:val="00675C5E"/>
    <w:rsid w:val="006769D8"/>
    <w:rsid w:val="00676D60"/>
    <w:rsid w:val="006770A5"/>
    <w:rsid w:val="00680A85"/>
    <w:rsid w:val="00681ADF"/>
    <w:rsid w:val="006820C1"/>
    <w:rsid w:val="00682BCE"/>
    <w:rsid w:val="00682EEE"/>
    <w:rsid w:val="00683522"/>
    <w:rsid w:val="00684729"/>
    <w:rsid w:val="00685B05"/>
    <w:rsid w:val="00686172"/>
    <w:rsid w:val="00686A63"/>
    <w:rsid w:val="00690959"/>
    <w:rsid w:val="00690E40"/>
    <w:rsid w:val="00690E58"/>
    <w:rsid w:val="00690EE2"/>
    <w:rsid w:val="00691A1A"/>
    <w:rsid w:val="006922CA"/>
    <w:rsid w:val="00693107"/>
    <w:rsid w:val="00693854"/>
    <w:rsid w:val="006942DF"/>
    <w:rsid w:val="00694A98"/>
    <w:rsid w:val="00694BEB"/>
    <w:rsid w:val="00694DC1"/>
    <w:rsid w:val="00695000"/>
    <w:rsid w:val="006A0E20"/>
    <w:rsid w:val="006A24E3"/>
    <w:rsid w:val="006A2AC5"/>
    <w:rsid w:val="006A33AB"/>
    <w:rsid w:val="006A359A"/>
    <w:rsid w:val="006A37FF"/>
    <w:rsid w:val="006A3F43"/>
    <w:rsid w:val="006A417D"/>
    <w:rsid w:val="006A4496"/>
    <w:rsid w:val="006A4E34"/>
    <w:rsid w:val="006A5687"/>
    <w:rsid w:val="006A5695"/>
    <w:rsid w:val="006A62B4"/>
    <w:rsid w:val="006A71C6"/>
    <w:rsid w:val="006A7EEF"/>
    <w:rsid w:val="006B02F2"/>
    <w:rsid w:val="006B0439"/>
    <w:rsid w:val="006B07C8"/>
    <w:rsid w:val="006B0BDC"/>
    <w:rsid w:val="006B1B7C"/>
    <w:rsid w:val="006B25B5"/>
    <w:rsid w:val="006B2F58"/>
    <w:rsid w:val="006B3904"/>
    <w:rsid w:val="006B3FD8"/>
    <w:rsid w:val="006B4AD0"/>
    <w:rsid w:val="006B5934"/>
    <w:rsid w:val="006B5B7D"/>
    <w:rsid w:val="006B640D"/>
    <w:rsid w:val="006B7208"/>
    <w:rsid w:val="006B7419"/>
    <w:rsid w:val="006B785A"/>
    <w:rsid w:val="006C34E4"/>
    <w:rsid w:val="006C3C92"/>
    <w:rsid w:val="006C3D74"/>
    <w:rsid w:val="006C4877"/>
    <w:rsid w:val="006C49AF"/>
    <w:rsid w:val="006C5B46"/>
    <w:rsid w:val="006C61F2"/>
    <w:rsid w:val="006C6676"/>
    <w:rsid w:val="006C6E39"/>
    <w:rsid w:val="006C7BB3"/>
    <w:rsid w:val="006D09BE"/>
    <w:rsid w:val="006D0ECF"/>
    <w:rsid w:val="006D1788"/>
    <w:rsid w:val="006D1D27"/>
    <w:rsid w:val="006D29B3"/>
    <w:rsid w:val="006D2E60"/>
    <w:rsid w:val="006D3D5B"/>
    <w:rsid w:val="006D4C92"/>
    <w:rsid w:val="006D4EB6"/>
    <w:rsid w:val="006D6321"/>
    <w:rsid w:val="006D6477"/>
    <w:rsid w:val="006D6627"/>
    <w:rsid w:val="006D66C3"/>
    <w:rsid w:val="006D68FC"/>
    <w:rsid w:val="006D6D7A"/>
    <w:rsid w:val="006D7AE9"/>
    <w:rsid w:val="006D7FBC"/>
    <w:rsid w:val="006E06E0"/>
    <w:rsid w:val="006E076B"/>
    <w:rsid w:val="006E0C28"/>
    <w:rsid w:val="006E1FC4"/>
    <w:rsid w:val="006E2F56"/>
    <w:rsid w:val="006E35BF"/>
    <w:rsid w:val="006E3909"/>
    <w:rsid w:val="006E3DE2"/>
    <w:rsid w:val="006E6096"/>
    <w:rsid w:val="006E6D7C"/>
    <w:rsid w:val="006E70B9"/>
    <w:rsid w:val="006E7850"/>
    <w:rsid w:val="006E7A5B"/>
    <w:rsid w:val="006F0086"/>
    <w:rsid w:val="006F04D0"/>
    <w:rsid w:val="006F087B"/>
    <w:rsid w:val="006F19D8"/>
    <w:rsid w:val="006F1AD2"/>
    <w:rsid w:val="006F33BD"/>
    <w:rsid w:val="006F43C8"/>
    <w:rsid w:val="006F46D6"/>
    <w:rsid w:val="006F4769"/>
    <w:rsid w:val="006F4BBB"/>
    <w:rsid w:val="006F4FA0"/>
    <w:rsid w:val="006F57BB"/>
    <w:rsid w:val="006F57E9"/>
    <w:rsid w:val="006F5AD8"/>
    <w:rsid w:val="006F5E45"/>
    <w:rsid w:val="006F6046"/>
    <w:rsid w:val="006F6E79"/>
    <w:rsid w:val="006F72CF"/>
    <w:rsid w:val="006F7796"/>
    <w:rsid w:val="006F7AB8"/>
    <w:rsid w:val="006F7E02"/>
    <w:rsid w:val="007008B0"/>
    <w:rsid w:val="00702754"/>
    <w:rsid w:val="007028D9"/>
    <w:rsid w:val="007032C4"/>
    <w:rsid w:val="007034BD"/>
    <w:rsid w:val="0070397F"/>
    <w:rsid w:val="00704307"/>
    <w:rsid w:val="007054DB"/>
    <w:rsid w:val="007056FE"/>
    <w:rsid w:val="00705B69"/>
    <w:rsid w:val="0070669C"/>
    <w:rsid w:val="00706B5D"/>
    <w:rsid w:val="00707218"/>
    <w:rsid w:val="00710554"/>
    <w:rsid w:val="0071093E"/>
    <w:rsid w:val="00710D04"/>
    <w:rsid w:val="00711AC7"/>
    <w:rsid w:val="00712472"/>
    <w:rsid w:val="00712B1D"/>
    <w:rsid w:val="00712F10"/>
    <w:rsid w:val="0071322B"/>
    <w:rsid w:val="00713D42"/>
    <w:rsid w:val="00713E53"/>
    <w:rsid w:val="0071432B"/>
    <w:rsid w:val="0071475B"/>
    <w:rsid w:val="00714845"/>
    <w:rsid w:val="00714CBB"/>
    <w:rsid w:val="00715751"/>
    <w:rsid w:val="00716C01"/>
    <w:rsid w:val="007171BA"/>
    <w:rsid w:val="00717616"/>
    <w:rsid w:val="007179C3"/>
    <w:rsid w:val="0072092D"/>
    <w:rsid w:val="007214EC"/>
    <w:rsid w:val="0072157B"/>
    <w:rsid w:val="007220FB"/>
    <w:rsid w:val="00725C15"/>
    <w:rsid w:val="00726522"/>
    <w:rsid w:val="007279A9"/>
    <w:rsid w:val="00727ABB"/>
    <w:rsid w:val="00730397"/>
    <w:rsid w:val="007325D9"/>
    <w:rsid w:val="00732726"/>
    <w:rsid w:val="00732D1A"/>
    <w:rsid w:val="0073413F"/>
    <w:rsid w:val="00734BB1"/>
    <w:rsid w:val="0073583B"/>
    <w:rsid w:val="007360CA"/>
    <w:rsid w:val="00743513"/>
    <w:rsid w:val="00743DE4"/>
    <w:rsid w:val="0074413B"/>
    <w:rsid w:val="0074435E"/>
    <w:rsid w:val="00744403"/>
    <w:rsid w:val="007447FA"/>
    <w:rsid w:val="00746327"/>
    <w:rsid w:val="0074667B"/>
    <w:rsid w:val="00746BA5"/>
    <w:rsid w:val="007470BD"/>
    <w:rsid w:val="007470F4"/>
    <w:rsid w:val="00750C9D"/>
    <w:rsid w:val="00751CC6"/>
    <w:rsid w:val="0075263B"/>
    <w:rsid w:val="00756A17"/>
    <w:rsid w:val="007602D4"/>
    <w:rsid w:val="00760EC0"/>
    <w:rsid w:val="00761031"/>
    <w:rsid w:val="007628D7"/>
    <w:rsid w:val="00762E6F"/>
    <w:rsid w:val="00763EB7"/>
    <w:rsid w:val="00764782"/>
    <w:rsid w:val="00765B6B"/>
    <w:rsid w:val="00766BD9"/>
    <w:rsid w:val="00766E2E"/>
    <w:rsid w:val="0077094E"/>
    <w:rsid w:val="00770E02"/>
    <w:rsid w:val="00770E3E"/>
    <w:rsid w:val="007711BD"/>
    <w:rsid w:val="00771238"/>
    <w:rsid w:val="00771578"/>
    <w:rsid w:val="00771ACA"/>
    <w:rsid w:val="007720D1"/>
    <w:rsid w:val="007728F0"/>
    <w:rsid w:val="00773B1C"/>
    <w:rsid w:val="007740FF"/>
    <w:rsid w:val="007741CE"/>
    <w:rsid w:val="00774E26"/>
    <w:rsid w:val="0077521C"/>
    <w:rsid w:val="0077563A"/>
    <w:rsid w:val="00775981"/>
    <w:rsid w:val="00777D23"/>
    <w:rsid w:val="0078003A"/>
    <w:rsid w:val="0078033A"/>
    <w:rsid w:val="00780771"/>
    <w:rsid w:val="007808FF"/>
    <w:rsid w:val="00782194"/>
    <w:rsid w:val="007825DB"/>
    <w:rsid w:val="007845F9"/>
    <w:rsid w:val="0078475B"/>
    <w:rsid w:val="007871CB"/>
    <w:rsid w:val="00790B5C"/>
    <w:rsid w:val="00790D12"/>
    <w:rsid w:val="007929CF"/>
    <w:rsid w:val="00792C67"/>
    <w:rsid w:val="00793CB9"/>
    <w:rsid w:val="00794CDF"/>
    <w:rsid w:val="00795E11"/>
    <w:rsid w:val="007961C1"/>
    <w:rsid w:val="00796F6A"/>
    <w:rsid w:val="00797BA8"/>
    <w:rsid w:val="00797E01"/>
    <w:rsid w:val="007A081D"/>
    <w:rsid w:val="007A0861"/>
    <w:rsid w:val="007A23C0"/>
    <w:rsid w:val="007A2556"/>
    <w:rsid w:val="007A2A34"/>
    <w:rsid w:val="007A3BFE"/>
    <w:rsid w:val="007A3E90"/>
    <w:rsid w:val="007A4616"/>
    <w:rsid w:val="007A49E7"/>
    <w:rsid w:val="007A61E3"/>
    <w:rsid w:val="007A6255"/>
    <w:rsid w:val="007A688D"/>
    <w:rsid w:val="007A69DA"/>
    <w:rsid w:val="007A6F28"/>
    <w:rsid w:val="007A72B0"/>
    <w:rsid w:val="007A7B57"/>
    <w:rsid w:val="007B03C6"/>
    <w:rsid w:val="007B0DB1"/>
    <w:rsid w:val="007B2004"/>
    <w:rsid w:val="007B214F"/>
    <w:rsid w:val="007B25DC"/>
    <w:rsid w:val="007B2F5C"/>
    <w:rsid w:val="007B3A89"/>
    <w:rsid w:val="007B42AC"/>
    <w:rsid w:val="007B5673"/>
    <w:rsid w:val="007B5C4A"/>
    <w:rsid w:val="007B5DDA"/>
    <w:rsid w:val="007B6CF9"/>
    <w:rsid w:val="007B7238"/>
    <w:rsid w:val="007B76FF"/>
    <w:rsid w:val="007B7BF9"/>
    <w:rsid w:val="007B7C5E"/>
    <w:rsid w:val="007C1517"/>
    <w:rsid w:val="007C2630"/>
    <w:rsid w:val="007C266C"/>
    <w:rsid w:val="007C2FCD"/>
    <w:rsid w:val="007C3225"/>
    <w:rsid w:val="007C3BF6"/>
    <w:rsid w:val="007C47C0"/>
    <w:rsid w:val="007C4E70"/>
    <w:rsid w:val="007C556A"/>
    <w:rsid w:val="007C57BF"/>
    <w:rsid w:val="007C67B3"/>
    <w:rsid w:val="007C6C36"/>
    <w:rsid w:val="007C7B26"/>
    <w:rsid w:val="007D0FD2"/>
    <w:rsid w:val="007D17DE"/>
    <w:rsid w:val="007D20EC"/>
    <w:rsid w:val="007D2204"/>
    <w:rsid w:val="007D2379"/>
    <w:rsid w:val="007D2EF8"/>
    <w:rsid w:val="007D3040"/>
    <w:rsid w:val="007D3137"/>
    <w:rsid w:val="007D331F"/>
    <w:rsid w:val="007D38E9"/>
    <w:rsid w:val="007D3A55"/>
    <w:rsid w:val="007D3E08"/>
    <w:rsid w:val="007D46DB"/>
    <w:rsid w:val="007D561F"/>
    <w:rsid w:val="007D71D3"/>
    <w:rsid w:val="007D743D"/>
    <w:rsid w:val="007D7F86"/>
    <w:rsid w:val="007D7FD2"/>
    <w:rsid w:val="007E01D2"/>
    <w:rsid w:val="007E0FE5"/>
    <w:rsid w:val="007E13D9"/>
    <w:rsid w:val="007E14B2"/>
    <w:rsid w:val="007E2AEC"/>
    <w:rsid w:val="007E36CE"/>
    <w:rsid w:val="007E41BE"/>
    <w:rsid w:val="007E462C"/>
    <w:rsid w:val="007E469F"/>
    <w:rsid w:val="007E46A7"/>
    <w:rsid w:val="007E4DB6"/>
    <w:rsid w:val="007E52C3"/>
    <w:rsid w:val="007E5579"/>
    <w:rsid w:val="007E6733"/>
    <w:rsid w:val="007E6CCD"/>
    <w:rsid w:val="007E7CD4"/>
    <w:rsid w:val="007F038B"/>
    <w:rsid w:val="007F058D"/>
    <w:rsid w:val="007F12AC"/>
    <w:rsid w:val="007F1B6F"/>
    <w:rsid w:val="007F1EB8"/>
    <w:rsid w:val="007F4063"/>
    <w:rsid w:val="007F4501"/>
    <w:rsid w:val="007F60DF"/>
    <w:rsid w:val="007F6E32"/>
    <w:rsid w:val="008008B8"/>
    <w:rsid w:val="00800E87"/>
    <w:rsid w:val="008014F4"/>
    <w:rsid w:val="00801800"/>
    <w:rsid w:val="00801861"/>
    <w:rsid w:val="0080193C"/>
    <w:rsid w:val="00801B5B"/>
    <w:rsid w:val="00801C7D"/>
    <w:rsid w:val="0080298F"/>
    <w:rsid w:val="00803B79"/>
    <w:rsid w:val="00803C1E"/>
    <w:rsid w:val="00805A30"/>
    <w:rsid w:val="008065D2"/>
    <w:rsid w:val="008074C6"/>
    <w:rsid w:val="0081165D"/>
    <w:rsid w:val="00811E1E"/>
    <w:rsid w:val="008127B4"/>
    <w:rsid w:val="008137F3"/>
    <w:rsid w:val="00813D18"/>
    <w:rsid w:val="00814D65"/>
    <w:rsid w:val="00815275"/>
    <w:rsid w:val="00815450"/>
    <w:rsid w:val="00815B42"/>
    <w:rsid w:val="0081618F"/>
    <w:rsid w:val="008166ED"/>
    <w:rsid w:val="00821469"/>
    <w:rsid w:val="008216E7"/>
    <w:rsid w:val="008224D3"/>
    <w:rsid w:val="00822B97"/>
    <w:rsid w:val="0082437A"/>
    <w:rsid w:val="008245C1"/>
    <w:rsid w:val="0082556F"/>
    <w:rsid w:val="00825BE6"/>
    <w:rsid w:val="00826065"/>
    <w:rsid w:val="008270BC"/>
    <w:rsid w:val="008276B4"/>
    <w:rsid w:val="0083048B"/>
    <w:rsid w:val="00830EFE"/>
    <w:rsid w:val="008315D2"/>
    <w:rsid w:val="00831927"/>
    <w:rsid w:val="008320E8"/>
    <w:rsid w:val="00832803"/>
    <w:rsid w:val="008333D4"/>
    <w:rsid w:val="00833E35"/>
    <w:rsid w:val="008359A6"/>
    <w:rsid w:val="0083604D"/>
    <w:rsid w:val="00837288"/>
    <w:rsid w:val="00840E66"/>
    <w:rsid w:val="00841743"/>
    <w:rsid w:val="00841BD3"/>
    <w:rsid w:val="0084273D"/>
    <w:rsid w:val="00842FBD"/>
    <w:rsid w:val="008437D9"/>
    <w:rsid w:val="00844E3F"/>
    <w:rsid w:val="008453B7"/>
    <w:rsid w:val="00845A83"/>
    <w:rsid w:val="00846925"/>
    <w:rsid w:val="00846BB9"/>
    <w:rsid w:val="00846D2A"/>
    <w:rsid w:val="00846ED3"/>
    <w:rsid w:val="0085098A"/>
    <w:rsid w:val="00850BE3"/>
    <w:rsid w:val="00850C59"/>
    <w:rsid w:val="0085199D"/>
    <w:rsid w:val="00852935"/>
    <w:rsid w:val="00852A5B"/>
    <w:rsid w:val="0085305F"/>
    <w:rsid w:val="0085333C"/>
    <w:rsid w:val="00853727"/>
    <w:rsid w:val="00855AFD"/>
    <w:rsid w:val="00855D79"/>
    <w:rsid w:val="008560B4"/>
    <w:rsid w:val="00856265"/>
    <w:rsid w:val="00857233"/>
    <w:rsid w:val="00860CEE"/>
    <w:rsid w:val="008614D0"/>
    <w:rsid w:val="00861F2C"/>
    <w:rsid w:val="008621E5"/>
    <w:rsid w:val="008640FC"/>
    <w:rsid w:val="008649D5"/>
    <w:rsid w:val="00864E0E"/>
    <w:rsid w:val="00865126"/>
    <w:rsid w:val="00865A9A"/>
    <w:rsid w:val="00866121"/>
    <w:rsid w:val="00866C4A"/>
    <w:rsid w:val="008712BB"/>
    <w:rsid w:val="0087171E"/>
    <w:rsid w:val="0087178B"/>
    <w:rsid w:val="00873159"/>
    <w:rsid w:val="008733F0"/>
    <w:rsid w:val="00874432"/>
    <w:rsid w:val="0087530D"/>
    <w:rsid w:val="008779BD"/>
    <w:rsid w:val="00880A85"/>
    <w:rsid w:val="00880E0A"/>
    <w:rsid w:val="00881977"/>
    <w:rsid w:val="0088215C"/>
    <w:rsid w:val="00882D5F"/>
    <w:rsid w:val="008830E7"/>
    <w:rsid w:val="008843AD"/>
    <w:rsid w:val="0088489F"/>
    <w:rsid w:val="0088583D"/>
    <w:rsid w:val="008866C1"/>
    <w:rsid w:val="00886B57"/>
    <w:rsid w:val="0088701B"/>
    <w:rsid w:val="00890EDE"/>
    <w:rsid w:val="00891580"/>
    <w:rsid w:val="00891B25"/>
    <w:rsid w:val="00892B38"/>
    <w:rsid w:val="00894134"/>
    <w:rsid w:val="00894610"/>
    <w:rsid w:val="00894CDF"/>
    <w:rsid w:val="00895282"/>
    <w:rsid w:val="008953F6"/>
    <w:rsid w:val="00895BC9"/>
    <w:rsid w:val="00896615"/>
    <w:rsid w:val="0089684B"/>
    <w:rsid w:val="00896E64"/>
    <w:rsid w:val="008A0595"/>
    <w:rsid w:val="008A16D7"/>
    <w:rsid w:val="008A1741"/>
    <w:rsid w:val="008A2484"/>
    <w:rsid w:val="008A2A69"/>
    <w:rsid w:val="008A35A7"/>
    <w:rsid w:val="008A483F"/>
    <w:rsid w:val="008A4B38"/>
    <w:rsid w:val="008A52F3"/>
    <w:rsid w:val="008A5568"/>
    <w:rsid w:val="008A598C"/>
    <w:rsid w:val="008A5BE0"/>
    <w:rsid w:val="008A62B9"/>
    <w:rsid w:val="008A77E5"/>
    <w:rsid w:val="008A7AE4"/>
    <w:rsid w:val="008B0826"/>
    <w:rsid w:val="008B1684"/>
    <w:rsid w:val="008B2448"/>
    <w:rsid w:val="008B2FEF"/>
    <w:rsid w:val="008B39C6"/>
    <w:rsid w:val="008B53F9"/>
    <w:rsid w:val="008B544D"/>
    <w:rsid w:val="008B7553"/>
    <w:rsid w:val="008B77B8"/>
    <w:rsid w:val="008C1F71"/>
    <w:rsid w:val="008C26D9"/>
    <w:rsid w:val="008C3A15"/>
    <w:rsid w:val="008C3F9B"/>
    <w:rsid w:val="008C415C"/>
    <w:rsid w:val="008C5389"/>
    <w:rsid w:val="008C55CE"/>
    <w:rsid w:val="008C5CDE"/>
    <w:rsid w:val="008C66D2"/>
    <w:rsid w:val="008C6B76"/>
    <w:rsid w:val="008C6D50"/>
    <w:rsid w:val="008C7167"/>
    <w:rsid w:val="008C7503"/>
    <w:rsid w:val="008C7A1F"/>
    <w:rsid w:val="008D0CB9"/>
    <w:rsid w:val="008D1272"/>
    <w:rsid w:val="008D1601"/>
    <w:rsid w:val="008D1617"/>
    <w:rsid w:val="008D2BA5"/>
    <w:rsid w:val="008D330F"/>
    <w:rsid w:val="008D33EF"/>
    <w:rsid w:val="008D35E2"/>
    <w:rsid w:val="008D3C89"/>
    <w:rsid w:val="008D48C1"/>
    <w:rsid w:val="008D48EE"/>
    <w:rsid w:val="008D7FEE"/>
    <w:rsid w:val="008E03F1"/>
    <w:rsid w:val="008E0BFF"/>
    <w:rsid w:val="008E0D9D"/>
    <w:rsid w:val="008E17DD"/>
    <w:rsid w:val="008E1E06"/>
    <w:rsid w:val="008E22E0"/>
    <w:rsid w:val="008E2FF3"/>
    <w:rsid w:val="008E42C9"/>
    <w:rsid w:val="008E6315"/>
    <w:rsid w:val="008E64BE"/>
    <w:rsid w:val="008E6EDF"/>
    <w:rsid w:val="008F0480"/>
    <w:rsid w:val="008F07FC"/>
    <w:rsid w:val="008F093B"/>
    <w:rsid w:val="008F0945"/>
    <w:rsid w:val="008F11E0"/>
    <w:rsid w:val="008F1EF9"/>
    <w:rsid w:val="008F2388"/>
    <w:rsid w:val="008F2D8A"/>
    <w:rsid w:val="008F3E79"/>
    <w:rsid w:val="008F3EA7"/>
    <w:rsid w:val="008F4C59"/>
    <w:rsid w:val="008F4E6A"/>
    <w:rsid w:val="008F4E78"/>
    <w:rsid w:val="008F5D6B"/>
    <w:rsid w:val="008F5DBB"/>
    <w:rsid w:val="008F66E1"/>
    <w:rsid w:val="008F78BC"/>
    <w:rsid w:val="008F7B63"/>
    <w:rsid w:val="008F7D6A"/>
    <w:rsid w:val="00900DE8"/>
    <w:rsid w:val="009016B4"/>
    <w:rsid w:val="00901C86"/>
    <w:rsid w:val="0090232F"/>
    <w:rsid w:val="00902C66"/>
    <w:rsid w:val="009031F4"/>
    <w:rsid w:val="00903323"/>
    <w:rsid w:val="00903603"/>
    <w:rsid w:val="00904437"/>
    <w:rsid w:val="009054CB"/>
    <w:rsid w:val="00905D9A"/>
    <w:rsid w:val="00906ECC"/>
    <w:rsid w:val="00906FF3"/>
    <w:rsid w:val="009107D0"/>
    <w:rsid w:val="00910927"/>
    <w:rsid w:val="00911142"/>
    <w:rsid w:val="009117BF"/>
    <w:rsid w:val="00911F8D"/>
    <w:rsid w:val="009128C9"/>
    <w:rsid w:val="00912C67"/>
    <w:rsid w:val="00912F94"/>
    <w:rsid w:val="0091384E"/>
    <w:rsid w:val="00913D15"/>
    <w:rsid w:val="00914216"/>
    <w:rsid w:val="00916AE0"/>
    <w:rsid w:val="00916CCC"/>
    <w:rsid w:val="00917125"/>
    <w:rsid w:val="009171BC"/>
    <w:rsid w:val="00917417"/>
    <w:rsid w:val="009200DD"/>
    <w:rsid w:val="0092010C"/>
    <w:rsid w:val="009229B8"/>
    <w:rsid w:val="009231BD"/>
    <w:rsid w:val="009236EC"/>
    <w:rsid w:val="00923C2F"/>
    <w:rsid w:val="00924014"/>
    <w:rsid w:val="0092406A"/>
    <w:rsid w:val="00924372"/>
    <w:rsid w:val="0092497E"/>
    <w:rsid w:val="0092590B"/>
    <w:rsid w:val="00925BF3"/>
    <w:rsid w:val="00925E60"/>
    <w:rsid w:val="00925F0A"/>
    <w:rsid w:val="00926215"/>
    <w:rsid w:val="009264B3"/>
    <w:rsid w:val="00931E4C"/>
    <w:rsid w:val="0093243B"/>
    <w:rsid w:val="00932639"/>
    <w:rsid w:val="009326A8"/>
    <w:rsid w:val="00932ABE"/>
    <w:rsid w:val="009330A5"/>
    <w:rsid w:val="00933834"/>
    <w:rsid w:val="00933E84"/>
    <w:rsid w:val="009365E0"/>
    <w:rsid w:val="00937AE1"/>
    <w:rsid w:val="009406A1"/>
    <w:rsid w:val="009412E8"/>
    <w:rsid w:val="00941608"/>
    <w:rsid w:val="00942429"/>
    <w:rsid w:val="009425D3"/>
    <w:rsid w:val="00942BA2"/>
    <w:rsid w:val="009432B7"/>
    <w:rsid w:val="00943E71"/>
    <w:rsid w:val="009440CE"/>
    <w:rsid w:val="00944C86"/>
    <w:rsid w:val="00945886"/>
    <w:rsid w:val="00946117"/>
    <w:rsid w:val="00946693"/>
    <w:rsid w:val="00947C02"/>
    <w:rsid w:val="00950BE6"/>
    <w:rsid w:val="00950E98"/>
    <w:rsid w:val="009517F7"/>
    <w:rsid w:val="00951DA4"/>
    <w:rsid w:val="00953F27"/>
    <w:rsid w:val="0095502B"/>
    <w:rsid w:val="009552F3"/>
    <w:rsid w:val="00955C4C"/>
    <w:rsid w:val="009573B3"/>
    <w:rsid w:val="00957A0C"/>
    <w:rsid w:val="00957DE8"/>
    <w:rsid w:val="00960ECB"/>
    <w:rsid w:val="009612E2"/>
    <w:rsid w:val="00961571"/>
    <w:rsid w:val="009615D6"/>
    <w:rsid w:val="00961E70"/>
    <w:rsid w:val="00962CB8"/>
    <w:rsid w:val="00963BC6"/>
    <w:rsid w:val="00963EC9"/>
    <w:rsid w:val="00964181"/>
    <w:rsid w:val="009659B8"/>
    <w:rsid w:val="00966A28"/>
    <w:rsid w:val="00966B64"/>
    <w:rsid w:val="00966D01"/>
    <w:rsid w:val="00967855"/>
    <w:rsid w:val="00970F8F"/>
    <w:rsid w:val="009716EC"/>
    <w:rsid w:val="00971CD1"/>
    <w:rsid w:val="00971FDA"/>
    <w:rsid w:val="009721D9"/>
    <w:rsid w:val="00972CF9"/>
    <w:rsid w:val="0097326F"/>
    <w:rsid w:val="0097339B"/>
    <w:rsid w:val="00973425"/>
    <w:rsid w:val="00973772"/>
    <w:rsid w:val="00973D60"/>
    <w:rsid w:val="00974709"/>
    <w:rsid w:val="00975267"/>
    <w:rsid w:val="009768E0"/>
    <w:rsid w:val="00977329"/>
    <w:rsid w:val="009801AE"/>
    <w:rsid w:val="009802C0"/>
    <w:rsid w:val="00980736"/>
    <w:rsid w:val="00980C09"/>
    <w:rsid w:val="0098190B"/>
    <w:rsid w:val="00981A39"/>
    <w:rsid w:val="0098202A"/>
    <w:rsid w:val="00982123"/>
    <w:rsid w:val="0098262B"/>
    <w:rsid w:val="00982745"/>
    <w:rsid w:val="00982C0A"/>
    <w:rsid w:val="00982D56"/>
    <w:rsid w:val="00983305"/>
    <w:rsid w:val="009837B0"/>
    <w:rsid w:val="00983DBF"/>
    <w:rsid w:val="009850BC"/>
    <w:rsid w:val="009854FC"/>
    <w:rsid w:val="009867EC"/>
    <w:rsid w:val="009867F2"/>
    <w:rsid w:val="00986BD0"/>
    <w:rsid w:val="00987097"/>
    <w:rsid w:val="00987298"/>
    <w:rsid w:val="00991123"/>
    <w:rsid w:val="009919F7"/>
    <w:rsid w:val="00991CAB"/>
    <w:rsid w:val="00991FB7"/>
    <w:rsid w:val="009949B1"/>
    <w:rsid w:val="009954E1"/>
    <w:rsid w:val="00995840"/>
    <w:rsid w:val="0099756C"/>
    <w:rsid w:val="00997C41"/>
    <w:rsid w:val="009A0E6E"/>
    <w:rsid w:val="009A1493"/>
    <w:rsid w:val="009A1987"/>
    <w:rsid w:val="009A1A99"/>
    <w:rsid w:val="009A1FF2"/>
    <w:rsid w:val="009A30FC"/>
    <w:rsid w:val="009A31D6"/>
    <w:rsid w:val="009A39E7"/>
    <w:rsid w:val="009A3A9C"/>
    <w:rsid w:val="009A3BC9"/>
    <w:rsid w:val="009A4112"/>
    <w:rsid w:val="009A4192"/>
    <w:rsid w:val="009A52EB"/>
    <w:rsid w:val="009A63A2"/>
    <w:rsid w:val="009A63DB"/>
    <w:rsid w:val="009A6AEC"/>
    <w:rsid w:val="009A6F11"/>
    <w:rsid w:val="009B020A"/>
    <w:rsid w:val="009B046C"/>
    <w:rsid w:val="009B13FA"/>
    <w:rsid w:val="009B16B1"/>
    <w:rsid w:val="009B1E2D"/>
    <w:rsid w:val="009B2A1F"/>
    <w:rsid w:val="009B2D0F"/>
    <w:rsid w:val="009B3757"/>
    <w:rsid w:val="009B48E9"/>
    <w:rsid w:val="009B729D"/>
    <w:rsid w:val="009C028A"/>
    <w:rsid w:val="009C069E"/>
    <w:rsid w:val="009C089C"/>
    <w:rsid w:val="009C0940"/>
    <w:rsid w:val="009C2064"/>
    <w:rsid w:val="009C45AA"/>
    <w:rsid w:val="009C4F2C"/>
    <w:rsid w:val="009C59FB"/>
    <w:rsid w:val="009C615A"/>
    <w:rsid w:val="009C6F3B"/>
    <w:rsid w:val="009C7ABC"/>
    <w:rsid w:val="009C7AD4"/>
    <w:rsid w:val="009D11CE"/>
    <w:rsid w:val="009D1467"/>
    <w:rsid w:val="009D1701"/>
    <w:rsid w:val="009D222A"/>
    <w:rsid w:val="009D328D"/>
    <w:rsid w:val="009D3A75"/>
    <w:rsid w:val="009D3EE9"/>
    <w:rsid w:val="009D4B96"/>
    <w:rsid w:val="009D53A0"/>
    <w:rsid w:val="009D54AC"/>
    <w:rsid w:val="009D5524"/>
    <w:rsid w:val="009D55A0"/>
    <w:rsid w:val="009D5688"/>
    <w:rsid w:val="009D6634"/>
    <w:rsid w:val="009D76E2"/>
    <w:rsid w:val="009D7774"/>
    <w:rsid w:val="009E05F2"/>
    <w:rsid w:val="009E094C"/>
    <w:rsid w:val="009E3439"/>
    <w:rsid w:val="009E34DB"/>
    <w:rsid w:val="009E3B4C"/>
    <w:rsid w:val="009E3D7F"/>
    <w:rsid w:val="009E3F3B"/>
    <w:rsid w:val="009E4399"/>
    <w:rsid w:val="009E461F"/>
    <w:rsid w:val="009E477E"/>
    <w:rsid w:val="009E4854"/>
    <w:rsid w:val="009E4FA6"/>
    <w:rsid w:val="009E6A80"/>
    <w:rsid w:val="009E6CE5"/>
    <w:rsid w:val="009E75B5"/>
    <w:rsid w:val="009E766C"/>
    <w:rsid w:val="009E7859"/>
    <w:rsid w:val="009E79C4"/>
    <w:rsid w:val="009E7D93"/>
    <w:rsid w:val="009F1973"/>
    <w:rsid w:val="009F1DF3"/>
    <w:rsid w:val="009F2382"/>
    <w:rsid w:val="009F2A4B"/>
    <w:rsid w:val="009F2ED4"/>
    <w:rsid w:val="009F2FFC"/>
    <w:rsid w:val="009F3C34"/>
    <w:rsid w:val="009F3CB4"/>
    <w:rsid w:val="009F40B1"/>
    <w:rsid w:val="009F462C"/>
    <w:rsid w:val="009F4AF4"/>
    <w:rsid w:val="009F54D5"/>
    <w:rsid w:val="009F5C33"/>
    <w:rsid w:val="009F70BF"/>
    <w:rsid w:val="009F7E24"/>
    <w:rsid w:val="00A00115"/>
    <w:rsid w:val="00A01951"/>
    <w:rsid w:val="00A02356"/>
    <w:rsid w:val="00A026F0"/>
    <w:rsid w:val="00A02EF7"/>
    <w:rsid w:val="00A039D8"/>
    <w:rsid w:val="00A03EAC"/>
    <w:rsid w:val="00A03EEE"/>
    <w:rsid w:val="00A0493B"/>
    <w:rsid w:val="00A04DBB"/>
    <w:rsid w:val="00A04FC6"/>
    <w:rsid w:val="00A0584E"/>
    <w:rsid w:val="00A058B6"/>
    <w:rsid w:val="00A05E10"/>
    <w:rsid w:val="00A05EE7"/>
    <w:rsid w:val="00A05F8B"/>
    <w:rsid w:val="00A068B0"/>
    <w:rsid w:val="00A07199"/>
    <w:rsid w:val="00A07EA0"/>
    <w:rsid w:val="00A10AA0"/>
    <w:rsid w:val="00A11342"/>
    <w:rsid w:val="00A11CA6"/>
    <w:rsid w:val="00A12637"/>
    <w:rsid w:val="00A134CF"/>
    <w:rsid w:val="00A13D2F"/>
    <w:rsid w:val="00A1593C"/>
    <w:rsid w:val="00A161C5"/>
    <w:rsid w:val="00A166DC"/>
    <w:rsid w:val="00A16AE5"/>
    <w:rsid w:val="00A171AF"/>
    <w:rsid w:val="00A1767B"/>
    <w:rsid w:val="00A20168"/>
    <w:rsid w:val="00A203E1"/>
    <w:rsid w:val="00A20C49"/>
    <w:rsid w:val="00A20C9F"/>
    <w:rsid w:val="00A20D84"/>
    <w:rsid w:val="00A21383"/>
    <w:rsid w:val="00A22932"/>
    <w:rsid w:val="00A22D7D"/>
    <w:rsid w:val="00A232F6"/>
    <w:rsid w:val="00A23D1F"/>
    <w:rsid w:val="00A24C6B"/>
    <w:rsid w:val="00A25840"/>
    <w:rsid w:val="00A269CA"/>
    <w:rsid w:val="00A26B38"/>
    <w:rsid w:val="00A2705E"/>
    <w:rsid w:val="00A3058E"/>
    <w:rsid w:val="00A30D0D"/>
    <w:rsid w:val="00A3251A"/>
    <w:rsid w:val="00A336EE"/>
    <w:rsid w:val="00A33919"/>
    <w:rsid w:val="00A33F46"/>
    <w:rsid w:val="00A3427E"/>
    <w:rsid w:val="00A35000"/>
    <w:rsid w:val="00A354C5"/>
    <w:rsid w:val="00A359AC"/>
    <w:rsid w:val="00A36124"/>
    <w:rsid w:val="00A37C8C"/>
    <w:rsid w:val="00A37EB3"/>
    <w:rsid w:val="00A40072"/>
    <w:rsid w:val="00A40F83"/>
    <w:rsid w:val="00A410FB"/>
    <w:rsid w:val="00A41413"/>
    <w:rsid w:val="00A4153C"/>
    <w:rsid w:val="00A41A64"/>
    <w:rsid w:val="00A4292B"/>
    <w:rsid w:val="00A42E0D"/>
    <w:rsid w:val="00A431E6"/>
    <w:rsid w:val="00A43224"/>
    <w:rsid w:val="00A43485"/>
    <w:rsid w:val="00A436E8"/>
    <w:rsid w:val="00A4525A"/>
    <w:rsid w:val="00A459D1"/>
    <w:rsid w:val="00A45EC5"/>
    <w:rsid w:val="00A45FB1"/>
    <w:rsid w:val="00A466FF"/>
    <w:rsid w:val="00A46A0F"/>
    <w:rsid w:val="00A46C23"/>
    <w:rsid w:val="00A46CCC"/>
    <w:rsid w:val="00A47996"/>
    <w:rsid w:val="00A50103"/>
    <w:rsid w:val="00A508CF"/>
    <w:rsid w:val="00A5133B"/>
    <w:rsid w:val="00A51B9C"/>
    <w:rsid w:val="00A51CFE"/>
    <w:rsid w:val="00A5204D"/>
    <w:rsid w:val="00A53323"/>
    <w:rsid w:val="00A535C2"/>
    <w:rsid w:val="00A53C71"/>
    <w:rsid w:val="00A562C5"/>
    <w:rsid w:val="00A56E77"/>
    <w:rsid w:val="00A56FE4"/>
    <w:rsid w:val="00A5701C"/>
    <w:rsid w:val="00A61605"/>
    <w:rsid w:val="00A62C97"/>
    <w:rsid w:val="00A64350"/>
    <w:rsid w:val="00A643F2"/>
    <w:rsid w:val="00A6582D"/>
    <w:rsid w:val="00A65F97"/>
    <w:rsid w:val="00A6615D"/>
    <w:rsid w:val="00A669D9"/>
    <w:rsid w:val="00A66C1A"/>
    <w:rsid w:val="00A67307"/>
    <w:rsid w:val="00A6740A"/>
    <w:rsid w:val="00A70541"/>
    <w:rsid w:val="00A718E1"/>
    <w:rsid w:val="00A72790"/>
    <w:rsid w:val="00A7328C"/>
    <w:rsid w:val="00A73290"/>
    <w:rsid w:val="00A73619"/>
    <w:rsid w:val="00A73B04"/>
    <w:rsid w:val="00A745DB"/>
    <w:rsid w:val="00A748B7"/>
    <w:rsid w:val="00A75A16"/>
    <w:rsid w:val="00A76989"/>
    <w:rsid w:val="00A76C13"/>
    <w:rsid w:val="00A80237"/>
    <w:rsid w:val="00A809F5"/>
    <w:rsid w:val="00A8111B"/>
    <w:rsid w:val="00A811F0"/>
    <w:rsid w:val="00A83292"/>
    <w:rsid w:val="00A83943"/>
    <w:rsid w:val="00A842BD"/>
    <w:rsid w:val="00A845F2"/>
    <w:rsid w:val="00A84FD0"/>
    <w:rsid w:val="00A860DA"/>
    <w:rsid w:val="00A87749"/>
    <w:rsid w:val="00A90A0A"/>
    <w:rsid w:val="00A90E7B"/>
    <w:rsid w:val="00A920BD"/>
    <w:rsid w:val="00A92E79"/>
    <w:rsid w:val="00A938FC"/>
    <w:rsid w:val="00A93D2D"/>
    <w:rsid w:val="00A950B6"/>
    <w:rsid w:val="00A956A6"/>
    <w:rsid w:val="00A95A1C"/>
    <w:rsid w:val="00A95D2C"/>
    <w:rsid w:val="00A95D45"/>
    <w:rsid w:val="00AA0B35"/>
    <w:rsid w:val="00AA11C9"/>
    <w:rsid w:val="00AA19D7"/>
    <w:rsid w:val="00AA286B"/>
    <w:rsid w:val="00AA33D8"/>
    <w:rsid w:val="00AA3511"/>
    <w:rsid w:val="00AA3EA8"/>
    <w:rsid w:val="00AA6149"/>
    <w:rsid w:val="00AA6E85"/>
    <w:rsid w:val="00AA77C8"/>
    <w:rsid w:val="00AB0582"/>
    <w:rsid w:val="00AB090A"/>
    <w:rsid w:val="00AB1CD1"/>
    <w:rsid w:val="00AB2EF9"/>
    <w:rsid w:val="00AB362E"/>
    <w:rsid w:val="00AB3BCE"/>
    <w:rsid w:val="00AB41C1"/>
    <w:rsid w:val="00AB47DA"/>
    <w:rsid w:val="00AB4CF2"/>
    <w:rsid w:val="00AB5223"/>
    <w:rsid w:val="00AB6143"/>
    <w:rsid w:val="00AB6179"/>
    <w:rsid w:val="00AB6767"/>
    <w:rsid w:val="00AB6CCA"/>
    <w:rsid w:val="00AB7774"/>
    <w:rsid w:val="00AB7D6E"/>
    <w:rsid w:val="00AC119C"/>
    <w:rsid w:val="00AC223F"/>
    <w:rsid w:val="00AC33B1"/>
    <w:rsid w:val="00AC543B"/>
    <w:rsid w:val="00AC5ACC"/>
    <w:rsid w:val="00AC6A2E"/>
    <w:rsid w:val="00AC6E93"/>
    <w:rsid w:val="00AC721D"/>
    <w:rsid w:val="00AC7AB1"/>
    <w:rsid w:val="00AD075D"/>
    <w:rsid w:val="00AD0B75"/>
    <w:rsid w:val="00AD12A8"/>
    <w:rsid w:val="00AD14C2"/>
    <w:rsid w:val="00AD33C2"/>
    <w:rsid w:val="00AD3D3E"/>
    <w:rsid w:val="00AD59B8"/>
    <w:rsid w:val="00AD5BCD"/>
    <w:rsid w:val="00AD5EF4"/>
    <w:rsid w:val="00AD61D9"/>
    <w:rsid w:val="00AD793F"/>
    <w:rsid w:val="00AE023F"/>
    <w:rsid w:val="00AE10A5"/>
    <w:rsid w:val="00AE122F"/>
    <w:rsid w:val="00AE400C"/>
    <w:rsid w:val="00AE49D1"/>
    <w:rsid w:val="00AE4A45"/>
    <w:rsid w:val="00AE4C21"/>
    <w:rsid w:val="00AE4EB9"/>
    <w:rsid w:val="00AE67DB"/>
    <w:rsid w:val="00AE6B2C"/>
    <w:rsid w:val="00AE7361"/>
    <w:rsid w:val="00AF1259"/>
    <w:rsid w:val="00AF2292"/>
    <w:rsid w:val="00AF2AB1"/>
    <w:rsid w:val="00AF3095"/>
    <w:rsid w:val="00AF3577"/>
    <w:rsid w:val="00AF35F9"/>
    <w:rsid w:val="00AF3693"/>
    <w:rsid w:val="00AF3E50"/>
    <w:rsid w:val="00AF40E4"/>
    <w:rsid w:val="00AF5EF5"/>
    <w:rsid w:val="00AF639C"/>
    <w:rsid w:val="00AF64BB"/>
    <w:rsid w:val="00AF7879"/>
    <w:rsid w:val="00B00942"/>
    <w:rsid w:val="00B0107D"/>
    <w:rsid w:val="00B0224F"/>
    <w:rsid w:val="00B027C7"/>
    <w:rsid w:val="00B03EB8"/>
    <w:rsid w:val="00B0424C"/>
    <w:rsid w:val="00B043BB"/>
    <w:rsid w:val="00B0503A"/>
    <w:rsid w:val="00B052ED"/>
    <w:rsid w:val="00B055DC"/>
    <w:rsid w:val="00B05C7D"/>
    <w:rsid w:val="00B069CF"/>
    <w:rsid w:val="00B0717B"/>
    <w:rsid w:val="00B072BD"/>
    <w:rsid w:val="00B07F87"/>
    <w:rsid w:val="00B117BD"/>
    <w:rsid w:val="00B13425"/>
    <w:rsid w:val="00B137FF"/>
    <w:rsid w:val="00B15D57"/>
    <w:rsid w:val="00B15E3F"/>
    <w:rsid w:val="00B16347"/>
    <w:rsid w:val="00B16967"/>
    <w:rsid w:val="00B16B87"/>
    <w:rsid w:val="00B17C55"/>
    <w:rsid w:val="00B17D6E"/>
    <w:rsid w:val="00B20C27"/>
    <w:rsid w:val="00B21E6A"/>
    <w:rsid w:val="00B2233C"/>
    <w:rsid w:val="00B22360"/>
    <w:rsid w:val="00B22D18"/>
    <w:rsid w:val="00B23527"/>
    <w:rsid w:val="00B23E9B"/>
    <w:rsid w:val="00B2435A"/>
    <w:rsid w:val="00B2435E"/>
    <w:rsid w:val="00B24E83"/>
    <w:rsid w:val="00B24F8C"/>
    <w:rsid w:val="00B2629B"/>
    <w:rsid w:val="00B26B02"/>
    <w:rsid w:val="00B27617"/>
    <w:rsid w:val="00B2797F"/>
    <w:rsid w:val="00B3195B"/>
    <w:rsid w:val="00B31A1D"/>
    <w:rsid w:val="00B332F6"/>
    <w:rsid w:val="00B346C3"/>
    <w:rsid w:val="00B35277"/>
    <w:rsid w:val="00B35C2A"/>
    <w:rsid w:val="00B4005C"/>
    <w:rsid w:val="00B40545"/>
    <w:rsid w:val="00B419E7"/>
    <w:rsid w:val="00B41E57"/>
    <w:rsid w:val="00B4227E"/>
    <w:rsid w:val="00B430E0"/>
    <w:rsid w:val="00B43892"/>
    <w:rsid w:val="00B43FE9"/>
    <w:rsid w:val="00B4471C"/>
    <w:rsid w:val="00B449CB"/>
    <w:rsid w:val="00B44E9F"/>
    <w:rsid w:val="00B450CF"/>
    <w:rsid w:val="00B451A6"/>
    <w:rsid w:val="00B45C3B"/>
    <w:rsid w:val="00B4600B"/>
    <w:rsid w:val="00B465EF"/>
    <w:rsid w:val="00B477DF"/>
    <w:rsid w:val="00B5031B"/>
    <w:rsid w:val="00B517F0"/>
    <w:rsid w:val="00B519CC"/>
    <w:rsid w:val="00B526BD"/>
    <w:rsid w:val="00B52B2A"/>
    <w:rsid w:val="00B547E4"/>
    <w:rsid w:val="00B5598D"/>
    <w:rsid w:val="00B55F6C"/>
    <w:rsid w:val="00B56D6E"/>
    <w:rsid w:val="00B57580"/>
    <w:rsid w:val="00B57CEF"/>
    <w:rsid w:val="00B611C8"/>
    <w:rsid w:val="00B62249"/>
    <w:rsid w:val="00B6244B"/>
    <w:rsid w:val="00B63314"/>
    <w:rsid w:val="00B63375"/>
    <w:rsid w:val="00B63569"/>
    <w:rsid w:val="00B64347"/>
    <w:rsid w:val="00B64C17"/>
    <w:rsid w:val="00B65418"/>
    <w:rsid w:val="00B65DC6"/>
    <w:rsid w:val="00B67AC2"/>
    <w:rsid w:val="00B70088"/>
    <w:rsid w:val="00B703D0"/>
    <w:rsid w:val="00B722DE"/>
    <w:rsid w:val="00B7307A"/>
    <w:rsid w:val="00B7516B"/>
    <w:rsid w:val="00B751E3"/>
    <w:rsid w:val="00B75BA6"/>
    <w:rsid w:val="00B762CF"/>
    <w:rsid w:val="00B76C44"/>
    <w:rsid w:val="00B770FD"/>
    <w:rsid w:val="00B77FA2"/>
    <w:rsid w:val="00B80E59"/>
    <w:rsid w:val="00B8184A"/>
    <w:rsid w:val="00B82283"/>
    <w:rsid w:val="00B824D9"/>
    <w:rsid w:val="00B828D8"/>
    <w:rsid w:val="00B82DAB"/>
    <w:rsid w:val="00B83F6C"/>
    <w:rsid w:val="00B83F87"/>
    <w:rsid w:val="00B849B8"/>
    <w:rsid w:val="00B868AD"/>
    <w:rsid w:val="00B87CDC"/>
    <w:rsid w:val="00B90423"/>
    <w:rsid w:val="00B910C1"/>
    <w:rsid w:val="00B91369"/>
    <w:rsid w:val="00B917EB"/>
    <w:rsid w:val="00B91918"/>
    <w:rsid w:val="00B91D38"/>
    <w:rsid w:val="00B91DB7"/>
    <w:rsid w:val="00B930E0"/>
    <w:rsid w:val="00B934DA"/>
    <w:rsid w:val="00B947BA"/>
    <w:rsid w:val="00B9481D"/>
    <w:rsid w:val="00B953B1"/>
    <w:rsid w:val="00B95DEF"/>
    <w:rsid w:val="00B965CF"/>
    <w:rsid w:val="00B96740"/>
    <w:rsid w:val="00B96A67"/>
    <w:rsid w:val="00B972BE"/>
    <w:rsid w:val="00B97480"/>
    <w:rsid w:val="00B97A17"/>
    <w:rsid w:val="00B97DDF"/>
    <w:rsid w:val="00BA0547"/>
    <w:rsid w:val="00BA1090"/>
    <w:rsid w:val="00BA1DEA"/>
    <w:rsid w:val="00BA2CA4"/>
    <w:rsid w:val="00BA2EFA"/>
    <w:rsid w:val="00BA38CF"/>
    <w:rsid w:val="00BA3DBC"/>
    <w:rsid w:val="00BA48CE"/>
    <w:rsid w:val="00BA6EC0"/>
    <w:rsid w:val="00BA707A"/>
    <w:rsid w:val="00BA7421"/>
    <w:rsid w:val="00BB0928"/>
    <w:rsid w:val="00BB18C1"/>
    <w:rsid w:val="00BB1AFB"/>
    <w:rsid w:val="00BB2586"/>
    <w:rsid w:val="00BB27AE"/>
    <w:rsid w:val="00BB2DA2"/>
    <w:rsid w:val="00BB2E90"/>
    <w:rsid w:val="00BB2EED"/>
    <w:rsid w:val="00BB39E8"/>
    <w:rsid w:val="00BB40FE"/>
    <w:rsid w:val="00BB4E3E"/>
    <w:rsid w:val="00BB5348"/>
    <w:rsid w:val="00BB56DC"/>
    <w:rsid w:val="00BB68C3"/>
    <w:rsid w:val="00BB74F7"/>
    <w:rsid w:val="00BC102B"/>
    <w:rsid w:val="00BC1F94"/>
    <w:rsid w:val="00BC24B4"/>
    <w:rsid w:val="00BC33D8"/>
    <w:rsid w:val="00BC401F"/>
    <w:rsid w:val="00BC6F9A"/>
    <w:rsid w:val="00BC7E9C"/>
    <w:rsid w:val="00BD0685"/>
    <w:rsid w:val="00BD2B6F"/>
    <w:rsid w:val="00BD408A"/>
    <w:rsid w:val="00BD429D"/>
    <w:rsid w:val="00BD42DE"/>
    <w:rsid w:val="00BD4A3D"/>
    <w:rsid w:val="00BD5462"/>
    <w:rsid w:val="00BD54B8"/>
    <w:rsid w:val="00BD747A"/>
    <w:rsid w:val="00BE183D"/>
    <w:rsid w:val="00BE1924"/>
    <w:rsid w:val="00BE2A09"/>
    <w:rsid w:val="00BE2C49"/>
    <w:rsid w:val="00BE2FF4"/>
    <w:rsid w:val="00BE4DFA"/>
    <w:rsid w:val="00BE4FE5"/>
    <w:rsid w:val="00BE670B"/>
    <w:rsid w:val="00BF10E3"/>
    <w:rsid w:val="00BF14D8"/>
    <w:rsid w:val="00BF18D9"/>
    <w:rsid w:val="00BF1A2C"/>
    <w:rsid w:val="00BF1F4C"/>
    <w:rsid w:val="00BF24C2"/>
    <w:rsid w:val="00BF27D4"/>
    <w:rsid w:val="00BF2922"/>
    <w:rsid w:val="00BF2B33"/>
    <w:rsid w:val="00BF3B1A"/>
    <w:rsid w:val="00BF45B9"/>
    <w:rsid w:val="00BF4DE7"/>
    <w:rsid w:val="00BF5D7A"/>
    <w:rsid w:val="00BF615C"/>
    <w:rsid w:val="00BF7139"/>
    <w:rsid w:val="00BF7591"/>
    <w:rsid w:val="00BF7B3E"/>
    <w:rsid w:val="00C003B5"/>
    <w:rsid w:val="00C0099D"/>
    <w:rsid w:val="00C01C2E"/>
    <w:rsid w:val="00C0260F"/>
    <w:rsid w:val="00C02D33"/>
    <w:rsid w:val="00C047FC"/>
    <w:rsid w:val="00C04B53"/>
    <w:rsid w:val="00C05702"/>
    <w:rsid w:val="00C05BF4"/>
    <w:rsid w:val="00C06231"/>
    <w:rsid w:val="00C077BD"/>
    <w:rsid w:val="00C1102B"/>
    <w:rsid w:val="00C12157"/>
    <w:rsid w:val="00C1232C"/>
    <w:rsid w:val="00C124EA"/>
    <w:rsid w:val="00C1327F"/>
    <w:rsid w:val="00C13491"/>
    <w:rsid w:val="00C13F61"/>
    <w:rsid w:val="00C140FF"/>
    <w:rsid w:val="00C151F0"/>
    <w:rsid w:val="00C15471"/>
    <w:rsid w:val="00C15594"/>
    <w:rsid w:val="00C16863"/>
    <w:rsid w:val="00C16F5E"/>
    <w:rsid w:val="00C20071"/>
    <w:rsid w:val="00C201C8"/>
    <w:rsid w:val="00C20D8D"/>
    <w:rsid w:val="00C20E2B"/>
    <w:rsid w:val="00C20FFB"/>
    <w:rsid w:val="00C22CC7"/>
    <w:rsid w:val="00C23711"/>
    <w:rsid w:val="00C23A7C"/>
    <w:rsid w:val="00C25887"/>
    <w:rsid w:val="00C270C1"/>
    <w:rsid w:val="00C27C6B"/>
    <w:rsid w:val="00C27C96"/>
    <w:rsid w:val="00C3157D"/>
    <w:rsid w:val="00C31939"/>
    <w:rsid w:val="00C320E0"/>
    <w:rsid w:val="00C3235F"/>
    <w:rsid w:val="00C335C8"/>
    <w:rsid w:val="00C33F5B"/>
    <w:rsid w:val="00C35351"/>
    <w:rsid w:val="00C3594D"/>
    <w:rsid w:val="00C36442"/>
    <w:rsid w:val="00C3658D"/>
    <w:rsid w:val="00C37A64"/>
    <w:rsid w:val="00C400CE"/>
    <w:rsid w:val="00C40C62"/>
    <w:rsid w:val="00C410D1"/>
    <w:rsid w:val="00C410FD"/>
    <w:rsid w:val="00C41805"/>
    <w:rsid w:val="00C43075"/>
    <w:rsid w:val="00C43ACB"/>
    <w:rsid w:val="00C45778"/>
    <w:rsid w:val="00C457DE"/>
    <w:rsid w:val="00C462FC"/>
    <w:rsid w:val="00C463DD"/>
    <w:rsid w:val="00C46691"/>
    <w:rsid w:val="00C47058"/>
    <w:rsid w:val="00C47DD3"/>
    <w:rsid w:val="00C50824"/>
    <w:rsid w:val="00C51DCD"/>
    <w:rsid w:val="00C51EE8"/>
    <w:rsid w:val="00C524AD"/>
    <w:rsid w:val="00C52C54"/>
    <w:rsid w:val="00C5316F"/>
    <w:rsid w:val="00C533B8"/>
    <w:rsid w:val="00C53562"/>
    <w:rsid w:val="00C539FB"/>
    <w:rsid w:val="00C541C9"/>
    <w:rsid w:val="00C54CA7"/>
    <w:rsid w:val="00C54D59"/>
    <w:rsid w:val="00C55509"/>
    <w:rsid w:val="00C55837"/>
    <w:rsid w:val="00C55927"/>
    <w:rsid w:val="00C56F47"/>
    <w:rsid w:val="00C5708F"/>
    <w:rsid w:val="00C60819"/>
    <w:rsid w:val="00C62305"/>
    <w:rsid w:val="00C62504"/>
    <w:rsid w:val="00C62538"/>
    <w:rsid w:val="00C632D5"/>
    <w:rsid w:val="00C635F9"/>
    <w:rsid w:val="00C636F6"/>
    <w:rsid w:val="00C63B2A"/>
    <w:rsid w:val="00C63D5C"/>
    <w:rsid w:val="00C650EE"/>
    <w:rsid w:val="00C65333"/>
    <w:rsid w:val="00C65424"/>
    <w:rsid w:val="00C65DCC"/>
    <w:rsid w:val="00C66656"/>
    <w:rsid w:val="00C66AA3"/>
    <w:rsid w:val="00C66E57"/>
    <w:rsid w:val="00C67102"/>
    <w:rsid w:val="00C671F6"/>
    <w:rsid w:val="00C674DF"/>
    <w:rsid w:val="00C7003E"/>
    <w:rsid w:val="00C702D4"/>
    <w:rsid w:val="00C70FC0"/>
    <w:rsid w:val="00C7129B"/>
    <w:rsid w:val="00C724D7"/>
    <w:rsid w:val="00C72B9F"/>
    <w:rsid w:val="00C74150"/>
    <w:rsid w:val="00C741C9"/>
    <w:rsid w:val="00C744C5"/>
    <w:rsid w:val="00C75594"/>
    <w:rsid w:val="00C75B30"/>
    <w:rsid w:val="00C765D2"/>
    <w:rsid w:val="00C7669F"/>
    <w:rsid w:val="00C80976"/>
    <w:rsid w:val="00C81205"/>
    <w:rsid w:val="00C813B4"/>
    <w:rsid w:val="00C817D4"/>
    <w:rsid w:val="00C81A5F"/>
    <w:rsid w:val="00C82E44"/>
    <w:rsid w:val="00C83652"/>
    <w:rsid w:val="00C846D2"/>
    <w:rsid w:val="00C850D7"/>
    <w:rsid w:val="00C85761"/>
    <w:rsid w:val="00C85982"/>
    <w:rsid w:val="00C86238"/>
    <w:rsid w:val="00C8649E"/>
    <w:rsid w:val="00C86C81"/>
    <w:rsid w:val="00C8716B"/>
    <w:rsid w:val="00C8719E"/>
    <w:rsid w:val="00C872B4"/>
    <w:rsid w:val="00C877C6"/>
    <w:rsid w:val="00C9026C"/>
    <w:rsid w:val="00C90BD2"/>
    <w:rsid w:val="00C90DF2"/>
    <w:rsid w:val="00C90E48"/>
    <w:rsid w:val="00C9105C"/>
    <w:rsid w:val="00C91566"/>
    <w:rsid w:val="00C91587"/>
    <w:rsid w:val="00C92307"/>
    <w:rsid w:val="00C952E2"/>
    <w:rsid w:val="00C979CD"/>
    <w:rsid w:val="00CA012F"/>
    <w:rsid w:val="00CA0466"/>
    <w:rsid w:val="00CA15E3"/>
    <w:rsid w:val="00CA1EBC"/>
    <w:rsid w:val="00CA2128"/>
    <w:rsid w:val="00CA23E0"/>
    <w:rsid w:val="00CA246D"/>
    <w:rsid w:val="00CA32AD"/>
    <w:rsid w:val="00CA50D9"/>
    <w:rsid w:val="00CA616E"/>
    <w:rsid w:val="00CA62AF"/>
    <w:rsid w:val="00CA64DB"/>
    <w:rsid w:val="00CA6D52"/>
    <w:rsid w:val="00CA6DC3"/>
    <w:rsid w:val="00CA6DEC"/>
    <w:rsid w:val="00CA703B"/>
    <w:rsid w:val="00CA7803"/>
    <w:rsid w:val="00CA7A04"/>
    <w:rsid w:val="00CA7B81"/>
    <w:rsid w:val="00CB08DE"/>
    <w:rsid w:val="00CB0B2E"/>
    <w:rsid w:val="00CB0CC1"/>
    <w:rsid w:val="00CB2BF2"/>
    <w:rsid w:val="00CB3054"/>
    <w:rsid w:val="00CB469E"/>
    <w:rsid w:val="00CB498A"/>
    <w:rsid w:val="00CB4BED"/>
    <w:rsid w:val="00CB5473"/>
    <w:rsid w:val="00CB5636"/>
    <w:rsid w:val="00CB5F30"/>
    <w:rsid w:val="00CB646D"/>
    <w:rsid w:val="00CB6D52"/>
    <w:rsid w:val="00CB7E6D"/>
    <w:rsid w:val="00CC070A"/>
    <w:rsid w:val="00CC12FC"/>
    <w:rsid w:val="00CC1EA4"/>
    <w:rsid w:val="00CC3EE5"/>
    <w:rsid w:val="00CC40E3"/>
    <w:rsid w:val="00CC47B0"/>
    <w:rsid w:val="00CC49A1"/>
    <w:rsid w:val="00CC503C"/>
    <w:rsid w:val="00CC599E"/>
    <w:rsid w:val="00CC62F2"/>
    <w:rsid w:val="00CC6D87"/>
    <w:rsid w:val="00CC6E47"/>
    <w:rsid w:val="00CC7219"/>
    <w:rsid w:val="00CC76B4"/>
    <w:rsid w:val="00CD1346"/>
    <w:rsid w:val="00CD15BE"/>
    <w:rsid w:val="00CD1669"/>
    <w:rsid w:val="00CD26D4"/>
    <w:rsid w:val="00CD2B1A"/>
    <w:rsid w:val="00CD3A65"/>
    <w:rsid w:val="00CD618E"/>
    <w:rsid w:val="00CD62DF"/>
    <w:rsid w:val="00CD743D"/>
    <w:rsid w:val="00CD7C62"/>
    <w:rsid w:val="00CE098B"/>
    <w:rsid w:val="00CE0FC3"/>
    <w:rsid w:val="00CE1153"/>
    <w:rsid w:val="00CE3EB5"/>
    <w:rsid w:val="00CE425C"/>
    <w:rsid w:val="00CE4C00"/>
    <w:rsid w:val="00CE4F79"/>
    <w:rsid w:val="00CE58AC"/>
    <w:rsid w:val="00CE6316"/>
    <w:rsid w:val="00CE73AF"/>
    <w:rsid w:val="00CF08A6"/>
    <w:rsid w:val="00CF3675"/>
    <w:rsid w:val="00CF3B5F"/>
    <w:rsid w:val="00CF45C7"/>
    <w:rsid w:val="00CF5A80"/>
    <w:rsid w:val="00CF5E87"/>
    <w:rsid w:val="00CF60FC"/>
    <w:rsid w:val="00CF62AB"/>
    <w:rsid w:val="00CF65D0"/>
    <w:rsid w:val="00D00602"/>
    <w:rsid w:val="00D0066D"/>
    <w:rsid w:val="00D009F7"/>
    <w:rsid w:val="00D00FBB"/>
    <w:rsid w:val="00D012A4"/>
    <w:rsid w:val="00D013A3"/>
    <w:rsid w:val="00D02718"/>
    <w:rsid w:val="00D028E9"/>
    <w:rsid w:val="00D029CF"/>
    <w:rsid w:val="00D03036"/>
    <w:rsid w:val="00D03C62"/>
    <w:rsid w:val="00D03C85"/>
    <w:rsid w:val="00D045EE"/>
    <w:rsid w:val="00D05091"/>
    <w:rsid w:val="00D053DF"/>
    <w:rsid w:val="00D0542B"/>
    <w:rsid w:val="00D05795"/>
    <w:rsid w:val="00D07E15"/>
    <w:rsid w:val="00D10357"/>
    <w:rsid w:val="00D10CA6"/>
    <w:rsid w:val="00D10F21"/>
    <w:rsid w:val="00D11171"/>
    <w:rsid w:val="00D117E8"/>
    <w:rsid w:val="00D11918"/>
    <w:rsid w:val="00D11926"/>
    <w:rsid w:val="00D11AB0"/>
    <w:rsid w:val="00D11E95"/>
    <w:rsid w:val="00D12F5C"/>
    <w:rsid w:val="00D134CF"/>
    <w:rsid w:val="00D14012"/>
    <w:rsid w:val="00D144A0"/>
    <w:rsid w:val="00D14731"/>
    <w:rsid w:val="00D15283"/>
    <w:rsid w:val="00D1573B"/>
    <w:rsid w:val="00D1594D"/>
    <w:rsid w:val="00D15FF5"/>
    <w:rsid w:val="00D16790"/>
    <w:rsid w:val="00D17151"/>
    <w:rsid w:val="00D17F31"/>
    <w:rsid w:val="00D2119A"/>
    <w:rsid w:val="00D21F15"/>
    <w:rsid w:val="00D224C2"/>
    <w:rsid w:val="00D23506"/>
    <w:rsid w:val="00D24806"/>
    <w:rsid w:val="00D25D3F"/>
    <w:rsid w:val="00D264B5"/>
    <w:rsid w:val="00D278EE"/>
    <w:rsid w:val="00D278FC"/>
    <w:rsid w:val="00D30626"/>
    <w:rsid w:val="00D32B20"/>
    <w:rsid w:val="00D33B17"/>
    <w:rsid w:val="00D34040"/>
    <w:rsid w:val="00D34E69"/>
    <w:rsid w:val="00D36C78"/>
    <w:rsid w:val="00D375EE"/>
    <w:rsid w:val="00D37E0B"/>
    <w:rsid w:val="00D40280"/>
    <w:rsid w:val="00D4070A"/>
    <w:rsid w:val="00D4138F"/>
    <w:rsid w:val="00D4183A"/>
    <w:rsid w:val="00D41E2A"/>
    <w:rsid w:val="00D41FE2"/>
    <w:rsid w:val="00D42A08"/>
    <w:rsid w:val="00D437FB"/>
    <w:rsid w:val="00D45F52"/>
    <w:rsid w:val="00D46930"/>
    <w:rsid w:val="00D46FBC"/>
    <w:rsid w:val="00D47EED"/>
    <w:rsid w:val="00D52038"/>
    <w:rsid w:val="00D52F71"/>
    <w:rsid w:val="00D55A22"/>
    <w:rsid w:val="00D55AE8"/>
    <w:rsid w:val="00D56056"/>
    <w:rsid w:val="00D56DAF"/>
    <w:rsid w:val="00D5716E"/>
    <w:rsid w:val="00D578FA"/>
    <w:rsid w:val="00D60811"/>
    <w:rsid w:val="00D6085F"/>
    <w:rsid w:val="00D6100E"/>
    <w:rsid w:val="00D61926"/>
    <w:rsid w:val="00D62699"/>
    <w:rsid w:val="00D62B06"/>
    <w:rsid w:val="00D63E36"/>
    <w:rsid w:val="00D644F9"/>
    <w:rsid w:val="00D65B44"/>
    <w:rsid w:val="00D66459"/>
    <w:rsid w:val="00D66644"/>
    <w:rsid w:val="00D722B6"/>
    <w:rsid w:val="00D73588"/>
    <w:rsid w:val="00D73BA6"/>
    <w:rsid w:val="00D778E9"/>
    <w:rsid w:val="00D807FE"/>
    <w:rsid w:val="00D812BF"/>
    <w:rsid w:val="00D81B0C"/>
    <w:rsid w:val="00D82620"/>
    <w:rsid w:val="00D82AAA"/>
    <w:rsid w:val="00D82DA7"/>
    <w:rsid w:val="00D83A04"/>
    <w:rsid w:val="00D8495B"/>
    <w:rsid w:val="00D85707"/>
    <w:rsid w:val="00D87589"/>
    <w:rsid w:val="00D901B8"/>
    <w:rsid w:val="00D9097F"/>
    <w:rsid w:val="00D90F75"/>
    <w:rsid w:val="00D919CE"/>
    <w:rsid w:val="00D91BE2"/>
    <w:rsid w:val="00D92113"/>
    <w:rsid w:val="00D92320"/>
    <w:rsid w:val="00D927F3"/>
    <w:rsid w:val="00D94C7A"/>
    <w:rsid w:val="00D9500D"/>
    <w:rsid w:val="00D9580F"/>
    <w:rsid w:val="00D9706B"/>
    <w:rsid w:val="00D9725F"/>
    <w:rsid w:val="00DA01B1"/>
    <w:rsid w:val="00DA0D56"/>
    <w:rsid w:val="00DA11A2"/>
    <w:rsid w:val="00DA1310"/>
    <w:rsid w:val="00DA14ED"/>
    <w:rsid w:val="00DA1AE0"/>
    <w:rsid w:val="00DA20F6"/>
    <w:rsid w:val="00DA26D6"/>
    <w:rsid w:val="00DA2929"/>
    <w:rsid w:val="00DA38FF"/>
    <w:rsid w:val="00DA5190"/>
    <w:rsid w:val="00DA5E1C"/>
    <w:rsid w:val="00DA68D6"/>
    <w:rsid w:val="00DA7EE7"/>
    <w:rsid w:val="00DB01CB"/>
    <w:rsid w:val="00DB2457"/>
    <w:rsid w:val="00DB2C25"/>
    <w:rsid w:val="00DB2EF1"/>
    <w:rsid w:val="00DB3DE1"/>
    <w:rsid w:val="00DB4197"/>
    <w:rsid w:val="00DB47A5"/>
    <w:rsid w:val="00DB4DF0"/>
    <w:rsid w:val="00DB5DA0"/>
    <w:rsid w:val="00DB62CC"/>
    <w:rsid w:val="00DB668B"/>
    <w:rsid w:val="00DB6EC0"/>
    <w:rsid w:val="00DB716C"/>
    <w:rsid w:val="00DC035C"/>
    <w:rsid w:val="00DC2277"/>
    <w:rsid w:val="00DC34BB"/>
    <w:rsid w:val="00DC355B"/>
    <w:rsid w:val="00DC3B2B"/>
    <w:rsid w:val="00DC4393"/>
    <w:rsid w:val="00DC4CF9"/>
    <w:rsid w:val="00DC5345"/>
    <w:rsid w:val="00DC5894"/>
    <w:rsid w:val="00DC5C85"/>
    <w:rsid w:val="00DC665C"/>
    <w:rsid w:val="00DC7C5D"/>
    <w:rsid w:val="00DD0C7F"/>
    <w:rsid w:val="00DD0D51"/>
    <w:rsid w:val="00DD1BDE"/>
    <w:rsid w:val="00DD1F2A"/>
    <w:rsid w:val="00DD2BD4"/>
    <w:rsid w:val="00DD4236"/>
    <w:rsid w:val="00DD44F1"/>
    <w:rsid w:val="00DD4C29"/>
    <w:rsid w:val="00DD582B"/>
    <w:rsid w:val="00DD6957"/>
    <w:rsid w:val="00DD6E7A"/>
    <w:rsid w:val="00DD7228"/>
    <w:rsid w:val="00DD737C"/>
    <w:rsid w:val="00DD797E"/>
    <w:rsid w:val="00DD7D23"/>
    <w:rsid w:val="00DD7D6B"/>
    <w:rsid w:val="00DE08EE"/>
    <w:rsid w:val="00DE0921"/>
    <w:rsid w:val="00DE0BCA"/>
    <w:rsid w:val="00DE0E04"/>
    <w:rsid w:val="00DE1000"/>
    <w:rsid w:val="00DE2689"/>
    <w:rsid w:val="00DE2781"/>
    <w:rsid w:val="00DE29EA"/>
    <w:rsid w:val="00DE3067"/>
    <w:rsid w:val="00DE4D01"/>
    <w:rsid w:val="00DE5A27"/>
    <w:rsid w:val="00DE5B44"/>
    <w:rsid w:val="00DF15DE"/>
    <w:rsid w:val="00DF3536"/>
    <w:rsid w:val="00DF364E"/>
    <w:rsid w:val="00DF3EEE"/>
    <w:rsid w:val="00DF47AC"/>
    <w:rsid w:val="00DF575C"/>
    <w:rsid w:val="00DF60FE"/>
    <w:rsid w:val="00DF62A6"/>
    <w:rsid w:val="00DF7579"/>
    <w:rsid w:val="00DF75E1"/>
    <w:rsid w:val="00E00318"/>
    <w:rsid w:val="00E00EE7"/>
    <w:rsid w:val="00E0140E"/>
    <w:rsid w:val="00E01661"/>
    <w:rsid w:val="00E01DC4"/>
    <w:rsid w:val="00E01E2A"/>
    <w:rsid w:val="00E02589"/>
    <w:rsid w:val="00E027BC"/>
    <w:rsid w:val="00E045BE"/>
    <w:rsid w:val="00E05DA8"/>
    <w:rsid w:val="00E10647"/>
    <w:rsid w:val="00E10F0D"/>
    <w:rsid w:val="00E11E05"/>
    <w:rsid w:val="00E1236F"/>
    <w:rsid w:val="00E123FC"/>
    <w:rsid w:val="00E12A8F"/>
    <w:rsid w:val="00E14E9B"/>
    <w:rsid w:val="00E14EA5"/>
    <w:rsid w:val="00E15ACE"/>
    <w:rsid w:val="00E1664C"/>
    <w:rsid w:val="00E16989"/>
    <w:rsid w:val="00E16E9E"/>
    <w:rsid w:val="00E170FB"/>
    <w:rsid w:val="00E1735A"/>
    <w:rsid w:val="00E2058D"/>
    <w:rsid w:val="00E2070E"/>
    <w:rsid w:val="00E209B7"/>
    <w:rsid w:val="00E20DEB"/>
    <w:rsid w:val="00E21133"/>
    <w:rsid w:val="00E2186E"/>
    <w:rsid w:val="00E21C75"/>
    <w:rsid w:val="00E21DC4"/>
    <w:rsid w:val="00E22200"/>
    <w:rsid w:val="00E2241D"/>
    <w:rsid w:val="00E2327E"/>
    <w:rsid w:val="00E23577"/>
    <w:rsid w:val="00E24773"/>
    <w:rsid w:val="00E2628E"/>
    <w:rsid w:val="00E266EF"/>
    <w:rsid w:val="00E2673F"/>
    <w:rsid w:val="00E27AEF"/>
    <w:rsid w:val="00E30580"/>
    <w:rsid w:val="00E306DE"/>
    <w:rsid w:val="00E312EF"/>
    <w:rsid w:val="00E326A8"/>
    <w:rsid w:val="00E333DF"/>
    <w:rsid w:val="00E3383B"/>
    <w:rsid w:val="00E340AF"/>
    <w:rsid w:val="00E34238"/>
    <w:rsid w:val="00E34605"/>
    <w:rsid w:val="00E36604"/>
    <w:rsid w:val="00E37C50"/>
    <w:rsid w:val="00E37F04"/>
    <w:rsid w:val="00E4086F"/>
    <w:rsid w:val="00E40EB9"/>
    <w:rsid w:val="00E41FFC"/>
    <w:rsid w:val="00E42070"/>
    <w:rsid w:val="00E4259F"/>
    <w:rsid w:val="00E452DC"/>
    <w:rsid w:val="00E46311"/>
    <w:rsid w:val="00E46E81"/>
    <w:rsid w:val="00E47418"/>
    <w:rsid w:val="00E47428"/>
    <w:rsid w:val="00E501E9"/>
    <w:rsid w:val="00E510D4"/>
    <w:rsid w:val="00E5122E"/>
    <w:rsid w:val="00E512C5"/>
    <w:rsid w:val="00E514EE"/>
    <w:rsid w:val="00E51C53"/>
    <w:rsid w:val="00E527EF"/>
    <w:rsid w:val="00E528BF"/>
    <w:rsid w:val="00E529BE"/>
    <w:rsid w:val="00E52C51"/>
    <w:rsid w:val="00E52C7C"/>
    <w:rsid w:val="00E53F07"/>
    <w:rsid w:val="00E54DDC"/>
    <w:rsid w:val="00E561FF"/>
    <w:rsid w:val="00E56C8E"/>
    <w:rsid w:val="00E5716B"/>
    <w:rsid w:val="00E57521"/>
    <w:rsid w:val="00E57750"/>
    <w:rsid w:val="00E5791C"/>
    <w:rsid w:val="00E57F1F"/>
    <w:rsid w:val="00E611B1"/>
    <w:rsid w:val="00E61F47"/>
    <w:rsid w:val="00E62243"/>
    <w:rsid w:val="00E627FF"/>
    <w:rsid w:val="00E62D01"/>
    <w:rsid w:val="00E632BF"/>
    <w:rsid w:val="00E64271"/>
    <w:rsid w:val="00E663CC"/>
    <w:rsid w:val="00E664F2"/>
    <w:rsid w:val="00E66B9F"/>
    <w:rsid w:val="00E673DE"/>
    <w:rsid w:val="00E67B10"/>
    <w:rsid w:val="00E70A6A"/>
    <w:rsid w:val="00E710D6"/>
    <w:rsid w:val="00E7168D"/>
    <w:rsid w:val="00E73DA4"/>
    <w:rsid w:val="00E73E48"/>
    <w:rsid w:val="00E73F51"/>
    <w:rsid w:val="00E73FA4"/>
    <w:rsid w:val="00E7429B"/>
    <w:rsid w:val="00E746E2"/>
    <w:rsid w:val="00E747AE"/>
    <w:rsid w:val="00E75ACA"/>
    <w:rsid w:val="00E75C5D"/>
    <w:rsid w:val="00E75CF5"/>
    <w:rsid w:val="00E7622F"/>
    <w:rsid w:val="00E76E45"/>
    <w:rsid w:val="00E773A3"/>
    <w:rsid w:val="00E777C9"/>
    <w:rsid w:val="00E778BF"/>
    <w:rsid w:val="00E80378"/>
    <w:rsid w:val="00E81073"/>
    <w:rsid w:val="00E81563"/>
    <w:rsid w:val="00E81C88"/>
    <w:rsid w:val="00E81DA6"/>
    <w:rsid w:val="00E832E7"/>
    <w:rsid w:val="00E837B5"/>
    <w:rsid w:val="00E83A69"/>
    <w:rsid w:val="00E83DE8"/>
    <w:rsid w:val="00E84212"/>
    <w:rsid w:val="00E84304"/>
    <w:rsid w:val="00E845E9"/>
    <w:rsid w:val="00E84E04"/>
    <w:rsid w:val="00E85A25"/>
    <w:rsid w:val="00E85EFD"/>
    <w:rsid w:val="00E8657E"/>
    <w:rsid w:val="00E86710"/>
    <w:rsid w:val="00E870D8"/>
    <w:rsid w:val="00E87567"/>
    <w:rsid w:val="00E87906"/>
    <w:rsid w:val="00E9086C"/>
    <w:rsid w:val="00E90AAA"/>
    <w:rsid w:val="00E90D17"/>
    <w:rsid w:val="00E91A0F"/>
    <w:rsid w:val="00E93F01"/>
    <w:rsid w:val="00E94A71"/>
    <w:rsid w:val="00E94CBF"/>
    <w:rsid w:val="00E95B94"/>
    <w:rsid w:val="00E95CD8"/>
    <w:rsid w:val="00E95E66"/>
    <w:rsid w:val="00E966C5"/>
    <w:rsid w:val="00EA03C4"/>
    <w:rsid w:val="00EA03CE"/>
    <w:rsid w:val="00EA0EE0"/>
    <w:rsid w:val="00EA1222"/>
    <w:rsid w:val="00EA1581"/>
    <w:rsid w:val="00EA23E5"/>
    <w:rsid w:val="00EA282E"/>
    <w:rsid w:val="00EA2BC6"/>
    <w:rsid w:val="00EA34FC"/>
    <w:rsid w:val="00EA4355"/>
    <w:rsid w:val="00EA4451"/>
    <w:rsid w:val="00EA4BEA"/>
    <w:rsid w:val="00EA4E2E"/>
    <w:rsid w:val="00EA5023"/>
    <w:rsid w:val="00EA5967"/>
    <w:rsid w:val="00EA6ABE"/>
    <w:rsid w:val="00EA6BDD"/>
    <w:rsid w:val="00EA6C26"/>
    <w:rsid w:val="00EA765C"/>
    <w:rsid w:val="00EB0889"/>
    <w:rsid w:val="00EB1223"/>
    <w:rsid w:val="00EB22C3"/>
    <w:rsid w:val="00EB2417"/>
    <w:rsid w:val="00EB2CCB"/>
    <w:rsid w:val="00EB4710"/>
    <w:rsid w:val="00EB4FC2"/>
    <w:rsid w:val="00EB53F1"/>
    <w:rsid w:val="00EB53FC"/>
    <w:rsid w:val="00EB570F"/>
    <w:rsid w:val="00EB5E22"/>
    <w:rsid w:val="00EB63A3"/>
    <w:rsid w:val="00EB6543"/>
    <w:rsid w:val="00EB7A25"/>
    <w:rsid w:val="00EB7D4B"/>
    <w:rsid w:val="00EC0071"/>
    <w:rsid w:val="00EC0E69"/>
    <w:rsid w:val="00EC0F3E"/>
    <w:rsid w:val="00EC1227"/>
    <w:rsid w:val="00EC1760"/>
    <w:rsid w:val="00EC1B57"/>
    <w:rsid w:val="00EC3387"/>
    <w:rsid w:val="00EC4792"/>
    <w:rsid w:val="00EC57A7"/>
    <w:rsid w:val="00EC5C79"/>
    <w:rsid w:val="00EC79D2"/>
    <w:rsid w:val="00EC7F60"/>
    <w:rsid w:val="00ED0116"/>
    <w:rsid w:val="00ED0817"/>
    <w:rsid w:val="00ED11D3"/>
    <w:rsid w:val="00ED1E23"/>
    <w:rsid w:val="00ED2B9B"/>
    <w:rsid w:val="00ED3EC0"/>
    <w:rsid w:val="00ED4235"/>
    <w:rsid w:val="00ED4FCD"/>
    <w:rsid w:val="00ED52C7"/>
    <w:rsid w:val="00ED63EB"/>
    <w:rsid w:val="00ED64B2"/>
    <w:rsid w:val="00ED7DD9"/>
    <w:rsid w:val="00EE2B56"/>
    <w:rsid w:val="00EE30BF"/>
    <w:rsid w:val="00EE3454"/>
    <w:rsid w:val="00EE3478"/>
    <w:rsid w:val="00EE445B"/>
    <w:rsid w:val="00EE4603"/>
    <w:rsid w:val="00EE4B4A"/>
    <w:rsid w:val="00EE4F6E"/>
    <w:rsid w:val="00EE5E0B"/>
    <w:rsid w:val="00EE6EA5"/>
    <w:rsid w:val="00EF0556"/>
    <w:rsid w:val="00EF21A2"/>
    <w:rsid w:val="00EF2654"/>
    <w:rsid w:val="00EF3113"/>
    <w:rsid w:val="00EF3F84"/>
    <w:rsid w:val="00EF7654"/>
    <w:rsid w:val="00F003C0"/>
    <w:rsid w:val="00F00D29"/>
    <w:rsid w:val="00F02CF3"/>
    <w:rsid w:val="00F02DD2"/>
    <w:rsid w:val="00F035E7"/>
    <w:rsid w:val="00F03B0C"/>
    <w:rsid w:val="00F03C32"/>
    <w:rsid w:val="00F04B93"/>
    <w:rsid w:val="00F0622E"/>
    <w:rsid w:val="00F06EFB"/>
    <w:rsid w:val="00F07D7F"/>
    <w:rsid w:val="00F107FB"/>
    <w:rsid w:val="00F1196D"/>
    <w:rsid w:val="00F119BD"/>
    <w:rsid w:val="00F14799"/>
    <w:rsid w:val="00F1506C"/>
    <w:rsid w:val="00F153EC"/>
    <w:rsid w:val="00F15607"/>
    <w:rsid w:val="00F16311"/>
    <w:rsid w:val="00F176AC"/>
    <w:rsid w:val="00F200C9"/>
    <w:rsid w:val="00F204E5"/>
    <w:rsid w:val="00F2170E"/>
    <w:rsid w:val="00F218E2"/>
    <w:rsid w:val="00F223CF"/>
    <w:rsid w:val="00F22C40"/>
    <w:rsid w:val="00F24F3E"/>
    <w:rsid w:val="00F25301"/>
    <w:rsid w:val="00F25D1A"/>
    <w:rsid w:val="00F26844"/>
    <w:rsid w:val="00F26F28"/>
    <w:rsid w:val="00F273F6"/>
    <w:rsid w:val="00F27714"/>
    <w:rsid w:val="00F3084C"/>
    <w:rsid w:val="00F30C85"/>
    <w:rsid w:val="00F30F19"/>
    <w:rsid w:val="00F30F52"/>
    <w:rsid w:val="00F31EBB"/>
    <w:rsid w:val="00F31F56"/>
    <w:rsid w:val="00F3226B"/>
    <w:rsid w:val="00F3276E"/>
    <w:rsid w:val="00F33D3C"/>
    <w:rsid w:val="00F34B41"/>
    <w:rsid w:val="00F35899"/>
    <w:rsid w:val="00F35E7C"/>
    <w:rsid w:val="00F36053"/>
    <w:rsid w:val="00F36476"/>
    <w:rsid w:val="00F36857"/>
    <w:rsid w:val="00F373CB"/>
    <w:rsid w:val="00F37A91"/>
    <w:rsid w:val="00F405EA"/>
    <w:rsid w:val="00F408A0"/>
    <w:rsid w:val="00F40C9A"/>
    <w:rsid w:val="00F40FFE"/>
    <w:rsid w:val="00F4129C"/>
    <w:rsid w:val="00F41EB6"/>
    <w:rsid w:val="00F4227D"/>
    <w:rsid w:val="00F43ABF"/>
    <w:rsid w:val="00F43C6B"/>
    <w:rsid w:val="00F44474"/>
    <w:rsid w:val="00F44540"/>
    <w:rsid w:val="00F44EEA"/>
    <w:rsid w:val="00F45309"/>
    <w:rsid w:val="00F45C4C"/>
    <w:rsid w:val="00F45CF5"/>
    <w:rsid w:val="00F46381"/>
    <w:rsid w:val="00F46932"/>
    <w:rsid w:val="00F47669"/>
    <w:rsid w:val="00F47DB0"/>
    <w:rsid w:val="00F5050C"/>
    <w:rsid w:val="00F50C3F"/>
    <w:rsid w:val="00F50E34"/>
    <w:rsid w:val="00F51AFB"/>
    <w:rsid w:val="00F51BA9"/>
    <w:rsid w:val="00F52731"/>
    <w:rsid w:val="00F529A0"/>
    <w:rsid w:val="00F53EF7"/>
    <w:rsid w:val="00F542A3"/>
    <w:rsid w:val="00F54BF2"/>
    <w:rsid w:val="00F558E3"/>
    <w:rsid w:val="00F5595B"/>
    <w:rsid w:val="00F56628"/>
    <w:rsid w:val="00F5676A"/>
    <w:rsid w:val="00F57654"/>
    <w:rsid w:val="00F57799"/>
    <w:rsid w:val="00F57E98"/>
    <w:rsid w:val="00F60165"/>
    <w:rsid w:val="00F630D2"/>
    <w:rsid w:val="00F64602"/>
    <w:rsid w:val="00F64C07"/>
    <w:rsid w:val="00F65A1A"/>
    <w:rsid w:val="00F66B34"/>
    <w:rsid w:val="00F71002"/>
    <w:rsid w:val="00F71206"/>
    <w:rsid w:val="00F726ED"/>
    <w:rsid w:val="00F73231"/>
    <w:rsid w:val="00F73638"/>
    <w:rsid w:val="00F73F5D"/>
    <w:rsid w:val="00F74722"/>
    <w:rsid w:val="00F747D6"/>
    <w:rsid w:val="00F757E9"/>
    <w:rsid w:val="00F76337"/>
    <w:rsid w:val="00F765B1"/>
    <w:rsid w:val="00F775AC"/>
    <w:rsid w:val="00F7775B"/>
    <w:rsid w:val="00F777A4"/>
    <w:rsid w:val="00F77D86"/>
    <w:rsid w:val="00F81345"/>
    <w:rsid w:val="00F81F25"/>
    <w:rsid w:val="00F8212F"/>
    <w:rsid w:val="00F82190"/>
    <w:rsid w:val="00F844CD"/>
    <w:rsid w:val="00F84AE3"/>
    <w:rsid w:val="00F856B8"/>
    <w:rsid w:val="00F8629D"/>
    <w:rsid w:val="00F86C1D"/>
    <w:rsid w:val="00F876C3"/>
    <w:rsid w:val="00F8792F"/>
    <w:rsid w:val="00F87BBD"/>
    <w:rsid w:val="00F87BE1"/>
    <w:rsid w:val="00F9106E"/>
    <w:rsid w:val="00F9214D"/>
    <w:rsid w:val="00F92355"/>
    <w:rsid w:val="00F926D0"/>
    <w:rsid w:val="00F927C6"/>
    <w:rsid w:val="00F92DB3"/>
    <w:rsid w:val="00F9372A"/>
    <w:rsid w:val="00F93963"/>
    <w:rsid w:val="00F93A56"/>
    <w:rsid w:val="00F93B9F"/>
    <w:rsid w:val="00F94291"/>
    <w:rsid w:val="00F94CB5"/>
    <w:rsid w:val="00F94E87"/>
    <w:rsid w:val="00F94F27"/>
    <w:rsid w:val="00F95409"/>
    <w:rsid w:val="00F95664"/>
    <w:rsid w:val="00F95B51"/>
    <w:rsid w:val="00FA073C"/>
    <w:rsid w:val="00FA0811"/>
    <w:rsid w:val="00FA11F0"/>
    <w:rsid w:val="00FA1A42"/>
    <w:rsid w:val="00FA298A"/>
    <w:rsid w:val="00FA321F"/>
    <w:rsid w:val="00FA4098"/>
    <w:rsid w:val="00FA51E8"/>
    <w:rsid w:val="00FA56B8"/>
    <w:rsid w:val="00FA5B66"/>
    <w:rsid w:val="00FA735A"/>
    <w:rsid w:val="00FA7584"/>
    <w:rsid w:val="00FB0942"/>
    <w:rsid w:val="00FB0B9C"/>
    <w:rsid w:val="00FB1879"/>
    <w:rsid w:val="00FB1A30"/>
    <w:rsid w:val="00FB2B77"/>
    <w:rsid w:val="00FB30EB"/>
    <w:rsid w:val="00FB331D"/>
    <w:rsid w:val="00FB3B15"/>
    <w:rsid w:val="00FB3EDB"/>
    <w:rsid w:val="00FB602C"/>
    <w:rsid w:val="00FB6CC0"/>
    <w:rsid w:val="00FB7089"/>
    <w:rsid w:val="00FB759B"/>
    <w:rsid w:val="00FB7982"/>
    <w:rsid w:val="00FC022F"/>
    <w:rsid w:val="00FC0734"/>
    <w:rsid w:val="00FC0FC5"/>
    <w:rsid w:val="00FC1DBC"/>
    <w:rsid w:val="00FC2BA5"/>
    <w:rsid w:val="00FC2C93"/>
    <w:rsid w:val="00FC2E9C"/>
    <w:rsid w:val="00FC38B9"/>
    <w:rsid w:val="00FC4125"/>
    <w:rsid w:val="00FC4730"/>
    <w:rsid w:val="00FC5148"/>
    <w:rsid w:val="00FC5299"/>
    <w:rsid w:val="00FC588F"/>
    <w:rsid w:val="00FC5BD5"/>
    <w:rsid w:val="00FC5D3E"/>
    <w:rsid w:val="00FC5FD9"/>
    <w:rsid w:val="00FC6879"/>
    <w:rsid w:val="00FC7339"/>
    <w:rsid w:val="00FC76D2"/>
    <w:rsid w:val="00FD05D7"/>
    <w:rsid w:val="00FD0EA7"/>
    <w:rsid w:val="00FD1368"/>
    <w:rsid w:val="00FD1428"/>
    <w:rsid w:val="00FD172C"/>
    <w:rsid w:val="00FD1EE8"/>
    <w:rsid w:val="00FD2728"/>
    <w:rsid w:val="00FD28AD"/>
    <w:rsid w:val="00FD35C6"/>
    <w:rsid w:val="00FD3D31"/>
    <w:rsid w:val="00FD43C2"/>
    <w:rsid w:val="00FD525E"/>
    <w:rsid w:val="00FD57CC"/>
    <w:rsid w:val="00FD5851"/>
    <w:rsid w:val="00FD6283"/>
    <w:rsid w:val="00FD6523"/>
    <w:rsid w:val="00FD6EC9"/>
    <w:rsid w:val="00FD71CC"/>
    <w:rsid w:val="00FD7711"/>
    <w:rsid w:val="00FD7AF5"/>
    <w:rsid w:val="00FE0355"/>
    <w:rsid w:val="00FE0B68"/>
    <w:rsid w:val="00FE17AD"/>
    <w:rsid w:val="00FE1B30"/>
    <w:rsid w:val="00FE3968"/>
    <w:rsid w:val="00FE3AF4"/>
    <w:rsid w:val="00FE4655"/>
    <w:rsid w:val="00FE49B0"/>
    <w:rsid w:val="00FE4B52"/>
    <w:rsid w:val="00FE6B77"/>
    <w:rsid w:val="00FE7B44"/>
    <w:rsid w:val="00FF1226"/>
    <w:rsid w:val="00FF1F9D"/>
    <w:rsid w:val="00FF25AD"/>
    <w:rsid w:val="00FF2F4F"/>
    <w:rsid w:val="00FF3102"/>
    <w:rsid w:val="00FF52F4"/>
    <w:rsid w:val="00FF5573"/>
    <w:rsid w:val="00FF5A7A"/>
    <w:rsid w:val="00FF5E59"/>
    <w:rsid w:val="00FF6CED"/>
    <w:rsid w:val="00FF76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5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qFormat/>
    <w:rsid w:val="00967855"/>
    <w:pPr>
      <w:numPr>
        <w:numId w:val="1"/>
      </w:numPr>
      <w:tabs>
        <w:tab w:val="clear" w:pos="720"/>
      </w:tabs>
      <w:spacing w:before="180" w:after="180"/>
    </w:pPr>
  </w:style>
  <w:style w:type="paragraph" w:customStyle="1" w:styleId="Quote1">
    <w:name w:val="Quote1"/>
    <w:link w:val="Quote1Char"/>
    <w:qFormat/>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uiPriority w:val="99"/>
    <w:unhideWhenUsed/>
    <w:rsid w:val="00077768"/>
    <w:pPr>
      <w:spacing w:line="240" w:lineRule="auto"/>
    </w:pPr>
    <w:rPr>
      <w:sz w:val="20"/>
    </w:rPr>
  </w:style>
  <w:style w:type="character" w:customStyle="1" w:styleId="FootnoteTextChar">
    <w:name w:val="Footnote Text Char"/>
    <w:basedOn w:val="DefaultParagraphFont"/>
    <w:link w:val="FootnoteText"/>
    <w:uiPriority w:val="99"/>
    <w:rsid w:val="00077768"/>
    <w:rPr>
      <w:lang w:eastAsia="en-US"/>
    </w:rPr>
  </w:style>
  <w:style w:type="character" w:styleId="FootnoteReference">
    <w:name w:val="footnote reference"/>
    <w:basedOn w:val="DefaultParagraphFont"/>
    <w:uiPriority w:val="99"/>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numbering" w:customStyle="1" w:styleId="FCListNo1">
    <w:name w:val="FCListNo1"/>
    <w:uiPriority w:val="99"/>
    <w:rsid w:val="005C5027"/>
  </w:style>
  <w:style w:type="numbering" w:customStyle="1" w:styleId="FCOrders1">
    <w:name w:val="FCOrders1"/>
    <w:uiPriority w:val="99"/>
    <w:rsid w:val="005C5027"/>
  </w:style>
  <w:style w:type="paragraph" w:customStyle="1" w:styleId="Default">
    <w:name w:val="Default"/>
    <w:rsid w:val="00F73F5D"/>
    <w:pPr>
      <w:autoSpaceDE w:val="0"/>
      <w:autoSpaceDN w:val="0"/>
      <w:adjustRightInd w:val="0"/>
    </w:pPr>
    <w:rPr>
      <w:color w:val="000000"/>
      <w:sz w:val="24"/>
      <w:szCs w:val="24"/>
    </w:rPr>
  </w:style>
  <w:style w:type="paragraph" w:styleId="Revision">
    <w:name w:val="Revision"/>
    <w:hidden/>
    <w:uiPriority w:val="99"/>
    <w:semiHidden/>
    <w:rsid w:val="007E6CCD"/>
    <w:rPr>
      <w:sz w:val="24"/>
      <w:lang w:eastAsia="en-US"/>
    </w:rPr>
  </w:style>
  <w:style w:type="character" w:customStyle="1" w:styleId="Heading5Char">
    <w:name w:val="Heading 5 Char"/>
    <w:basedOn w:val="DefaultParagraphFont"/>
    <w:link w:val="Heading5"/>
    <w:rsid w:val="00004AAB"/>
    <w:rPr>
      <w:b/>
      <w:kern w:val="28"/>
      <w:sz w:val="24"/>
      <w:lang w:eastAsia="en-US"/>
    </w:rPr>
  </w:style>
  <w:style w:type="character" w:customStyle="1" w:styleId="Heading7Char">
    <w:name w:val="Heading 7 Char"/>
    <w:basedOn w:val="DefaultParagraphFont"/>
    <w:link w:val="Heading7"/>
    <w:rsid w:val="00004AAB"/>
    <w:rPr>
      <w:b/>
      <w:sz w:val="24"/>
      <w:lang w:eastAsia="en-US"/>
    </w:rPr>
  </w:style>
  <w:style w:type="character" w:customStyle="1" w:styleId="CommentTextChar">
    <w:name w:val="Comment Text Char"/>
    <w:basedOn w:val="DefaultParagraphFont"/>
    <w:link w:val="CommentText"/>
    <w:rsid w:val="00004AAB"/>
    <w:rPr>
      <w:lang w:eastAsia="en-US"/>
    </w:rPr>
  </w:style>
  <w:style w:type="character" w:customStyle="1" w:styleId="Quote1Char">
    <w:name w:val="Quote1 Char"/>
    <w:basedOn w:val="DefaultParagraphFont"/>
    <w:link w:val="Quote1"/>
    <w:locked/>
    <w:rsid w:val="00004AAB"/>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652971">
      <w:bodyDiv w:val="1"/>
      <w:marLeft w:val="0"/>
      <w:marRight w:val="0"/>
      <w:marTop w:val="0"/>
      <w:marBottom w:val="0"/>
      <w:divBdr>
        <w:top w:val="none" w:sz="0" w:space="0" w:color="auto"/>
        <w:left w:val="none" w:sz="0" w:space="0" w:color="auto"/>
        <w:bottom w:val="none" w:sz="0" w:space="0" w:color="auto"/>
        <w:right w:val="none" w:sz="0" w:space="0" w:color="auto"/>
      </w:divBdr>
    </w:div>
    <w:div w:id="1849058831">
      <w:bodyDiv w:val="1"/>
      <w:marLeft w:val="0"/>
      <w:marRight w:val="0"/>
      <w:marTop w:val="0"/>
      <w:marBottom w:val="0"/>
      <w:divBdr>
        <w:top w:val="none" w:sz="0" w:space="0" w:color="auto"/>
        <w:left w:val="none" w:sz="0" w:space="0" w:color="auto"/>
        <w:bottom w:val="none" w:sz="0" w:space="0" w:color="auto"/>
        <w:right w:val="none" w:sz="0" w:space="0" w:color="auto"/>
      </w:divBdr>
      <w:divsChild>
        <w:div w:id="73624795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1B80D830241FF926E72DD9881B5C7"/>
        <w:category>
          <w:name w:val="General"/>
          <w:gallery w:val="placeholder"/>
        </w:category>
        <w:types>
          <w:type w:val="bbPlcHdr"/>
        </w:types>
        <w:behaviors>
          <w:behavior w:val="content"/>
        </w:behaviors>
        <w:guid w:val="{621D5723-4C3E-43BD-9340-F08DBB681273}"/>
      </w:docPartPr>
      <w:docPartBody>
        <w:p w:rsidR="00C82837" w:rsidRDefault="00C82837">
          <w:pPr>
            <w:pStyle w:val="C151B80D830241FF926E72DD9881B5C7"/>
          </w:pPr>
          <w:r>
            <w:rPr>
              <w:rStyle w:val="PlaceholderText"/>
            </w:rPr>
            <w:t>MNC Text</w:t>
          </w:r>
        </w:p>
      </w:docPartBody>
    </w:docPart>
    <w:docPart>
      <w:docPartPr>
        <w:name w:val="C39A74A747144913B9339A04F76FE612"/>
        <w:category>
          <w:name w:val="General"/>
          <w:gallery w:val="placeholder"/>
        </w:category>
        <w:types>
          <w:type w:val="bbPlcHdr"/>
        </w:types>
        <w:behaviors>
          <w:behavior w:val="content"/>
        </w:behaviors>
        <w:guid w:val="{E7A22828-13C3-4519-9A8E-BBEA567DF63B}"/>
      </w:docPartPr>
      <w:docPartBody>
        <w:p w:rsidR="00C82837" w:rsidRDefault="00C82837">
          <w:pPr>
            <w:pStyle w:val="C39A74A747144913B9339A04F76FE612"/>
          </w:pPr>
          <w:r w:rsidRPr="005C44BE">
            <w:rPr>
              <w:rStyle w:val="PlaceholderText"/>
            </w:rPr>
            <w:t>Click or tap here to enter text.</w:t>
          </w:r>
        </w:p>
      </w:docPartBody>
    </w:docPart>
    <w:docPart>
      <w:docPartPr>
        <w:name w:val="C7DC2B53506E41C1A317112056B32AC9"/>
        <w:category>
          <w:name w:val="General"/>
          <w:gallery w:val="placeholder"/>
        </w:category>
        <w:types>
          <w:type w:val="bbPlcHdr"/>
        </w:types>
        <w:behaviors>
          <w:behavior w:val="content"/>
        </w:behaviors>
        <w:guid w:val="{CDEEFC64-2F21-4FE9-AF5C-ACAFA818DC68}"/>
      </w:docPartPr>
      <w:docPartBody>
        <w:p w:rsidR="00C82837" w:rsidRDefault="00C82837">
          <w:pPr>
            <w:pStyle w:val="C7DC2B53506E41C1A317112056B32AC9"/>
          </w:pPr>
          <w:r w:rsidRPr="005C44BE">
            <w:rPr>
              <w:rStyle w:val="PlaceholderText"/>
            </w:rPr>
            <w:t>Click or tap here to enter text.</w:t>
          </w:r>
        </w:p>
      </w:docPartBody>
    </w:docPart>
    <w:docPart>
      <w:docPartPr>
        <w:name w:val="036C3C395CA6421297CA3DBEA11A4D5B"/>
        <w:category>
          <w:name w:val="General"/>
          <w:gallery w:val="placeholder"/>
        </w:category>
        <w:types>
          <w:type w:val="bbPlcHdr"/>
        </w:types>
        <w:behaviors>
          <w:behavior w:val="content"/>
        </w:behaviors>
        <w:guid w:val="{958E4176-B93D-48F1-A2F2-0D786D223CB4}"/>
      </w:docPartPr>
      <w:docPartBody>
        <w:p w:rsidR="00C82837" w:rsidRDefault="00C82837">
          <w:pPr>
            <w:pStyle w:val="036C3C395CA6421297CA3DBEA11A4D5B"/>
          </w:pPr>
          <w:r w:rsidRPr="005C44BE">
            <w:rPr>
              <w:rStyle w:val="PlaceholderText"/>
            </w:rPr>
            <w:t>Click or tap here to enter text.</w:t>
          </w:r>
        </w:p>
      </w:docPartBody>
    </w:docPart>
    <w:docPart>
      <w:docPartPr>
        <w:name w:val="C89A1CEC74934F519046F7AD43268E96"/>
        <w:category>
          <w:name w:val="General"/>
          <w:gallery w:val="placeholder"/>
        </w:category>
        <w:types>
          <w:type w:val="bbPlcHdr"/>
        </w:types>
        <w:behaviors>
          <w:behavior w:val="content"/>
        </w:behaviors>
        <w:guid w:val="{EADB4A69-B4CE-4B32-A6EC-DCE377E57EC2}"/>
      </w:docPartPr>
      <w:docPartBody>
        <w:p w:rsidR="00C82837" w:rsidRDefault="00C82837">
          <w:pPr>
            <w:pStyle w:val="C89A1CEC74934F519046F7AD43268E96"/>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96"/>
    <w:rsid w:val="00042009"/>
    <w:rsid w:val="00314996"/>
    <w:rsid w:val="00372706"/>
    <w:rsid w:val="004608D0"/>
    <w:rsid w:val="004A7715"/>
    <w:rsid w:val="00664C2E"/>
    <w:rsid w:val="00745529"/>
    <w:rsid w:val="007A2455"/>
    <w:rsid w:val="007C6A72"/>
    <w:rsid w:val="007E1A31"/>
    <w:rsid w:val="009302F3"/>
    <w:rsid w:val="00A64EA2"/>
    <w:rsid w:val="00C82837"/>
    <w:rsid w:val="00CA2D23"/>
    <w:rsid w:val="00DD24BF"/>
    <w:rsid w:val="00DD5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51B80D830241FF926E72DD9881B5C7">
    <w:name w:val="C151B80D830241FF926E72DD9881B5C7"/>
  </w:style>
  <w:style w:type="paragraph" w:customStyle="1" w:styleId="C39A74A747144913B9339A04F76FE612">
    <w:name w:val="C39A74A747144913B9339A04F76FE612"/>
  </w:style>
  <w:style w:type="paragraph" w:customStyle="1" w:styleId="C7DC2B53506E41C1A317112056B32AC9">
    <w:name w:val="C7DC2B53506E41C1A317112056B32AC9"/>
  </w:style>
  <w:style w:type="paragraph" w:customStyle="1" w:styleId="036C3C395CA6421297CA3DBEA11A4D5B">
    <w:name w:val="036C3C395CA6421297CA3DBEA11A4D5B"/>
  </w:style>
  <w:style w:type="paragraph" w:customStyle="1" w:styleId="C89A1CEC74934F519046F7AD43268E96">
    <w:name w:val="C89A1CEC74934F519046F7AD43268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Commissioner of Taxation v Rawson Finances Pty Ltd (Costs) [2024] FCA 19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36</Pages>
  <Words>14424</Words>
  <Characters>74372</Characters>
  <Application>Microsoft Office Word</Application>
  <DocSecurity>0</DocSecurity>
  <PresentationFormat/>
  <Lines>1352</Lines>
  <Paragraphs>428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Commissioner of Taxation v Rawson Finances Pty Ltd (Costs) [2024] FCA 19</vt:lpstr>
    </vt:vector>
  </TitlesOfParts>
  <Manager/>
  <Company/>
  <LinksUpToDate>false</LinksUpToDate>
  <CharactersWithSpaces>88368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2024-01-19T03:44:00Z</cp:lastPrinted>
  <dcterms:created xsi:type="dcterms:W3CDTF">2024-01-19T05:09:00Z</dcterms:created>
  <dcterms:modified xsi:type="dcterms:W3CDTF">2024-01-19T05:36:00Z</dcterms:modified>
  <cp:category/>
  <cp:contentStatus/>
  <dc:language/>
  <cp:version/>
</cp:coreProperties>
</file>