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B7FF" w14:textId="610D785D" w:rsidR="00395B24" w:rsidRDefault="00784771" w:rsidP="00A22932">
      <w:pPr>
        <w:pStyle w:val="CourtTitle"/>
      </w:pPr>
      <w:r>
        <w:fldChar w:fldCharType="begin"/>
      </w:r>
      <w:r>
        <w:instrText xml:space="preserve"> DOCPROPERTY  Court  \* MERGEFORMAT </w:instrText>
      </w:r>
      <w:r>
        <w:fldChar w:fldCharType="separate"/>
      </w:r>
      <w:r w:rsidR="001A78C6">
        <w:t>Federal Court of Australia</w:t>
      </w:r>
      <w:r>
        <w:fldChar w:fldCharType="end"/>
      </w:r>
    </w:p>
    <w:p w14:paraId="16B7D50F" w14:textId="77777777" w:rsidR="004D7950" w:rsidRDefault="004D7950">
      <w:pPr>
        <w:pStyle w:val="NormalHeadings"/>
        <w:jc w:val="center"/>
        <w:rPr>
          <w:sz w:val="32"/>
        </w:rPr>
      </w:pPr>
    </w:p>
    <w:bookmarkStart w:id="0" w:name="MNC"/>
    <w:p w14:paraId="25755F64" w14:textId="6F13977E" w:rsidR="00374CC4" w:rsidRDefault="006861E4" w:rsidP="001A2B40">
      <w:pPr>
        <w:pStyle w:val="MNC"/>
      </w:pPr>
      <w:sdt>
        <w:sdtPr>
          <w:alias w:val="MNC"/>
          <w:tag w:val="MNC"/>
          <w:id w:val="343289786"/>
          <w:lock w:val="sdtLocked"/>
          <w:placeholder>
            <w:docPart w:val="C646E634C8DB48F5A61061F81581B602"/>
          </w:placeholder>
          <w:dataBinding w:prefixMappings="xmlns:ns0='http://schemas.globalmacros.com/FCA'" w:xpath="/ns0:root[1]/ns0:Name[1]" w:storeItemID="{687E7CCB-4AA5-44E7-B148-17BA2B6F57C0}"/>
          <w:text w:multiLine="1"/>
        </w:sdtPr>
        <w:sdtEndPr/>
        <w:sdtContent>
          <w:r w:rsidR="001A78C6">
            <w:t xml:space="preserve">Winn v Thompson [2024] FCA </w:t>
          </w:r>
          <w:r w:rsidR="00755A15">
            <w:t>358</w:t>
          </w:r>
        </w:sdtContent>
      </w:sdt>
      <w:bookmarkEnd w:id="0"/>
    </w:p>
    <w:tbl>
      <w:tblPr>
        <w:tblW w:w="9250" w:type="dxa"/>
        <w:tblLayout w:type="fixed"/>
        <w:tblLook w:val="01E0" w:firstRow="1" w:lastRow="1" w:firstColumn="1" w:lastColumn="1" w:noHBand="0" w:noVBand="0"/>
        <w:tblCaption w:val="Cover Table"/>
        <w:tblDescription w:val="Cover Table"/>
      </w:tblPr>
      <w:tblGrid>
        <w:gridCol w:w="3261"/>
        <w:gridCol w:w="5989"/>
      </w:tblGrid>
      <w:tr w:rsidR="00395B24" w14:paraId="49D82614" w14:textId="77777777" w:rsidTr="00FC4C81">
        <w:tc>
          <w:tcPr>
            <w:tcW w:w="3261" w:type="dxa"/>
            <w:shd w:val="clear" w:color="auto" w:fill="auto"/>
          </w:tcPr>
          <w:p w14:paraId="490BD635" w14:textId="34C2DE4C" w:rsidR="00395B24" w:rsidRDefault="002C7385" w:rsidP="00663878">
            <w:pPr>
              <w:pStyle w:val="Normal1linespace"/>
              <w:widowControl w:val="0"/>
              <w:jc w:val="left"/>
            </w:pPr>
            <w:r>
              <w:t>File number:</w:t>
            </w:r>
          </w:p>
        </w:tc>
        <w:tc>
          <w:tcPr>
            <w:tcW w:w="5989" w:type="dxa"/>
            <w:shd w:val="clear" w:color="auto" w:fill="auto"/>
          </w:tcPr>
          <w:p w14:paraId="66258E7C" w14:textId="5A7F22BE" w:rsidR="00395B24" w:rsidRPr="001A78C6" w:rsidRDefault="00784771" w:rsidP="001A78C6">
            <w:pPr>
              <w:pStyle w:val="Normal1linespace"/>
              <w:jc w:val="left"/>
            </w:pPr>
            <w:fldSimple w:instr=" REF  FileNo  \* MERGEFORMAT " w:fldLock="1">
              <w:r w:rsidR="001A78C6" w:rsidRPr="001A78C6">
                <w:t>WAD 104 of 2023</w:t>
              </w:r>
            </w:fldSimple>
          </w:p>
        </w:tc>
      </w:tr>
      <w:tr w:rsidR="00395B24" w14:paraId="6B5E75DB" w14:textId="77777777" w:rsidTr="00FC4C81">
        <w:tc>
          <w:tcPr>
            <w:tcW w:w="3261" w:type="dxa"/>
            <w:shd w:val="clear" w:color="auto" w:fill="auto"/>
          </w:tcPr>
          <w:p w14:paraId="0439B0D9" w14:textId="77777777" w:rsidR="00395B24" w:rsidRDefault="00395B24" w:rsidP="00663878">
            <w:pPr>
              <w:pStyle w:val="Normal1linespace"/>
              <w:widowControl w:val="0"/>
              <w:jc w:val="left"/>
            </w:pPr>
          </w:p>
        </w:tc>
        <w:tc>
          <w:tcPr>
            <w:tcW w:w="5989" w:type="dxa"/>
            <w:shd w:val="clear" w:color="auto" w:fill="auto"/>
          </w:tcPr>
          <w:p w14:paraId="344237AB" w14:textId="77777777" w:rsidR="00395B24" w:rsidRDefault="00395B24" w:rsidP="00663878">
            <w:pPr>
              <w:pStyle w:val="Normal1linespace"/>
              <w:widowControl w:val="0"/>
              <w:jc w:val="left"/>
            </w:pPr>
          </w:p>
        </w:tc>
      </w:tr>
      <w:tr w:rsidR="00395B24" w14:paraId="50C13694" w14:textId="77777777" w:rsidTr="00FC4C81">
        <w:tc>
          <w:tcPr>
            <w:tcW w:w="3261" w:type="dxa"/>
            <w:shd w:val="clear" w:color="auto" w:fill="auto"/>
          </w:tcPr>
          <w:p w14:paraId="21DC517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C2EF6DD" w14:textId="04A399DB" w:rsidR="00395B24" w:rsidRDefault="002C7385" w:rsidP="00663878">
            <w:pPr>
              <w:pStyle w:val="Normal1linespace"/>
              <w:widowControl w:val="0"/>
              <w:jc w:val="left"/>
              <w:rPr>
                <w:b/>
              </w:rPr>
            </w:pPr>
            <w:r w:rsidRPr="001A78C6">
              <w:rPr>
                <w:b/>
              </w:rPr>
              <w:fldChar w:fldCharType="begin" w:fldLock="1"/>
            </w:r>
            <w:r w:rsidRPr="001A78C6">
              <w:rPr>
                <w:b/>
              </w:rPr>
              <w:instrText xml:space="preserve"> REF  Judge  \* MERGEFORMAT </w:instrText>
            </w:r>
            <w:r w:rsidRPr="001A78C6">
              <w:rPr>
                <w:b/>
              </w:rPr>
              <w:fldChar w:fldCharType="separate"/>
            </w:r>
            <w:r w:rsidR="001A78C6" w:rsidRPr="001A78C6">
              <w:rPr>
                <w:b/>
                <w:caps/>
                <w:szCs w:val="24"/>
              </w:rPr>
              <w:t>JACKSON J</w:t>
            </w:r>
            <w:r w:rsidRPr="001A78C6">
              <w:rPr>
                <w:b/>
              </w:rPr>
              <w:fldChar w:fldCharType="end"/>
            </w:r>
          </w:p>
        </w:tc>
      </w:tr>
      <w:tr w:rsidR="00395B24" w14:paraId="051D04DD" w14:textId="77777777" w:rsidTr="00FC4C81">
        <w:tc>
          <w:tcPr>
            <w:tcW w:w="3261" w:type="dxa"/>
            <w:shd w:val="clear" w:color="auto" w:fill="auto"/>
          </w:tcPr>
          <w:p w14:paraId="1F57B1BF" w14:textId="77777777" w:rsidR="00395B24" w:rsidRDefault="00395B24" w:rsidP="00663878">
            <w:pPr>
              <w:pStyle w:val="Normal1linespace"/>
              <w:widowControl w:val="0"/>
              <w:jc w:val="left"/>
            </w:pPr>
          </w:p>
        </w:tc>
        <w:tc>
          <w:tcPr>
            <w:tcW w:w="5989" w:type="dxa"/>
            <w:shd w:val="clear" w:color="auto" w:fill="auto"/>
          </w:tcPr>
          <w:p w14:paraId="024AA809" w14:textId="77777777" w:rsidR="00395B24" w:rsidRDefault="00395B24" w:rsidP="00663878">
            <w:pPr>
              <w:pStyle w:val="Normal1linespace"/>
              <w:widowControl w:val="0"/>
              <w:jc w:val="left"/>
            </w:pPr>
          </w:p>
        </w:tc>
      </w:tr>
      <w:tr w:rsidR="00395B24" w14:paraId="7DA08CA0" w14:textId="77777777" w:rsidTr="00FC4C81">
        <w:tc>
          <w:tcPr>
            <w:tcW w:w="3261" w:type="dxa"/>
            <w:shd w:val="clear" w:color="auto" w:fill="auto"/>
          </w:tcPr>
          <w:p w14:paraId="4550507A" w14:textId="77777777" w:rsidR="00395B24" w:rsidRDefault="002C7385" w:rsidP="00663878">
            <w:pPr>
              <w:pStyle w:val="Normal1linespace"/>
              <w:widowControl w:val="0"/>
              <w:jc w:val="left"/>
            </w:pPr>
            <w:r>
              <w:t>Date of judgment:</w:t>
            </w:r>
          </w:p>
        </w:tc>
        <w:tc>
          <w:tcPr>
            <w:tcW w:w="5989" w:type="dxa"/>
            <w:shd w:val="clear" w:color="auto" w:fill="auto"/>
          </w:tcPr>
          <w:p w14:paraId="352C4003" w14:textId="62A27066" w:rsidR="00395B24" w:rsidRDefault="00B06DA2" w:rsidP="00663878">
            <w:pPr>
              <w:pStyle w:val="Normal1linespace"/>
              <w:widowControl w:val="0"/>
              <w:jc w:val="left"/>
            </w:pPr>
            <w:bookmarkStart w:id="1" w:name="JudgmentDate"/>
            <w:r>
              <w:t xml:space="preserve">12 </w:t>
            </w:r>
            <w:r w:rsidR="005D45DD">
              <w:t>April</w:t>
            </w:r>
            <w:r w:rsidR="001A78C6">
              <w:t xml:space="preserve"> 2024</w:t>
            </w:r>
            <w:bookmarkEnd w:id="1"/>
          </w:p>
        </w:tc>
      </w:tr>
      <w:tr w:rsidR="00395B24" w14:paraId="7B686B2D" w14:textId="77777777" w:rsidTr="00FC4C81">
        <w:tc>
          <w:tcPr>
            <w:tcW w:w="3261" w:type="dxa"/>
            <w:shd w:val="clear" w:color="auto" w:fill="auto"/>
          </w:tcPr>
          <w:p w14:paraId="133FD8A7" w14:textId="77777777" w:rsidR="00395B24" w:rsidRDefault="00395B24" w:rsidP="00663878">
            <w:pPr>
              <w:pStyle w:val="Normal1linespace"/>
              <w:widowControl w:val="0"/>
              <w:jc w:val="left"/>
            </w:pPr>
          </w:p>
        </w:tc>
        <w:tc>
          <w:tcPr>
            <w:tcW w:w="5989" w:type="dxa"/>
            <w:shd w:val="clear" w:color="auto" w:fill="auto"/>
          </w:tcPr>
          <w:p w14:paraId="13674255" w14:textId="77777777" w:rsidR="00395B24" w:rsidRDefault="00395B24" w:rsidP="00663878">
            <w:pPr>
              <w:pStyle w:val="Normal1linespace"/>
              <w:widowControl w:val="0"/>
              <w:jc w:val="left"/>
            </w:pPr>
          </w:p>
        </w:tc>
      </w:tr>
      <w:tr w:rsidR="00395B24" w14:paraId="6399B98D" w14:textId="77777777" w:rsidTr="00FC4C81">
        <w:tc>
          <w:tcPr>
            <w:tcW w:w="3261" w:type="dxa"/>
            <w:shd w:val="clear" w:color="auto" w:fill="auto"/>
          </w:tcPr>
          <w:p w14:paraId="6FE4954E" w14:textId="77777777" w:rsidR="00395B24" w:rsidRDefault="002C7385" w:rsidP="00663878">
            <w:pPr>
              <w:pStyle w:val="Normal1linespace"/>
              <w:widowControl w:val="0"/>
              <w:jc w:val="left"/>
            </w:pPr>
            <w:r>
              <w:t>Catchwords:</w:t>
            </w:r>
          </w:p>
        </w:tc>
        <w:tc>
          <w:tcPr>
            <w:tcW w:w="5989" w:type="dxa"/>
            <w:shd w:val="clear" w:color="auto" w:fill="auto"/>
          </w:tcPr>
          <w:p w14:paraId="2F40CA32" w14:textId="0CFA192A" w:rsidR="00395B24" w:rsidRDefault="00F51ABB" w:rsidP="00755A15">
            <w:pPr>
              <w:pStyle w:val="Normal1linespace"/>
              <w:widowControl w:val="0"/>
              <w:spacing w:after="60"/>
              <w:jc w:val="left"/>
            </w:pPr>
            <w:bookmarkStart w:id="2" w:name="Catchwords"/>
            <w:r w:rsidRPr="00F51ABB">
              <w:rPr>
                <w:b/>
                <w:bCs/>
              </w:rPr>
              <w:t>DEFAMATION</w:t>
            </w:r>
            <w:r w:rsidR="001A78C6">
              <w:t xml:space="preserve"> - </w:t>
            </w:r>
            <w:r w:rsidR="000A374B">
              <w:t xml:space="preserve">defence of justification - </w:t>
            </w:r>
            <w:r w:rsidR="00065B5D">
              <w:t xml:space="preserve">whether </w:t>
            </w:r>
            <w:r w:rsidR="00B06DA2">
              <w:t xml:space="preserve">proposed amended defence </w:t>
            </w:r>
            <w:r w:rsidR="000A374B">
              <w:t>fail</w:t>
            </w:r>
            <w:r w:rsidR="00B06DA2">
              <w:t>s</w:t>
            </w:r>
            <w:r w:rsidR="000A374B">
              <w:t xml:space="preserve"> to disclose a reasonable defence - whether </w:t>
            </w:r>
            <w:r w:rsidR="00B06DA2">
              <w:t xml:space="preserve">proposed amended defence is </w:t>
            </w:r>
            <w:r w:rsidR="000A374B">
              <w:t xml:space="preserve">evasive, ambiguous, or likely to cause prejudice, </w:t>
            </w:r>
            <w:proofErr w:type="gramStart"/>
            <w:r w:rsidR="000A374B">
              <w:t>embarrassment</w:t>
            </w:r>
            <w:proofErr w:type="gramEnd"/>
            <w:r w:rsidR="000A374B">
              <w:t xml:space="preserve"> or delay in the proceeding - </w:t>
            </w:r>
            <w:r w:rsidR="003952EF">
              <w:t xml:space="preserve">leave to </w:t>
            </w:r>
            <w:r w:rsidR="00B06DA2">
              <w:t xml:space="preserve">rely on proposed </w:t>
            </w:r>
            <w:r w:rsidR="00666508">
              <w:t xml:space="preserve">amended defence </w:t>
            </w:r>
            <w:r w:rsidR="00AA3E41">
              <w:t xml:space="preserve">refused </w:t>
            </w:r>
            <w:r w:rsidR="00666508">
              <w:t xml:space="preserve">- </w:t>
            </w:r>
            <w:r w:rsidR="00793965">
              <w:t>respondents given leave to replead</w:t>
            </w:r>
            <w:bookmarkEnd w:id="2"/>
          </w:p>
        </w:tc>
      </w:tr>
      <w:tr w:rsidR="00395B24" w14:paraId="2887C468" w14:textId="77777777" w:rsidTr="00FC4C81">
        <w:tc>
          <w:tcPr>
            <w:tcW w:w="3261" w:type="dxa"/>
            <w:shd w:val="clear" w:color="auto" w:fill="auto"/>
          </w:tcPr>
          <w:p w14:paraId="1B704AD0" w14:textId="77777777" w:rsidR="00395B24" w:rsidRDefault="00395B24" w:rsidP="00663878">
            <w:pPr>
              <w:pStyle w:val="Normal1linespace"/>
              <w:widowControl w:val="0"/>
              <w:jc w:val="left"/>
            </w:pPr>
          </w:p>
        </w:tc>
        <w:tc>
          <w:tcPr>
            <w:tcW w:w="5989" w:type="dxa"/>
            <w:shd w:val="clear" w:color="auto" w:fill="auto"/>
          </w:tcPr>
          <w:p w14:paraId="3DF2D951" w14:textId="77777777" w:rsidR="00395B24" w:rsidRDefault="00395B24" w:rsidP="00663878">
            <w:pPr>
              <w:pStyle w:val="Normal1linespace"/>
              <w:widowControl w:val="0"/>
              <w:jc w:val="left"/>
            </w:pPr>
          </w:p>
        </w:tc>
      </w:tr>
      <w:tr w:rsidR="00395B24" w14:paraId="58FF816A" w14:textId="77777777" w:rsidTr="00FC4C81">
        <w:tc>
          <w:tcPr>
            <w:tcW w:w="3261" w:type="dxa"/>
            <w:shd w:val="clear" w:color="auto" w:fill="auto"/>
          </w:tcPr>
          <w:p w14:paraId="7B86844C" w14:textId="167C0BD8" w:rsidR="00395B24" w:rsidRDefault="002C7385" w:rsidP="00663878">
            <w:pPr>
              <w:pStyle w:val="Normal1linespace"/>
              <w:widowControl w:val="0"/>
              <w:jc w:val="left"/>
            </w:pPr>
            <w:r>
              <w:t>Legislation:</w:t>
            </w:r>
          </w:p>
        </w:tc>
        <w:tc>
          <w:tcPr>
            <w:tcW w:w="5989" w:type="dxa"/>
            <w:shd w:val="clear" w:color="auto" w:fill="auto"/>
          </w:tcPr>
          <w:p w14:paraId="751DE6E2" w14:textId="172F5215" w:rsidR="00D41D7D" w:rsidRDefault="00D41D7D" w:rsidP="00FB237E">
            <w:pPr>
              <w:pStyle w:val="CasesLegislationAppealFrom"/>
              <w:spacing w:after="60"/>
              <w:rPr>
                <w:lang w:val="en-GB"/>
              </w:rPr>
            </w:pPr>
            <w:bookmarkStart w:id="3" w:name="Legislation"/>
            <w:r w:rsidRPr="00FB237E">
              <w:rPr>
                <w:i/>
                <w:iCs/>
                <w:lang w:val="en-GB"/>
              </w:rPr>
              <w:t>Federal Court of Australia Act 1976</w:t>
            </w:r>
            <w:r w:rsidRPr="00FB237E">
              <w:rPr>
                <w:lang w:val="en-GB"/>
              </w:rPr>
              <w:t xml:space="preserve"> (</w:t>
            </w:r>
            <w:proofErr w:type="spellStart"/>
            <w:r w:rsidRPr="00FB237E">
              <w:rPr>
                <w:lang w:val="en-GB"/>
              </w:rPr>
              <w:t>Cth</w:t>
            </w:r>
            <w:proofErr w:type="spellEnd"/>
            <w:r w:rsidRPr="00FB237E">
              <w:rPr>
                <w:lang w:val="en-GB"/>
              </w:rPr>
              <w:t>)</w:t>
            </w:r>
            <w:r>
              <w:rPr>
                <w:lang w:val="en-GB"/>
              </w:rPr>
              <w:t xml:space="preserve"> s 37M</w:t>
            </w:r>
          </w:p>
          <w:p w14:paraId="2BE40324" w14:textId="563E6B5B" w:rsidR="00C80C9D" w:rsidRDefault="00FB237E" w:rsidP="00FB237E">
            <w:pPr>
              <w:pStyle w:val="CasesLegislationAppealFrom"/>
              <w:spacing w:after="60"/>
            </w:pPr>
            <w:r w:rsidRPr="00FB237E">
              <w:rPr>
                <w:i/>
                <w:iCs/>
              </w:rPr>
              <w:t>Federal Court Rules 2011</w:t>
            </w:r>
            <w:r w:rsidRPr="00FB237E">
              <w:t xml:space="preserve"> (</w:t>
            </w:r>
            <w:proofErr w:type="spellStart"/>
            <w:r w:rsidRPr="00FB237E">
              <w:t>Cth</w:t>
            </w:r>
            <w:proofErr w:type="spellEnd"/>
            <w:r>
              <w:t>) r 16.0</w:t>
            </w:r>
            <w:r w:rsidR="00C80C9D">
              <w:t>2</w:t>
            </w:r>
          </w:p>
          <w:p w14:paraId="728E527D" w14:textId="43A387B2" w:rsidR="00FB237E" w:rsidRPr="00FB237E" w:rsidRDefault="00C80C9D" w:rsidP="00C80C9D">
            <w:pPr>
              <w:pStyle w:val="CasesLegislationAppealFrom"/>
              <w:spacing w:after="60"/>
            </w:pPr>
            <w:r w:rsidRPr="00FB237E">
              <w:rPr>
                <w:i/>
                <w:iCs/>
                <w:lang w:val="en-GB"/>
              </w:rPr>
              <w:t>Defamation Act 2005</w:t>
            </w:r>
            <w:r w:rsidRPr="00FB237E">
              <w:rPr>
                <w:lang w:val="en-GB"/>
              </w:rPr>
              <w:t xml:space="preserve"> (WA)</w:t>
            </w:r>
            <w:r>
              <w:rPr>
                <w:lang w:val="en-GB"/>
              </w:rPr>
              <w:t xml:space="preserve"> s 25</w:t>
            </w:r>
            <w:bookmarkEnd w:id="3"/>
          </w:p>
        </w:tc>
      </w:tr>
      <w:tr w:rsidR="00395B24" w14:paraId="65895E33" w14:textId="77777777" w:rsidTr="00FC4C81">
        <w:tc>
          <w:tcPr>
            <w:tcW w:w="3261" w:type="dxa"/>
            <w:shd w:val="clear" w:color="auto" w:fill="auto"/>
          </w:tcPr>
          <w:p w14:paraId="5D14B106" w14:textId="77777777" w:rsidR="00395B24" w:rsidRDefault="00395B24" w:rsidP="00663878">
            <w:pPr>
              <w:pStyle w:val="Normal1linespace"/>
              <w:widowControl w:val="0"/>
              <w:jc w:val="left"/>
            </w:pPr>
          </w:p>
        </w:tc>
        <w:tc>
          <w:tcPr>
            <w:tcW w:w="5989" w:type="dxa"/>
            <w:shd w:val="clear" w:color="auto" w:fill="auto"/>
          </w:tcPr>
          <w:p w14:paraId="7DD81422" w14:textId="77777777" w:rsidR="00395B24" w:rsidRDefault="00395B24" w:rsidP="00663878">
            <w:pPr>
              <w:pStyle w:val="Normal1linespace"/>
              <w:widowControl w:val="0"/>
              <w:jc w:val="left"/>
            </w:pPr>
          </w:p>
        </w:tc>
      </w:tr>
      <w:tr w:rsidR="00395B24" w14:paraId="4A0A48BA" w14:textId="77777777" w:rsidTr="00FC4C81">
        <w:tc>
          <w:tcPr>
            <w:tcW w:w="3261" w:type="dxa"/>
            <w:shd w:val="clear" w:color="auto" w:fill="auto"/>
          </w:tcPr>
          <w:p w14:paraId="61EFC27C" w14:textId="29C810AC" w:rsidR="00395B24" w:rsidRDefault="002C7385" w:rsidP="00663878">
            <w:pPr>
              <w:pStyle w:val="Normal1linespace"/>
              <w:widowControl w:val="0"/>
              <w:jc w:val="left"/>
            </w:pPr>
            <w:r>
              <w:t>Cases cited:</w:t>
            </w:r>
          </w:p>
        </w:tc>
        <w:tc>
          <w:tcPr>
            <w:tcW w:w="5989" w:type="dxa"/>
            <w:shd w:val="clear" w:color="auto" w:fill="auto"/>
          </w:tcPr>
          <w:p w14:paraId="0C3D61F6" w14:textId="00BE054D" w:rsidR="00FB237E" w:rsidRPr="00FB237E" w:rsidRDefault="00FB237E" w:rsidP="00FB237E">
            <w:pPr>
              <w:pStyle w:val="CasesLegislationAppealFrom"/>
              <w:spacing w:after="60"/>
              <w:rPr>
                <w:lang w:val="en-GB"/>
              </w:rPr>
            </w:pPr>
            <w:bookmarkStart w:id="4" w:name="Cases_Cited"/>
            <w:r w:rsidRPr="00FB237E">
              <w:rPr>
                <w:i/>
                <w:iCs/>
                <w:lang w:val="en-GB"/>
              </w:rPr>
              <w:t>Australian Broadcasting Corporation v Chau Chak Wing</w:t>
            </w:r>
            <w:r w:rsidRPr="00FB237E">
              <w:rPr>
                <w:lang w:val="en-GB"/>
              </w:rPr>
              <w:t xml:space="preserve"> [2019] FCAFC 125; (2019) 271 FCR 632</w:t>
            </w:r>
          </w:p>
          <w:p w14:paraId="29E3C1A2" w14:textId="3FC70A7C" w:rsidR="00FB237E" w:rsidRDefault="00FB237E" w:rsidP="00FB237E">
            <w:pPr>
              <w:pStyle w:val="CasesLegislationAppealFrom"/>
              <w:spacing w:after="60"/>
              <w:rPr>
                <w:lang w:val="en-GB"/>
              </w:rPr>
            </w:pPr>
            <w:r w:rsidRPr="00FB237E">
              <w:rPr>
                <w:i/>
                <w:iCs/>
                <w:lang w:val="en-GB"/>
              </w:rPr>
              <w:t>Brooks v Fairfax Media Publications Pty Ltd (No 2)</w:t>
            </w:r>
            <w:r w:rsidRPr="00FB237E">
              <w:rPr>
                <w:lang w:val="en-GB"/>
              </w:rPr>
              <w:t xml:space="preserve"> [2015] NSWSC 1331</w:t>
            </w:r>
          </w:p>
          <w:p w14:paraId="38B2E0A0" w14:textId="2B4C4C2D" w:rsidR="00CF2F82" w:rsidRPr="00CF2F82" w:rsidRDefault="00CF2F82" w:rsidP="00FB237E">
            <w:pPr>
              <w:pStyle w:val="CasesLegislationAppealFrom"/>
              <w:spacing w:after="60"/>
              <w:rPr>
                <w:lang w:val="en-GB"/>
              </w:rPr>
            </w:pPr>
            <w:r w:rsidRPr="00CF2F82">
              <w:rPr>
                <w:i/>
                <w:iCs/>
                <w:lang w:val="en-GB"/>
              </w:rPr>
              <w:t>Gair v Greenwood</w:t>
            </w:r>
            <w:r w:rsidRPr="00CF2F82">
              <w:rPr>
                <w:lang w:val="en-GB"/>
              </w:rPr>
              <w:t xml:space="preserve"> [2017] NSWSC 1652</w:t>
            </w:r>
          </w:p>
          <w:p w14:paraId="21881E39" w14:textId="6BE3E7FC" w:rsidR="00FB237E" w:rsidRPr="00FB237E" w:rsidRDefault="00FB237E" w:rsidP="00FB237E">
            <w:pPr>
              <w:pStyle w:val="CasesLegislationAppealFrom"/>
              <w:spacing w:after="60"/>
              <w:rPr>
                <w:lang w:val="en-GB"/>
              </w:rPr>
            </w:pPr>
            <w:r w:rsidRPr="00FB237E">
              <w:rPr>
                <w:i/>
                <w:iCs/>
                <w:lang w:val="en-GB"/>
              </w:rPr>
              <w:t>Gallagher v Destiny Publications Pty Ltd [No 2]</w:t>
            </w:r>
            <w:r w:rsidRPr="00FB237E">
              <w:rPr>
                <w:lang w:val="en-GB"/>
              </w:rPr>
              <w:t xml:space="preserve"> [2015] WASC 475</w:t>
            </w:r>
          </w:p>
          <w:p w14:paraId="7DFC3749" w14:textId="2E0D16D2" w:rsidR="00FB237E" w:rsidRPr="00FB237E" w:rsidRDefault="00FB237E" w:rsidP="00FB237E">
            <w:pPr>
              <w:pStyle w:val="CasesLegislationAppealFrom"/>
              <w:spacing w:after="60"/>
              <w:rPr>
                <w:lang w:val="en-GB"/>
              </w:rPr>
            </w:pPr>
            <w:r w:rsidRPr="00FB237E">
              <w:rPr>
                <w:i/>
                <w:iCs/>
                <w:lang w:val="en-GB"/>
              </w:rPr>
              <w:t>General Steel Industries Inc v Commissioner for Railways (NSW)</w:t>
            </w:r>
            <w:r w:rsidRPr="00FB237E">
              <w:rPr>
                <w:lang w:val="en-GB"/>
              </w:rPr>
              <w:t xml:space="preserve"> (1964) 112 CLR 125</w:t>
            </w:r>
          </w:p>
          <w:p w14:paraId="4FE1EFC4" w14:textId="3AB8A58B" w:rsidR="00FB237E" w:rsidRPr="00FB237E" w:rsidRDefault="00FB237E" w:rsidP="00FB237E">
            <w:pPr>
              <w:pStyle w:val="CasesLegislationAppealFrom"/>
              <w:spacing w:after="60"/>
              <w:rPr>
                <w:lang w:val="en-GB"/>
              </w:rPr>
            </w:pPr>
            <w:r w:rsidRPr="00FB237E">
              <w:rPr>
                <w:i/>
                <w:iCs/>
                <w:lang w:val="en-GB"/>
              </w:rPr>
              <w:t>Hayson v John Fairfax Publications Pty Ltd</w:t>
            </w:r>
            <w:r w:rsidRPr="00FB237E">
              <w:rPr>
                <w:lang w:val="en-GB"/>
              </w:rPr>
              <w:t xml:space="preserve"> [2007] NSWCA 376</w:t>
            </w:r>
          </w:p>
          <w:p w14:paraId="29B822F9" w14:textId="3CB11ADA" w:rsidR="00FB237E" w:rsidRPr="00FB237E" w:rsidRDefault="00FB237E" w:rsidP="00FB237E">
            <w:pPr>
              <w:pStyle w:val="CasesLegislationAppealFrom"/>
              <w:spacing w:after="60"/>
              <w:rPr>
                <w:lang w:val="en-GB"/>
              </w:rPr>
            </w:pPr>
            <w:r w:rsidRPr="00FB237E">
              <w:rPr>
                <w:i/>
                <w:iCs/>
                <w:lang w:val="en-GB"/>
              </w:rPr>
              <w:t>Hunt v Times Newspapers Ltd</w:t>
            </w:r>
            <w:r w:rsidRPr="00FB237E">
              <w:rPr>
                <w:lang w:val="en-GB"/>
              </w:rPr>
              <w:t xml:space="preserve"> [2012] EWHC 110 (QB)</w:t>
            </w:r>
          </w:p>
          <w:p w14:paraId="18226C19" w14:textId="5276E815" w:rsidR="00FB237E" w:rsidRPr="00FB237E" w:rsidRDefault="00FB237E" w:rsidP="00FB237E">
            <w:pPr>
              <w:pStyle w:val="CasesLegislationAppealFrom"/>
              <w:spacing w:after="60"/>
              <w:rPr>
                <w:lang w:val="en-GB"/>
              </w:rPr>
            </w:pPr>
            <w:r w:rsidRPr="00FB237E">
              <w:rPr>
                <w:i/>
                <w:iCs/>
                <w:lang w:val="en-GB"/>
              </w:rPr>
              <w:t>Johnson v Miller</w:t>
            </w:r>
            <w:r w:rsidRPr="00FB237E">
              <w:rPr>
                <w:lang w:val="en-GB"/>
              </w:rPr>
              <w:t xml:space="preserve"> (1937) 59 CLR 467</w:t>
            </w:r>
          </w:p>
          <w:p w14:paraId="7B99B30D" w14:textId="65466E54" w:rsidR="00FB237E" w:rsidRPr="00FB237E" w:rsidRDefault="00FB237E" w:rsidP="00FB237E">
            <w:pPr>
              <w:pStyle w:val="CasesLegislationAppealFrom"/>
              <w:spacing w:after="60"/>
              <w:rPr>
                <w:lang w:val="en-GB"/>
              </w:rPr>
            </w:pPr>
            <w:r w:rsidRPr="00FB237E">
              <w:rPr>
                <w:i/>
                <w:iCs/>
                <w:lang w:val="en-GB"/>
              </w:rPr>
              <w:t xml:space="preserve">Khan v Fairfax Media Publications Pty Limited </w:t>
            </w:r>
            <w:r w:rsidR="003C02BB">
              <w:rPr>
                <w:i/>
                <w:iCs/>
                <w:lang w:val="en-GB"/>
              </w:rPr>
              <w:t>[</w:t>
            </w:r>
            <w:r w:rsidRPr="00FB237E">
              <w:rPr>
                <w:i/>
                <w:iCs/>
                <w:lang w:val="en-GB"/>
              </w:rPr>
              <w:t>No 3</w:t>
            </w:r>
            <w:r w:rsidR="003C02BB">
              <w:rPr>
                <w:i/>
                <w:iCs/>
                <w:lang w:val="en-GB"/>
              </w:rPr>
              <w:t>]</w:t>
            </w:r>
            <w:r w:rsidR="009754D2">
              <w:rPr>
                <w:i/>
                <w:iCs/>
                <w:lang w:val="en-GB"/>
              </w:rPr>
              <w:t xml:space="preserve"> </w:t>
            </w:r>
            <w:r w:rsidRPr="00FB237E">
              <w:rPr>
                <w:lang w:val="en-GB"/>
              </w:rPr>
              <w:t>[2015] WASC 400</w:t>
            </w:r>
          </w:p>
          <w:p w14:paraId="5276EDDC" w14:textId="7D93FC17" w:rsidR="00FB237E" w:rsidRPr="00FB237E" w:rsidRDefault="00FB237E" w:rsidP="00FB237E">
            <w:pPr>
              <w:pStyle w:val="CasesLegislationAppealFrom"/>
              <w:spacing w:after="60"/>
              <w:rPr>
                <w:lang w:val="en-GB"/>
              </w:rPr>
            </w:pPr>
            <w:r w:rsidRPr="00FB237E">
              <w:rPr>
                <w:i/>
                <w:iCs/>
                <w:lang w:val="en-GB"/>
              </w:rPr>
              <w:t>Rush v Nationwide News Pty Ltd</w:t>
            </w:r>
            <w:r w:rsidRPr="00FB237E">
              <w:rPr>
                <w:lang w:val="en-GB"/>
              </w:rPr>
              <w:t xml:space="preserve"> [2018] FCA 357</w:t>
            </w:r>
          </w:p>
          <w:p w14:paraId="378FFFBE" w14:textId="1BB7A17C" w:rsidR="00FB237E" w:rsidRPr="00FB237E" w:rsidRDefault="00FB237E" w:rsidP="00FB237E">
            <w:pPr>
              <w:pStyle w:val="CasesLegislationAppealFrom"/>
              <w:spacing w:after="60"/>
            </w:pPr>
            <w:proofErr w:type="spellStart"/>
            <w:r w:rsidRPr="00FB237E">
              <w:rPr>
                <w:i/>
                <w:iCs/>
                <w:lang w:val="en-GB"/>
              </w:rPr>
              <w:t>Seltsam</w:t>
            </w:r>
            <w:proofErr w:type="spellEnd"/>
            <w:r w:rsidRPr="00FB237E">
              <w:rPr>
                <w:i/>
                <w:iCs/>
                <w:lang w:val="en-GB"/>
              </w:rPr>
              <w:t xml:space="preserve"> Pty Ltd v McGuiness</w:t>
            </w:r>
            <w:r w:rsidRPr="00FB237E">
              <w:rPr>
                <w:lang w:val="en-GB"/>
              </w:rPr>
              <w:t xml:space="preserve"> [2000] NSWCA 29; (2000) 49 NSWLR 262</w:t>
            </w:r>
          </w:p>
          <w:p w14:paraId="460507D5" w14:textId="7B72B151" w:rsidR="00FB237E" w:rsidRPr="00FB237E" w:rsidRDefault="00FB237E" w:rsidP="00FB237E">
            <w:pPr>
              <w:pStyle w:val="CasesLegislationAppealFrom"/>
              <w:spacing w:after="60"/>
            </w:pPr>
            <w:r w:rsidRPr="00FB237E">
              <w:rPr>
                <w:i/>
                <w:iCs/>
                <w:lang w:val="en-GB"/>
              </w:rPr>
              <w:t>Wing v The Australian Broadcasting Corporation</w:t>
            </w:r>
            <w:r w:rsidRPr="00FB237E">
              <w:rPr>
                <w:lang w:val="en-GB"/>
              </w:rPr>
              <w:t xml:space="preserve"> [2018] FCA 1340</w:t>
            </w:r>
            <w:bookmarkEnd w:id="4"/>
          </w:p>
        </w:tc>
      </w:tr>
      <w:tr w:rsidR="001A78C6" w14:paraId="676704E2" w14:textId="77777777" w:rsidTr="00FC4C81">
        <w:tc>
          <w:tcPr>
            <w:tcW w:w="3261" w:type="dxa"/>
            <w:shd w:val="clear" w:color="auto" w:fill="auto"/>
          </w:tcPr>
          <w:p w14:paraId="521E0056" w14:textId="77777777" w:rsidR="001A78C6" w:rsidRDefault="001A78C6" w:rsidP="002F7154">
            <w:pPr>
              <w:pStyle w:val="Normal1linespace"/>
              <w:widowControl w:val="0"/>
            </w:pPr>
          </w:p>
        </w:tc>
        <w:tc>
          <w:tcPr>
            <w:tcW w:w="5989" w:type="dxa"/>
            <w:shd w:val="clear" w:color="auto" w:fill="auto"/>
          </w:tcPr>
          <w:p w14:paraId="63FFCCF7" w14:textId="77777777" w:rsidR="001A78C6" w:rsidRDefault="001A78C6" w:rsidP="002F7154">
            <w:pPr>
              <w:pStyle w:val="Normal1linespace"/>
              <w:widowControl w:val="0"/>
              <w:jc w:val="left"/>
            </w:pPr>
          </w:p>
        </w:tc>
      </w:tr>
      <w:tr w:rsidR="001A78C6" w14:paraId="4B837A12" w14:textId="77777777" w:rsidTr="00FC4C81">
        <w:tc>
          <w:tcPr>
            <w:tcW w:w="3261" w:type="dxa"/>
            <w:shd w:val="clear" w:color="auto" w:fill="auto"/>
          </w:tcPr>
          <w:p w14:paraId="7633342E" w14:textId="77777777" w:rsidR="001A78C6" w:rsidRDefault="001A78C6" w:rsidP="00501A12">
            <w:pPr>
              <w:pStyle w:val="Normal1linespace"/>
              <w:widowControl w:val="0"/>
            </w:pPr>
            <w:r>
              <w:t>Division:</w:t>
            </w:r>
          </w:p>
        </w:tc>
        <w:tc>
          <w:tcPr>
            <w:tcW w:w="5989" w:type="dxa"/>
            <w:shd w:val="clear" w:color="auto" w:fill="auto"/>
          </w:tcPr>
          <w:p w14:paraId="2565C000" w14:textId="50F9DA36" w:rsidR="001A78C6" w:rsidRPr="00F17599" w:rsidRDefault="00784771" w:rsidP="00501A12">
            <w:pPr>
              <w:pStyle w:val="Normal1linespace"/>
              <w:widowControl w:val="0"/>
              <w:jc w:val="left"/>
            </w:pPr>
            <w:fldSimple w:instr=" DOCPROPERTY  Division ">
              <w:r w:rsidR="001A78C6">
                <w:t>General Division</w:t>
              </w:r>
            </w:fldSimple>
          </w:p>
        </w:tc>
      </w:tr>
      <w:tr w:rsidR="001A78C6" w14:paraId="09BF5ED4" w14:textId="77777777" w:rsidTr="00FC4C81">
        <w:tc>
          <w:tcPr>
            <w:tcW w:w="3261" w:type="dxa"/>
            <w:shd w:val="clear" w:color="auto" w:fill="auto"/>
          </w:tcPr>
          <w:p w14:paraId="0DEED59D" w14:textId="77777777" w:rsidR="001A78C6" w:rsidRDefault="001A78C6" w:rsidP="00501A12">
            <w:pPr>
              <w:pStyle w:val="Normal1linespace"/>
              <w:widowControl w:val="0"/>
            </w:pPr>
            <w:bookmarkStart w:id="5" w:name="Registry_rows" w:colFirst="0" w:colLast="1"/>
          </w:p>
        </w:tc>
        <w:tc>
          <w:tcPr>
            <w:tcW w:w="5989" w:type="dxa"/>
            <w:shd w:val="clear" w:color="auto" w:fill="auto"/>
          </w:tcPr>
          <w:p w14:paraId="1E85B00B" w14:textId="77777777" w:rsidR="001A78C6" w:rsidRDefault="001A78C6" w:rsidP="00501A12">
            <w:pPr>
              <w:pStyle w:val="Normal1linespace"/>
              <w:widowControl w:val="0"/>
              <w:jc w:val="left"/>
            </w:pPr>
          </w:p>
        </w:tc>
      </w:tr>
      <w:tr w:rsidR="001A78C6" w14:paraId="5F007CC0" w14:textId="77777777" w:rsidTr="00FC4C81">
        <w:tc>
          <w:tcPr>
            <w:tcW w:w="3261" w:type="dxa"/>
            <w:shd w:val="clear" w:color="auto" w:fill="auto"/>
          </w:tcPr>
          <w:p w14:paraId="0DA5B3C6" w14:textId="77777777" w:rsidR="001A78C6" w:rsidRDefault="001A78C6" w:rsidP="00501A12">
            <w:pPr>
              <w:pStyle w:val="Normal1linespace"/>
              <w:widowControl w:val="0"/>
            </w:pPr>
            <w:r>
              <w:lastRenderedPageBreak/>
              <w:t>Registry:</w:t>
            </w:r>
          </w:p>
        </w:tc>
        <w:tc>
          <w:tcPr>
            <w:tcW w:w="5989" w:type="dxa"/>
            <w:shd w:val="clear" w:color="auto" w:fill="auto"/>
          </w:tcPr>
          <w:p w14:paraId="28EE74B8" w14:textId="3FA881B1" w:rsidR="001A78C6" w:rsidRPr="00F17599" w:rsidRDefault="00784771" w:rsidP="00501A12">
            <w:pPr>
              <w:pStyle w:val="Normal1linespace"/>
              <w:widowControl w:val="0"/>
              <w:jc w:val="left"/>
            </w:pPr>
            <w:fldSimple w:instr=" DOCPROPERTY  Registry ">
              <w:r w:rsidR="001A78C6">
                <w:t>Western Australia</w:t>
              </w:r>
            </w:fldSimple>
          </w:p>
        </w:tc>
      </w:tr>
      <w:tr w:rsidR="001A78C6" w14:paraId="34BC0881" w14:textId="77777777" w:rsidTr="00FC4C81">
        <w:tc>
          <w:tcPr>
            <w:tcW w:w="3261" w:type="dxa"/>
            <w:shd w:val="clear" w:color="auto" w:fill="auto"/>
          </w:tcPr>
          <w:p w14:paraId="73D99A52" w14:textId="77777777" w:rsidR="001A78C6" w:rsidRDefault="001A78C6" w:rsidP="00501A12">
            <w:pPr>
              <w:pStyle w:val="Normal1linespace"/>
              <w:widowControl w:val="0"/>
            </w:pPr>
            <w:bookmarkStart w:id="6" w:name="NPARow" w:colFirst="0" w:colLast="1"/>
            <w:bookmarkEnd w:id="5"/>
          </w:p>
        </w:tc>
        <w:tc>
          <w:tcPr>
            <w:tcW w:w="5989" w:type="dxa"/>
            <w:shd w:val="clear" w:color="auto" w:fill="auto"/>
          </w:tcPr>
          <w:p w14:paraId="7E022E6D" w14:textId="77777777" w:rsidR="001A78C6" w:rsidRPr="00F17599" w:rsidRDefault="001A78C6" w:rsidP="00501A12">
            <w:pPr>
              <w:pStyle w:val="Normal1linespace"/>
              <w:widowControl w:val="0"/>
              <w:jc w:val="left"/>
              <w:rPr>
                <w:b/>
              </w:rPr>
            </w:pPr>
          </w:p>
        </w:tc>
      </w:tr>
      <w:tr w:rsidR="001A78C6" w14:paraId="7A313F92" w14:textId="77777777" w:rsidTr="00FC4C81">
        <w:tc>
          <w:tcPr>
            <w:tcW w:w="3261" w:type="dxa"/>
            <w:shd w:val="clear" w:color="auto" w:fill="auto"/>
          </w:tcPr>
          <w:p w14:paraId="2C9F0EE9" w14:textId="77777777" w:rsidR="001A78C6" w:rsidRDefault="001A78C6" w:rsidP="00501A12">
            <w:pPr>
              <w:pStyle w:val="Normal1linespace"/>
              <w:widowControl w:val="0"/>
            </w:pPr>
            <w:r>
              <w:t>National Practice Area:</w:t>
            </w:r>
          </w:p>
        </w:tc>
        <w:tc>
          <w:tcPr>
            <w:tcW w:w="5989" w:type="dxa"/>
            <w:shd w:val="clear" w:color="auto" w:fill="auto"/>
          </w:tcPr>
          <w:p w14:paraId="6D0BD683" w14:textId="6F58E035" w:rsidR="001A78C6" w:rsidRPr="00F17599" w:rsidRDefault="00784771" w:rsidP="00171DBB">
            <w:pPr>
              <w:pStyle w:val="Normal1linespace"/>
              <w:widowControl w:val="0"/>
              <w:jc w:val="left"/>
              <w:rPr>
                <w:b/>
              </w:rPr>
            </w:pPr>
            <w:fldSimple w:instr=" DOCPROPERTY  &quot;Practice Area&quot;  \* MERGEFORMAT ">
              <w:r w:rsidR="001A78C6">
                <w:t>Other Federal Jurisdiction</w:t>
              </w:r>
            </w:fldSimple>
          </w:p>
        </w:tc>
      </w:tr>
      <w:bookmarkEnd w:id="6"/>
      <w:tr w:rsidR="001A78C6" w14:paraId="464239AC" w14:textId="77777777" w:rsidTr="00FC4C81">
        <w:tc>
          <w:tcPr>
            <w:tcW w:w="3261" w:type="dxa"/>
            <w:shd w:val="clear" w:color="auto" w:fill="auto"/>
          </w:tcPr>
          <w:p w14:paraId="2A1C5F72" w14:textId="77777777" w:rsidR="001A78C6" w:rsidRDefault="001A78C6" w:rsidP="00501A12">
            <w:pPr>
              <w:pStyle w:val="Normal1linespace"/>
              <w:widowControl w:val="0"/>
            </w:pPr>
          </w:p>
        </w:tc>
        <w:tc>
          <w:tcPr>
            <w:tcW w:w="5989" w:type="dxa"/>
            <w:shd w:val="clear" w:color="auto" w:fill="auto"/>
          </w:tcPr>
          <w:p w14:paraId="1D865A48" w14:textId="77777777" w:rsidR="001A78C6" w:rsidRDefault="001A78C6" w:rsidP="00501A12">
            <w:pPr>
              <w:pStyle w:val="Normal1linespace"/>
              <w:widowControl w:val="0"/>
              <w:jc w:val="left"/>
            </w:pPr>
          </w:p>
        </w:tc>
      </w:tr>
      <w:tr w:rsidR="001A78C6" w14:paraId="7F26B502" w14:textId="77777777" w:rsidTr="00FC4C81">
        <w:tc>
          <w:tcPr>
            <w:tcW w:w="3261" w:type="dxa"/>
            <w:shd w:val="clear" w:color="auto" w:fill="auto"/>
          </w:tcPr>
          <w:p w14:paraId="75AB5A31" w14:textId="77777777" w:rsidR="001A78C6" w:rsidRDefault="001A78C6" w:rsidP="00501A12">
            <w:pPr>
              <w:pStyle w:val="Normal1linespace"/>
              <w:widowControl w:val="0"/>
            </w:pPr>
            <w:r>
              <w:t>Number of paragraphs:</w:t>
            </w:r>
          </w:p>
        </w:tc>
        <w:tc>
          <w:tcPr>
            <w:tcW w:w="5989" w:type="dxa"/>
            <w:shd w:val="clear" w:color="auto" w:fill="auto"/>
          </w:tcPr>
          <w:p w14:paraId="49AFFA6B" w14:textId="6C40823D" w:rsidR="001A78C6" w:rsidRDefault="004075F4" w:rsidP="00501A12">
            <w:pPr>
              <w:pStyle w:val="Normal1linespace"/>
              <w:widowControl w:val="0"/>
              <w:jc w:val="left"/>
            </w:pPr>
            <w:bookmarkStart w:id="7" w:name="PlaceCategoryParagraphs"/>
            <w:r>
              <w:t>135</w:t>
            </w:r>
            <w:bookmarkEnd w:id="7"/>
          </w:p>
        </w:tc>
      </w:tr>
      <w:tr w:rsidR="001A78C6" w14:paraId="6123C9A2" w14:textId="77777777" w:rsidTr="00FC4C81">
        <w:tc>
          <w:tcPr>
            <w:tcW w:w="3261" w:type="dxa"/>
            <w:shd w:val="clear" w:color="auto" w:fill="auto"/>
          </w:tcPr>
          <w:p w14:paraId="40B865BD" w14:textId="77777777" w:rsidR="001A78C6" w:rsidRDefault="001A78C6" w:rsidP="001A78C6">
            <w:pPr>
              <w:pStyle w:val="Normal1linespace"/>
              <w:widowControl w:val="0"/>
              <w:jc w:val="left"/>
            </w:pPr>
          </w:p>
        </w:tc>
        <w:tc>
          <w:tcPr>
            <w:tcW w:w="5989" w:type="dxa"/>
            <w:shd w:val="clear" w:color="auto" w:fill="auto"/>
          </w:tcPr>
          <w:p w14:paraId="7D23CAB0" w14:textId="5D4D8233" w:rsidR="001A78C6" w:rsidRDefault="001A78C6" w:rsidP="001A78C6">
            <w:pPr>
              <w:pStyle w:val="Normal1linespace"/>
              <w:widowControl w:val="0"/>
              <w:jc w:val="left"/>
            </w:pPr>
          </w:p>
        </w:tc>
      </w:tr>
      <w:tr w:rsidR="001A78C6" w14:paraId="452B1986" w14:textId="77777777" w:rsidTr="00FC4C81">
        <w:tc>
          <w:tcPr>
            <w:tcW w:w="3261" w:type="dxa"/>
            <w:shd w:val="clear" w:color="auto" w:fill="auto"/>
          </w:tcPr>
          <w:p w14:paraId="7DFC82F8" w14:textId="77777777" w:rsidR="001A78C6" w:rsidRDefault="001A78C6" w:rsidP="001A78C6">
            <w:pPr>
              <w:pStyle w:val="Normal1linespace"/>
              <w:widowControl w:val="0"/>
              <w:jc w:val="left"/>
            </w:pPr>
            <w:bookmarkStart w:id="8" w:name="CounselDate" w:colFirst="0" w:colLast="2"/>
            <w:r w:rsidRPr="006A24E3">
              <w:t>Date of hearing:</w:t>
            </w:r>
          </w:p>
        </w:tc>
        <w:tc>
          <w:tcPr>
            <w:tcW w:w="5989" w:type="dxa"/>
            <w:shd w:val="clear" w:color="auto" w:fill="auto"/>
          </w:tcPr>
          <w:p w14:paraId="5B396D83" w14:textId="4A8A55E9" w:rsidR="001A78C6" w:rsidRDefault="006C087D" w:rsidP="001A78C6">
            <w:pPr>
              <w:pStyle w:val="Normal1linespace"/>
              <w:widowControl w:val="0"/>
              <w:jc w:val="left"/>
            </w:pPr>
            <w:bookmarkStart w:id="9" w:name="HearingDate"/>
            <w:r>
              <w:t>3 April 2024</w:t>
            </w:r>
            <w:bookmarkEnd w:id="9"/>
          </w:p>
        </w:tc>
      </w:tr>
      <w:tr w:rsidR="001A78C6" w14:paraId="36E9DF8A" w14:textId="77777777" w:rsidTr="00FC4C81">
        <w:tc>
          <w:tcPr>
            <w:tcW w:w="3261" w:type="dxa"/>
            <w:shd w:val="clear" w:color="auto" w:fill="auto"/>
          </w:tcPr>
          <w:p w14:paraId="217F08D7" w14:textId="77777777" w:rsidR="001A78C6" w:rsidRDefault="001A78C6" w:rsidP="001A78C6">
            <w:pPr>
              <w:pStyle w:val="Normal1linespace"/>
              <w:widowControl w:val="0"/>
              <w:jc w:val="left"/>
            </w:pPr>
          </w:p>
        </w:tc>
        <w:tc>
          <w:tcPr>
            <w:tcW w:w="5989" w:type="dxa"/>
            <w:shd w:val="clear" w:color="auto" w:fill="auto"/>
          </w:tcPr>
          <w:p w14:paraId="2182EDCF" w14:textId="77777777" w:rsidR="001A78C6" w:rsidRDefault="001A78C6" w:rsidP="001A78C6">
            <w:pPr>
              <w:pStyle w:val="Normal1linespace"/>
              <w:widowControl w:val="0"/>
              <w:jc w:val="left"/>
            </w:pPr>
          </w:p>
        </w:tc>
      </w:tr>
      <w:tr w:rsidR="006C087D" w14:paraId="41083856" w14:textId="77777777" w:rsidTr="00FC4C81">
        <w:tc>
          <w:tcPr>
            <w:tcW w:w="3261" w:type="dxa"/>
            <w:shd w:val="clear" w:color="auto" w:fill="auto"/>
          </w:tcPr>
          <w:p w14:paraId="596A7AB5" w14:textId="4B4E3AB9" w:rsidR="006C087D" w:rsidRDefault="006C087D" w:rsidP="006C087D">
            <w:pPr>
              <w:pStyle w:val="Normal1linespace"/>
              <w:widowControl w:val="0"/>
              <w:jc w:val="left"/>
            </w:pPr>
            <w:bookmarkStart w:id="10" w:name="Counsel" w:colFirst="0" w:colLast="2"/>
            <w:bookmarkEnd w:id="8"/>
            <w:r>
              <w:t>Counsel for the Applicant:</w:t>
            </w:r>
          </w:p>
        </w:tc>
        <w:tc>
          <w:tcPr>
            <w:tcW w:w="5989" w:type="dxa"/>
            <w:shd w:val="clear" w:color="auto" w:fill="auto"/>
          </w:tcPr>
          <w:p w14:paraId="64F25DE0" w14:textId="3165638D" w:rsidR="006C087D" w:rsidRDefault="006C087D" w:rsidP="006C087D">
            <w:pPr>
              <w:pStyle w:val="Normal1linespace"/>
              <w:widowControl w:val="0"/>
              <w:jc w:val="left"/>
            </w:pPr>
            <w:bookmarkStart w:id="11" w:name="AppCounsel"/>
            <w:bookmarkEnd w:id="11"/>
            <w:r>
              <w:t>Mr R Graham with Mr I Priddis</w:t>
            </w:r>
          </w:p>
        </w:tc>
      </w:tr>
      <w:tr w:rsidR="006C087D" w14:paraId="2FD756FD" w14:textId="77777777" w:rsidTr="00FC4C81">
        <w:tc>
          <w:tcPr>
            <w:tcW w:w="3261" w:type="dxa"/>
            <w:shd w:val="clear" w:color="auto" w:fill="auto"/>
          </w:tcPr>
          <w:p w14:paraId="45FA90C7" w14:textId="77777777" w:rsidR="006C087D" w:rsidRDefault="006C087D" w:rsidP="006C087D">
            <w:pPr>
              <w:pStyle w:val="Normal1linespace"/>
              <w:widowControl w:val="0"/>
              <w:jc w:val="left"/>
            </w:pPr>
          </w:p>
        </w:tc>
        <w:tc>
          <w:tcPr>
            <w:tcW w:w="5989" w:type="dxa"/>
            <w:shd w:val="clear" w:color="auto" w:fill="auto"/>
          </w:tcPr>
          <w:p w14:paraId="38910E1E" w14:textId="77777777" w:rsidR="006C087D" w:rsidRDefault="006C087D" w:rsidP="006C087D">
            <w:pPr>
              <w:pStyle w:val="Normal1linespace"/>
              <w:widowControl w:val="0"/>
              <w:jc w:val="left"/>
            </w:pPr>
          </w:p>
        </w:tc>
      </w:tr>
      <w:tr w:rsidR="006C087D" w14:paraId="77F56CA2" w14:textId="77777777" w:rsidTr="00FC4C81">
        <w:tc>
          <w:tcPr>
            <w:tcW w:w="3261" w:type="dxa"/>
            <w:shd w:val="clear" w:color="auto" w:fill="auto"/>
          </w:tcPr>
          <w:p w14:paraId="202DBD04" w14:textId="1D5577BE" w:rsidR="006C087D" w:rsidRDefault="006C087D" w:rsidP="006C087D">
            <w:pPr>
              <w:pStyle w:val="Normal1linespace"/>
              <w:widowControl w:val="0"/>
              <w:jc w:val="left"/>
            </w:pPr>
            <w:r>
              <w:t>Solicitor for the Applicant:</w:t>
            </w:r>
          </w:p>
        </w:tc>
        <w:tc>
          <w:tcPr>
            <w:tcW w:w="5989" w:type="dxa"/>
            <w:shd w:val="clear" w:color="auto" w:fill="auto"/>
          </w:tcPr>
          <w:p w14:paraId="15B91208" w14:textId="72DF7549" w:rsidR="006C087D" w:rsidRDefault="006C087D" w:rsidP="006C087D">
            <w:pPr>
              <w:pStyle w:val="Normal1linespace"/>
              <w:widowControl w:val="0"/>
              <w:jc w:val="left"/>
            </w:pPr>
            <w:r>
              <w:t>Graham &amp; Associates Lawyers</w:t>
            </w:r>
          </w:p>
        </w:tc>
      </w:tr>
      <w:tr w:rsidR="006C087D" w14:paraId="310429C8" w14:textId="77777777" w:rsidTr="00FC4C81">
        <w:tc>
          <w:tcPr>
            <w:tcW w:w="3261" w:type="dxa"/>
            <w:shd w:val="clear" w:color="auto" w:fill="auto"/>
          </w:tcPr>
          <w:p w14:paraId="4AC5A627" w14:textId="77777777" w:rsidR="006C087D" w:rsidRDefault="006C087D" w:rsidP="006C087D">
            <w:pPr>
              <w:pStyle w:val="Normal1linespace"/>
              <w:widowControl w:val="0"/>
              <w:jc w:val="left"/>
            </w:pPr>
          </w:p>
        </w:tc>
        <w:tc>
          <w:tcPr>
            <w:tcW w:w="5989" w:type="dxa"/>
            <w:shd w:val="clear" w:color="auto" w:fill="auto"/>
          </w:tcPr>
          <w:p w14:paraId="1B83F96A" w14:textId="77777777" w:rsidR="006C087D" w:rsidRDefault="006C087D" w:rsidP="006C087D">
            <w:pPr>
              <w:pStyle w:val="Normal1linespace"/>
              <w:widowControl w:val="0"/>
              <w:jc w:val="left"/>
            </w:pPr>
          </w:p>
        </w:tc>
      </w:tr>
      <w:tr w:rsidR="006C087D" w14:paraId="65A37AB8" w14:textId="77777777" w:rsidTr="00FC4C81">
        <w:tc>
          <w:tcPr>
            <w:tcW w:w="3261" w:type="dxa"/>
            <w:shd w:val="clear" w:color="auto" w:fill="auto"/>
          </w:tcPr>
          <w:p w14:paraId="1D0F15DD" w14:textId="4BA7C43A" w:rsidR="006C087D" w:rsidRDefault="006C087D" w:rsidP="006C087D">
            <w:pPr>
              <w:pStyle w:val="Normal1linespace"/>
              <w:widowControl w:val="0"/>
              <w:jc w:val="left"/>
            </w:pPr>
            <w:r>
              <w:t>Counsel for the Respondents:</w:t>
            </w:r>
          </w:p>
        </w:tc>
        <w:tc>
          <w:tcPr>
            <w:tcW w:w="5989" w:type="dxa"/>
            <w:shd w:val="clear" w:color="auto" w:fill="auto"/>
          </w:tcPr>
          <w:p w14:paraId="66C66F2A" w14:textId="08600270" w:rsidR="006C087D" w:rsidRDefault="006C087D" w:rsidP="006C087D">
            <w:pPr>
              <w:pStyle w:val="Normal1linespace"/>
              <w:widowControl w:val="0"/>
              <w:jc w:val="left"/>
            </w:pPr>
            <w:r>
              <w:t>Ms R Young</w:t>
            </w:r>
            <w:r w:rsidR="00FB2149">
              <w:t xml:space="preserve"> SC</w:t>
            </w:r>
          </w:p>
        </w:tc>
      </w:tr>
      <w:tr w:rsidR="006C087D" w14:paraId="7659B2F7" w14:textId="77777777" w:rsidTr="00FC4C81">
        <w:tc>
          <w:tcPr>
            <w:tcW w:w="3261" w:type="dxa"/>
            <w:shd w:val="clear" w:color="auto" w:fill="auto"/>
          </w:tcPr>
          <w:p w14:paraId="61E085BE" w14:textId="77777777" w:rsidR="006C087D" w:rsidRDefault="006C087D" w:rsidP="006C087D">
            <w:pPr>
              <w:pStyle w:val="Normal1linespace"/>
              <w:widowControl w:val="0"/>
              <w:jc w:val="left"/>
            </w:pPr>
          </w:p>
        </w:tc>
        <w:tc>
          <w:tcPr>
            <w:tcW w:w="5989" w:type="dxa"/>
            <w:shd w:val="clear" w:color="auto" w:fill="auto"/>
          </w:tcPr>
          <w:p w14:paraId="7D77C1FB" w14:textId="77777777" w:rsidR="006C087D" w:rsidRDefault="006C087D" w:rsidP="006C087D">
            <w:pPr>
              <w:pStyle w:val="Normal1linespace"/>
              <w:widowControl w:val="0"/>
              <w:jc w:val="left"/>
            </w:pPr>
          </w:p>
        </w:tc>
      </w:tr>
      <w:tr w:rsidR="006C087D" w14:paraId="2958A720" w14:textId="77777777" w:rsidTr="00FC4C81">
        <w:tc>
          <w:tcPr>
            <w:tcW w:w="3261" w:type="dxa"/>
            <w:shd w:val="clear" w:color="auto" w:fill="auto"/>
          </w:tcPr>
          <w:p w14:paraId="3CA41355" w14:textId="491033FE" w:rsidR="006C087D" w:rsidRDefault="006C087D" w:rsidP="006C087D">
            <w:pPr>
              <w:pStyle w:val="Normal1linespace"/>
              <w:widowControl w:val="0"/>
              <w:jc w:val="left"/>
            </w:pPr>
            <w:r>
              <w:t>Solicitor for the Respondents:</w:t>
            </w:r>
          </w:p>
        </w:tc>
        <w:tc>
          <w:tcPr>
            <w:tcW w:w="5989" w:type="dxa"/>
            <w:shd w:val="clear" w:color="auto" w:fill="auto"/>
          </w:tcPr>
          <w:p w14:paraId="7D866EE1" w14:textId="058E63F9" w:rsidR="006C087D" w:rsidRDefault="006C087D" w:rsidP="006C087D">
            <w:pPr>
              <w:pStyle w:val="Normal1linespace"/>
              <w:widowControl w:val="0"/>
              <w:jc w:val="left"/>
            </w:pPr>
            <w:proofErr w:type="spellStart"/>
            <w:r>
              <w:t>MinterEl</w:t>
            </w:r>
            <w:r w:rsidR="002D00BC">
              <w:t>l</w:t>
            </w:r>
            <w:r>
              <w:t>ison</w:t>
            </w:r>
            <w:proofErr w:type="spellEnd"/>
          </w:p>
        </w:tc>
      </w:tr>
      <w:bookmarkEnd w:id="10"/>
    </w:tbl>
    <w:p w14:paraId="00FF4E46" w14:textId="77777777" w:rsidR="007470BD" w:rsidRDefault="007470BD">
      <w:pPr>
        <w:pStyle w:val="Normal1linespace"/>
      </w:pPr>
    </w:p>
    <w:p w14:paraId="5D6A7DC3" w14:textId="77777777" w:rsidR="00E94CBF" w:rsidRDefault="00E94CBF">
      <w:pPr>
        <w:pStyle w:val="Normal1linespace"/>
      </w:pPr>
    </w:p>
    <w:p w14:paraId="596793BB" w14:textId="77777777" w:rsidR="00395B24" w:rsidRDefault="00395B24">
      <w:pPr>
        <w:pStyle w:val="Normal1linespace"/>
        <w:sectPr w:rsidR="00395B24" w:rsidSect="002E775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59B55D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BE24369" w14:textId="77777777" w:rsidTr="00E81DA6">
        <w:tc>
          <w:tcPr>
            <w:tcW w:w="6912" w:type="dxa"/>
            <w:gridSpan w:val="2"/>
          </w:tcPr>
          <w:p w14:paraId="6338B19B" w14:textId="77777777" w:rsidR="00A46CCC" w:rsidRPr="001765E0" w:rsidRDefault="00A46CCC" w:rsidP="00525A49">
            <w:pPr>
              <w:pStyle w:val="NormalHeadings"/>
            </w:pPr>
          </w:p>
        </w:tc>
        <w:tc>
          <w:tcPr>
            <w:tcW w:w="2330" w:type="dxa"/>
          </w:tcPr>
          <w:p w14:paraId="25A02619" w14:textId="57124C5A" w:rsidR="00A46CCC" w:rsidRDefault="001A78C6" w:rsidP="00F92355">
            <w:pPr>
              <w:pStyle w:val="NormalHeadings"/>
              <w:jc w:val="right"/>
            </w:pPr>
            <w:bookmarkStart w:id="12" w:name="FileNo"/>
            <w:r>
              <w:t>WAD 104 of 2023</w:t>
            </w:r>
            <w:bookmarkEnd w:id="12"/>
          </w:p>
        </w:tc>
      </w:tr>
      <w:tr w:rsidR="00A76C13" w14:paraId="08478800" w14:textId="77777777" w:rsidTr="00F461A4">
        <w:tc>
          <w:tcPr>
            <w:tcW w:w="9242" w:type="dxa"/>
            <w:gridSpan w:val="3"/>
          </w:tcPr>
          <w:p w14:paraId="0240BAB6" w14:textId="5990A11C" w:rsidR="00A76C13" w:rsidRPr="00A76C13" w:rsidRDefault="001A78C6" w:rsidP="001A78C6">
            <w:pPr>
              <w:pStyle w:val="NormalHeadings"/>
              <w:jc w:val="left"/>
            </w:pPr>
            <w:bookmarkStart w:id="13" w:name="InTheMatterOf"/>
            <w:r>
              <w:t xml:space="preserve"> </w:t>
            </w:r>
            <w:bookmarkEnd w:id="13"/>
          </w:p>
        </w:tc>
      </w:tr>
      <w:tr w:rsidR="00A46CCC" w14:paraId="780CC81E" w14:textId="77777777" w:rsidTr="005041F0">
        <w:trPr>
          <w:trHeight w:val="386"/>
        </w:trPr>
        <w:tc>
          <w:tcPr>
            <w:tcW w:w="2376" w:type="dxa"/>
          </w:tcPr>
          <w:p w14:paraId="3B391E1A"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705022D0" w14:textId="77777777" w:rsidR="001A78C6" w:rsidRDefault="001A78C6" w:rsidP="001A78C6">
            <w:pPr>
              <w:pStyle w:val="NormalHeadings"/>
              <w:jc w:val="left"/>
            </w:pPr>
            <w:bookmarkStart w:id="15" w:name="Applicant"/>
            <w:r>
              <w:t>STEPHEN WINN</w:t>
            </w:r>
          </w:p>
          <w:p w14:paraId="3CE1D5DE" w14:textId="77777777" w:rsidR="001A78C6" w:rsidRDefault="001A78C6" w:rsidP="001A78C6">
            <w:pPr>
              <w:pStyle w:val="PartyType"/>
            </w:pPr>
            <w:r>
              <w:t>Applicant</w:t>
            </w:r>
          </w:p>
          <w:bookmarkEnd w:id="15"/>
          <w:p w14:paraId="19449B76" w14:textId="4D547A3A" w:rsidR="00A46CCC" w:rsidRPr="006555B4" w:rsidRDefault="00A46CCC" w:rsidP="005041F0">
            <w:pPr>
              <w:pStyle w:val="NormalHeadings"/>
              <w:jc w:val="left"/>
            </w:pPr>
          </w:p>
        </w:tc>
      </w:tr>
      <w:tr w:rsidR="00A46CCC" w14:paraId="4F266FB3" w14:textId="77777777" w:rsidTr="005041F0">
        <w:trPr>
          <w:trHeight w:val="386"/>
        </w:trPr>
        <w:tc>
          <w:tcPr>
            <w:tcW w:w="2376" w:type="dxa"/>
          </w:tcPr>
          <w:p w14:paraId="1D662754" w14:textId="77777777" w:rsidR="00A46CCC" w:rsidRDefault="00A46CCC" w:rsidP="005041F0">
            <w:pPr>
              <w:pStyle w:val="NormalHeadings"/>
              <w:jc w:val="left"/>
              <w:rPr>
                <w:caps/>
                <w:szCs w:val="24"/>
              </w:rPr>
            </w:pPr>
            <w:r>
              <w:rPr>
                <w:caps/>
                <w:szCs w:val="24"/>
              </w:rPr>
              <w:t>AND:</w:t>
            </w:r>
          </w:p>
        </w:tc>
        <w:tc>
          <w:tcPr>
            <w:tcW w:w="6866" w:type="dxa"/>
            <w:gridSpan w:val="2"/>
          </w:tcPr>
          <w:p w14:paraId="45322117" w14:textId="77777777" w:rsidR="001A78C6" w:rsidRDefault="001A78C6" w:rsidP="001A78C6">
            <w:pPr>
              <w:pStyle w:val="NormalHeadings"/>
              <w:jc w:val="left"/>
            </w:pPr>
            <w:bookmarkStart w:id="16" w:name="Respondent"/>
            <w:r>
              <w:t>HOLLY THOMPSON</w:t>
            </w:r>
          </w:p>
          <w:p w14:paraId="52820381" w14:textId="77777777" w:rsidR="001A78C6" w:rsidRDefault="001A78C6" w:rsidP="001A78C6">
            <w:pPr>
              <w:pStyle w:val="PartyType"/>
            </w:pPr>
            <w:r>
              <w:t>First Respondent</w:t>
            </w:r>
          </w:p>
          <w:p w14:paraId="4161B4BF" w14:textId="77777777" w:rsidR="001A78C6" w:rsidRDefault="001A78C6" w:rsidP="005041F0">
            <w:pPr>
              <w:pStyle w:val="NormalHeadings"/>
              <w:jc w:val="left"/>
              <w:rPr>
                <w:szCs w:val="24"/>
              </w:rPr>
            </w:pPr>
          </w:p>
          <w:p w14:paraId="669F75C1" w14:textId="77777777" w:rsidR="001A78C6" w:rsidRDefault="001A78C6" w:rsidP="001A78C6">
            <w:pPr>
              <w:pStyle w:val="NormalHeadings"/>
              <w:jc w:val="left"/>
            </w:pPr>
            <w:r>
              <w:t>FAIRFAX DIGITAL AUSTRALIA &amp; NEW ZEALAND PTY LIMITED</w:t>
            </w:r>
          </w:p>
          <w:p w14:paraId="485D2034" w14:textId="77777777" w:rsidR="001A78C6" w:rsidRDefault="001A78C6" w:rsidP="001A78C6">
            <w:pPr>
              <w:pStyle w:val="PartyType"/>
            </w:pPr>
            <w:r>
              <w:t>Second Respondent</w:t>
            </w:r>
          </w:p>
          <w:p w14:paraId="73E6C9CB" w14:textId="77777777" w:rsidR="001A78C6" w:rsidRDefault="001A78C6" w:rsidP="005041F0">
            <w:pPr>
              <w:pStyle w:val="NormalHeadings"/>
              <w:jc w:val="left"/>
              <w:rPr>
                <w:szCs w:val="24"/>
              </w:rPr>
            </w:pPr>
          </w:p>
          <w:p w14:paraId="427B0E2B" w14:textId="10EE4A8A" w:rsidR="001A78C6" w:rsidRDefault="001A78C6" w:rsidP="001A78C6">
            <w:pPr>
              <w:pStyle w:val="NormalHeadings"/>
              <w:jc w:val="left"/>
            </w:pPr>
            <w:r>
              <w:t>THE AGE COMPANY PTY LIMITED</w:t>
            </w:r>
          </w:p>
          <w:p w14:paraId="4984DC94" w14:textId="77777777" w:rsidR="001A78C6" w:rsidRDefault="001A78C6" w:rsidP="001A78C6">
            <w:pPr>
              <w:pStyle w:val="PartyType"/>
            </w:pPr>
            <w:r>
              <w:t>Third Respondent</w:t>
            </w:r>
          </w:p>
          <w:p w14:paraId="5BC8A249" w14:textId="77777777" w:rsidR="006C087D" w:rsidRDefault="006C087D" w:rsidP="001A78C6">
            <w:pPr>
              <w:pStyle w:val="PartyType"/>
            </w:pPr>
          </w:p>
          <w:p w14:paraId="164D1121" w14:textId="157D19AE" w:rsidR="006C087D" w:rsidRPr="006C087D" w:rsidRDefault="006C087D" w:rsidP="001A78C6">
            <w:pPr>
              <w:pStyle w:val="PartyType"/>
              <w:rPr>
                <w:b/>
                <w:bCs/>
              </w:rPr>
            </w:pPr>
            <w:r w:rsidRPr="006C087D">
              <w:rPr>
                <w:b/>
                <w:bCs/>
              </w:rPr>
              <w:t>FAIRFAX MEDIA PUBLICATIONS PTY LIMITED</w:t>
            </w:r>
          </w:p>
          <w:p w14:paraId="1B29624B" w14:textId="5E87F6D9" w:rsidR="006C087D" w:rsidRDefault="006C087D" w:rsidP="001A78C6">
            <w:pPr>
              <w:pStyle w:val="PartyType"/>
            </w:pPr>
            <w:r>
              <w:t>Fourth Respondent</w:t>
            </w:r>
          </w:p>
          <w:bookmarkEnd w:id="16"/>
          <w:p w14:paraId="72FF81E0" w14:textId="05DB4F7B" w:rsidR="00A46CCC" w:rsidRPr="006555B4" w:rsidRDefault="00A46CCC" w:rsidP="005041F0">
            <w:pPr>
              <w:pStyle w:val="NormalHeadings"/>
              <w:jc w:val="left"/>
            </w:pPr>
          </w:p>
        </w:tc>
      </w:tr>
    </w:tbl>
    <w:p w14:paraId="109813A7"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1BB76078" w14:textId="77777777">
        <w:tc>
          <w:tcPr>
            <w:tcW w:w="2376" w:type="dxa"/>
          </w:tcPr>
          <w:p w14:paraId="3536972E"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A528B51" w14:textId="73B0583E" w:rsidR="00395B24" w:rsidRDefault="001A78C6">
            <w:pPr>
              <w:pStyle w:val="NormalHeadings"/>
              <w:jc w:val="left"/>
              <w:rPr>
                <w:caps/>
                <w:szCs w:val="24"/>
              </w:rPr>
            </w:pPr>
            <w:bookmarkStart w:id="19" w:name="Judge"/>
            <w:r>
              <w:rPr>
                <w:caps/>
                <w:szCs w:val="24"/>
              </w:rPr>
              <w:t>JACKSON J</w:t>
            </w:r>
            <w:bookmarkEnd w:id="19"/>
          </w:p>
        </w:tc>
      </w:tr>
      <w:tr w:rsidR="00395B24" w14:paraId="0E4B8DB5" w14:textId="77777777">
        <w:tc>
          <w:tcPr>
            <w:tcW w:w="2376" w:type="dxa"/>
          </w:tcPr>
          <w:p w14:paraId="64FC9E5A" w14:textId="77777777" w:rsidR="00395B24" w:rsidRDefault="002C7385">
            <w:pPr>
              <w:pStyle w:val="NormalHeadings"/>
              <w:spacing w:after="120"/>
              <w:jc w:val="left"/>
              <w:rPr>
                <w:caps/>
                <w:szCs w:val="24"/>
              </w:rPr>
            </w:pPr>
            <w:r>
              <w:rPr>
                <w:caps/>
                <w:szCs w:val="24"/>
              </w:rPr>
              <w:t>DATE OF ORDER:</w:t>
            </w:r>
          </w:p>
        </w:tc>
        <w:tc>
          <w:tcPr>
            <w:tcW w:w="6866" w:type="dxa"/>
          </w:tcPr>
          <w:p w14:paraId="4A53DCD4" w14:textId="3A5A1576" w:rsidR="00395B24" w:rsidRDefault="005B6E4F">
            <w:pPr>
              <w:pStyle w:val="NormalHeadings"/>
              <w:jc w:val="left"/>
              <w:rPr>
                <w:caps/>
                <w:szCs w:val="24"/>
              </w:rPr>
            </w:pPr>
            <w:bookmarkStart w:id="20" w:name="Judgment_Dated"/>
            <w:r>
              <w:rPr>
                <w:caps/>
                <w:szCs w:val="24"/>
              </w:rPr>
              <w:t>12 APRIL</w:t>
            </w:r>
            <w:r w:rsidR="001A78C6">
              <w:rPr>
                <w:caps/>
                <w:szCs w:val="24"/>
              </w:rPr>
              <w:t xml:space="preserve"> 2024</w:t>
            </w:r>
            <w:bookmarkEnd w:id="20"/>
          </w:p>
        </w:tc>
      </w:tr>
    </w:tbl>
    <w:p w14:paraId="03880052" w14:textId="77777777" w:rsidR="00395B24" w:rsidRDefault="00395B24">
      <w:pPr>
        <w:pStyle w:val="NormalHeadings"/>
        <w:rPr>
          <w:b w:val="0"/>
        </w:rPr>
      </w:pPr>
    </w:p>
    <w:p w14:paraId="1380F9AC" w14:textId="77777777" w:rsidR="008D1617" w:rsidRDefault="008D1617">
      <w:pPr>
        <w:pStyle w:val="NormalHeadings"/>
        <w:rPr>
          <w:b w:val="0"/>
        </w:rPr>
      </w:pPr>
    </w:p>
    <w:p w14:paraId="55F6F195" w14:textId="77777777" w:rsidR="00395B24" w:rsidRDefault="002C7385">
      <w:pPr>
        <w:pStyle w:val="NormalHeadings"/>
      </w:pPr>
      <w:r>
        <w:t>THE COURT ORDERS THAT:</w:t>
      </w:r>
    </w:p>
    <w:p w14:paraId="7D9EC082" w14:textId="77777777" w:rsidR="007F60DF" w:rsidRDefault="007F60DF" w:rsidP="00243E5E">
      <w:pPr>
        <w:pStyle w:val="NormalHeadings"/>
      </w:pPr>
    </w:p>
    <w:p w14:paraId="04A048D4" w14:textId="5DE04923" w:rsidR="00D15499" w:rsidRPr="008C3D72" w:rsidRDefault="00D15499" w:rsidP="00D15499">
      <w:pPr>
        <w:pStyle w:val="Order1"/>
        <w:tabs>
          <w:tab w:val="clear" w:pos="720"/>
        </w:tabs>
        <w:rPr>
          <w:lang w:val="en-GB"/>
        </w:rPr>
      </w:pPr>
      <w:r>
        <w:rPr>
          <w:lang w:val="en-GB"/>
        </w:rPr>
        <w:t xml:space="preserve">Leave to the respondents to rely on the minute of amended defence </w:t>
      </w:r>
      <w:r w:rsidR="008C3D72">
        <w:rPr>
          <w:lang w:val="en-GB"/>
        </w:rPr>
        <w:t xml:space="preserve">provided to the </w:t>
      </w:r>
      <w:r w:rsidR="008C3D72" w:rsidRPr="008C3D72">
        <w:rPr>
          <w:lang w:val="en-GB"/>
        </w:rPr>
        <w:t xml:space="preserve">Court on </w:t>
      </w:r>
      <w:r w:rsidR="00C04ACA">
        <w:rPr>
          <w:lang w:val="en-GB"/>
        </w:rPr>
        <w:t>19</w:t>
      </w:r>
      <w:r w:rsidR="008E004C" w:rsidRPr="00122719">
        <w:rPr>
          <w:lang w:val="en-GB"/>
        </w:rPr>
        <w:t xml:space="preserve"> February</w:t>
      </w:r>
      <w:r w:rsidR="008C3D72" w:rsidRPr="00122719">
        <w:rPr>
          <w:lang w:val="en-GB"/>
        </w:rPr>
        <w:t xml:space="preserve"> 2024 </w:t>
      </w:r>
      <w:r w:rsidR="008C3D72" w:rsidRPr="008C3D72">
        <w:rPr>
          <w:lang w:val="en-GB"/>
        </w:rPr>
        <w:t>is refused.</w:t>
      </w:r>
    </w:p>
    <w:p w14:paraId="14169781" w14:textId="4EE92118" w:rsidR="00D15499" w:rsidRDefault="003D7FD3" w:rsidP="00D15499">
      <w:pPr>
        <w:pStyle w:val="Order1"/>
        <w:tabs>
          <w:tab w:val="clear" w:pos="720"/>
        </w:tabs>
        <w:rPr>
          <w:lang w:val="en-GB"/>
        </w:rPr>
      </w:pPr>
      <w:r>
        <w:rPr>
          <w:lang w:val="en-GB"/>
        </w:rPr>
        <w:t xml:space="preserve">By 4.00 pm AWST on </w:t>
      </w:r>
      <w:r w:rsidR="00547583">
        <w:rPr>
          <w:lang w:val="en-GB"/>
        </w:rPr>
        <w:t>10</w:t>
      </w:r>
      <w:r>
        <w:rPr>
          <w:lang w:val="en-GB"/>
        </w:rPr>
        <w:t xml:space="preserve"> May 2024, t</w:t>
      </w:r>
      <w:r w:rsidR="00D15499">
        <w:rPr>
          <w:lang w:val="en-GB"/>
        </w:rPr>
        <w:t>he respondents must file and serve a further minute of amended defence.</w:t>
      </w:r>
    </w:p>
    <w:p w14:paraId="41BEE2F7" w14:textId="35773BD2" w:rsidR="00D15499" w:rsidRPr="0037629F" w:rsidRDefault="00D15499" w:rsidP="00D15499">
      <w:pPr>
        <w:pStyle w:val="Order1"/>
        <w:tabs>
          <w:tab w:val="clear" w:pos="720"/>
        </w:tabs>
        <w:rPr>
          <w:lang w:val="en-GB"/>
        </w:rPr>
      </w:pPr>
      <w:r>
        <w:rPr>
          <w:lang w:val="en-GB"/>
        </w:rPr>
        <w:t xml:space="preserve">The </w:t>
      </w:r>
      <w:r w:rsidR="00473DFB">
        <w:rPr>
          <w:lang w:val="en-GB"/>
        </w:rPr>
        <w:t>matter</w:t>
      </w:r>
      <w:r>
        <w:rPr>
          <w:lang w:val="en-GB"/>
        </w:rPr>
        <w:t xml:space="preserve"> is listed for a case management hearing </w:t>
      </w:r>
      <w:r w:rsidR="0098676E">
        <w:rPr>
          <w:lang w:val="en-GB"/>
        </w:rPr>
        <w:t>on 2</w:t>
      </w:r>
      <w:r w:rsidR="002D191D">
        <w:rPr>
          <w:lang w:val="en-GB"/>
        </w:rPr>
        <w:t>3</w:t>
      </w:r>
      <w:r w:rsidR="0098676E">
        <w:rPr>
          <w:lang w:val="en-GB"/>
        </w:rPr>
        <w:t xml:space="preserve"> May 2024</w:t>
      </w:r>
      <w:r w:rsidR="00473DFB">
        <w:rPr>
          <w:lang w:val="en-GB"/>
        </w:rPr>
        <w:t xml:space="preserve"> at </w:t>
      </w:r>
      <w:r w:rsidR="002D191D">
        <w:rPr>
          <w:lang w:val="en-GB"/>
        </w:rPr>
        <w:t>9</w:t>
      </w:r>
      <w:r w:rsidR="00473DFB">
        <w:rPr>
          <w:lang w:val="en-GB"/>
        </w:rPr>
        <w:t>.</w:t>
      </w:r>
      <w:r w:rsidR="002D191D">
        <w:rPr>
          <w:lang w:val="en-GB"/>
        </w:rPr>
        <w:t>30</w:t>
      </w:r>
      <w:r w:rsidR="00EF47B2">
        <w:rPr>
          <w:lang w:val="en-GB"/>
        </w:rPr>
        <w:t xml:space="preserve"> </w:t>
      </w:r>
      <w:r w:rsidR="00473DFB">
        <w:rPr>
          <w:lang w:val="en-GB"/>
        </w:rPr>
        <w:t>am AWST</w:t>
      </w:r>
      <w:r w:rsidR="0098676E">
        <w:rPr>
          <w:lang w:val="en-GB"/>
        </w:rPr>
        <w:t>.</w:t>
      </w:r>
    </w:p>
    <w:p w14:paraId="5EE10D80" w14:textId="77777777" w:rsidR="001A6C52" w:rsidRDefault="001A6C52" w:rsidP="001A6C52">
      <w:pPr>
        <w:pStyle w:val="BodyText"/>
      </w:pPr>
    </w:p>
    <w:p w14:paraId="64DBB947" w14:textId="122B5F23" w:rsidR="003978AA" w:rsidRDefault="003978AA" w:rsidP="00B94B72">
      <w:pPr>
        <w:pStyle w:val="BodyText"/>
      </w:pPr>
    </w:p>
    <w:p w14:paraId="60477C92" w14:textId="77777777" w:rsidR="003978AA" w:rsidRDefault="003978AA" w:rsidP="001A6C52">
      <w:pPr>
        <w:pStyle w:val="BodyText"/>
      </w:pPr>
    </w:p>
    <w:p w14:paraId="7ACFD172" w14:textId="77777777" w:rsidR="00A431E6" w:rsidRDefault="00A431E6" w:rsidP="001A6C52">
      <w:pPr>
        <w:pStyle w:val="BodyText"/>
      </w:pPr>
    </w:p>
    <w:p w14:paraId="11A2FC7A" w14:textId="15B55713" w:rsidR="0050309C" w:rsidRDefault="001A78C6"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34BC83C0" w14:textId="77777777" w:rsidR="00E23577" w:rsidRDefault="00E23577" w:rsidP="002B0E91">
      <w:pPr>
        <w:pStyle w:val="BodyText"/>
      </w:pPr>
    </w:p>
    <w:p w14:paraId="3F1735C4" w14:textId="77777777" w:rsidR="00395B24" w:rsidRDefault="00395B24">
      <w:pPr>
        <w:pStyle w:val="NormalHeadings"/>
        <w:spacing w:before="240" w:after="120"/>
        <w:rPr>
          <w:b w:val="0"/>
        </w:rPr>
        <w:sectPr w:rsidR="00395B24" w:rsidSect="002E775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87671F2"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72FE57A2" w14:textId="623068B9" w:rsidR="00694BEB" w:rsidRDefault="006C087D" w:rsidP="005E0510">
      <w:pPr>
        <w:pStyle w:val="NormalHeadings"/>
        <w:spacing w:line="360" w:lineRule="auto"/>
        <w:jc w:val="left"/>
        <w:rPr>
          <w:sz w:val="26"/>
          <w:szCs w:val="26"/>
        </w:rPr>
      </w:pPr>
      <w:r>
        <w:rPr>
          <w:sz w:val="26"/>
          <w:szCs w:val="26"/>
        </w:rPr>
        <w:t>JACKSON J:</w:t>
      </w:r>
    </w:p>
    <w:p w14:paraId="2FE4D616" w14:textId="78719C73" w:rsidR="00301E46" w:rsidRDefault="00301E46" w:rsidP="00301E46">
      <w:pPr>
        <w:pStyle w:val="ParaNumbering"/>
        <w:tabs>
          <w:tab w:val="num" w:pos="720"/>
        </w:tabs>
      </w:pPr>
      <w:r w:rsidRPr="2E34F682">
        <w:t>These reasons concern an application by the respondents for leave to rely on an amended defence in a defamation proceeding</w:t>
      </w:r>
      <w:r w:rsidR="00E460FC">
        <w:t xml:space="preserve">.  </w:t>
      </w:r>
      <w:r w:rsidRPr="2E34F682">
        <w:t xml:space="preserve">The proposed amended defence contains particulars of what is said to be the substantial truth of the defamatory imputations </w:t>
      </w:r>
      <w:r>
        <w:t xml:space="preserve">allegedly </w:t>
      </w:r>
      <w:r w:rsidRPr="2E34F682">
        <w:t>conveyed by the publications in question</w:t>
      </w:r>
      <w:r w:rsidR="002E5330">
        <w:t>.</w:t>
      </w:r>
    </w:p>
    <w:p w14:paraId="78F5D751" w14:textId="67C7734F" w:rsidR="00301E46" w:rsidRPr="005A1712" w:rsidRDefault="00301E46" w:rsidP="00301E46">
      <w:pPr>
        <w:pStyle w:val="ParaNumbering"/>
        <w:tabs>
          <w:tab w:val="num" w:pos="720"/>
        </w:tabs>
      </w:pPr>
      <w:r w:rsidRPr="2E34F682">
        <w:t xml:space="preserve">The applicant, </w:t>
      </w:r>
      <w:r w:rsidR="002E5330">
        <w:t>Professor </w:t>
      </w:r>
      <w:r w:rsidRPr="2E34F682">
        <w:t xml:space="preserve">Winn, opposes leave on the basis that </w:t>
      </w:r>
      <w:r>
        <w:t>some</w:t>
      </w:r>
      <w:r w:rsidRPr="2E34F682">
        <w:t xml:space="preserve"> of the particulars are impermissibly broad and imprecise, that the respondents have not pleaded sufficient primary facts to support inferences and conclusions as to the imputations which they plead, and that certain p</w:t>
      </w:r>
      <w:r w:rsidR="00D04DE0">
        <w:t>leas</w:t>
      </w:r>
      <w:r w:rsidRPr="2E34F682">
        <w:t xml:space="preserve"> introduce false issues</w:t>
      </w:r>
      <w:r w:rsidR="00E460FC">
        <w:t xml:space="preserve">.  </w:t>
      </w:r>
      <w:r w:rsidRPr="2E34F682">
        <w:t>Each of these matters are said to mean that the proposed amended defence offends against the requirement</w:t>
      </w:r>
      <w:r w:rsidR="00D04DE0">
        <w:t>s</w:t>
      </w:r>
      <w:r w:rsidRPr="2E34F682">
        <w:t xml:space="preserve"> in r 16.02(2)(c), (d) and (e) </w:t>
      </w:r>
      <w:r w:rsidR="00D63548">
        <w:t xml:space="preserve">of the </w:t>
      </w:r>
      <w:r w:rsidR="00D63548" w:rsidRPr="00FB237E">
        <w:rPr>
          <w:i/>
          <w:iCs/>
        </w:rPr>
        <w:t>Federal Court Rules 2011</w:t>
      </w:r>
      <w:r w:rsidR="00D63548" w:rsidRPr="00FB237E">
        <w:t xml:space="preserve"> (</w:t>
      </w:r>
      <w:proofErr w:type="spellStart"/>
      <w:r w:rsidR="00D63548" w:rsidRPr="00FB237E">
        <w:t>Cth</w:t>
      </w:r>
      <w:proofErr w:type="spellEnd"/>
      <w:r w:rsidR="00D63548" w:rsidRPr="00FB237E">
        <w:t>)</w:t>
      </w:r>
      <w:r w:rsidR="00D63548">
        <w:t xml:space="preserve"> </w:t>
      </w:r>
      <w:r w:rsidRPr="2E34F682">
        <w:t xml:space="preserve">that a pleading must not be evasive or ambiguous, or be likely to cause prejudice, </w:t>
      </w:r>
      <w:proofErr w:type="gramStart"/>
      <w:r w:rsidRPr="2E34F682">
        <w:t>embarrassment</w:t>
      </w:r>
      <w:proofErr w:type="gramEnd"/>
      <w:r w:rsidRPr="2E34F682">
        <w:t xml:space="preserve"> or delay in the proceeding, or fail to disclose a reasonable defence</w:t>
      </w:r>
      <w:r w:rsidR="002E5330">
        <w:t>.</w:t>
      </w:r>
    </w:p>
    <w:p w14:paraId="0A5229A7" w14:textId="590F35EC" w:rsidR="00301E46" w:rsidRDefault="00301E46" w:rsidP="00301E46">
      <w:pPr>
        <w:pStyle w:val="ParaNumbering"/>
        <w:tabs>
          <w:tab w:val="num" w:pos="720"/>
        </w:tabs>
        <w:rPr>
          <w:lang w:val="en-GB"/>
        </w:rPr>
      </w:pPr>
      <w:r>
        <w:rPr>
          <w:lang w:val="en-GB"/>
        </w:rPr>
        <w:t>For the following reasons, leave to rely on the minute of amended defence will be refused, but the respondents will have leave to replead.</w:t>
      </w:r>
    </w:p>
    <w:p w14:paraId="0D149C73" w14:textId="77777777" w:rsidR="00301E46" w:rsidRDefault="00301E46" w:rsidP="00301E46">
      <w:pPr>
        <w:pStyle w:val="Heading2"/>
        <w:rPr>
          <w:lang w:val="en-GB"/>
        </w:rPr>
      </w:pPr>
      <w:r>
        <w:rPr>
          <w:lang w:val="en-GB"/>
        </w:rPr>
        <w:t>The claim and the defence</w:t>
      </w:r>
    </w:p>
    <w:p w14:paraId="6AC2A4C4" w14:textId="699F9DE6" w:rsidR="00301E46" w:rsidRDefault="00301E46" w:rsidP="00301E46">
      <w:pPr>
        <w:pStyle w:val="ParaNumbering"/>
        <w:tabs>
          <w:tab w:val="num" w:pos="720"/>
        </w:tabs>
      </w:pPr>
      <w:r w:rsidRPr="2E34F682">
        <w:t>From 2019 to 2022</w:t>
      </w:r>
      <w:r w:rsidR="00D04DE0">
        <w:t>,</w:t>
      </w:r>
      <w:r w:rsidRPr="2E34F682">
        <w:t xml:space="preserve"> </w:t>
      </w:r>
      <w:r w:rsidR="002E5330">
        <w:t>Professor </w:t>
      </w:r>
      <w:r w:rsidRPr="2E34F682">
        <w:t>Winn was the Executive Dean of the School of Education at Edith Cowan University (</w:t>
      </w:r>
      <w:r w:rsidRPr="2E34F682">
        <w:rPr>
          <w:b/>
          <w:bCs/>
        </w:rPr>
        <w:t>ECU</w:t>
      </w:r>
      <w:r w:rsidRPr="2E34F682">
        <w:t>)</w:t>
      </w:r>
      <w:r w:rsidR="002E5330">
        <w:t>.</w:t>
      </w:r>
    </w:p>
    <w:p w14:paraId="4837EDDC" w14:textId="3B70BDBB" w:rsidR="00301E46" w:rsidRPr="00A705AB" w:rsidRDefault="00301E46" w:rsidP="00301E46">
      <w:pPr>
        <w:pStyle w:val="ParaNumbering"/>
        <w:tabs>
          <w:tab w:val="num" w:pos="720"/>
        </w:tabs>
        <w:rPr>
          <w:lang w:val="en-GB"/>
        </w:rPr>
      </w:pPr>
      <w:r w:rsidRPr="2E34F682">
        <w:rPr>
          <w:lang w:val="en-GB"/>
        </w:rPr>
        <w:t>On 19 May 2022 the second, third and fourth respondents</w:t>
      </w:r>
      <w:r>
        <w:rPr>
          <w:lang w:val="en-GB"/>
        </w:rPr>
        <w:t xml:space="preserve"> (members of the Nine/Fairfax group of companies) </w:t>
      </w:r>
      <w:r w:rsidRPr="2E34F682">
        <w:rPr>
          <w:lang w:val="en-GB"/>
        </w:rPr>
        <w:t xml:space="preserve">published </w:t>
      </w:r>
      <w:r w:rsidRPr="00121DB5">
        <w:t>articles</w:t>
      </w:r>
      <w:r w:rsidRPr="2E34F682">
        <w:rPr>
          <w:lang w:val="en-GB"/>
        </w:rPr>
        <w:t xml:space="preserve"> written by the first respondent, a journalist</w:t>
      </w:r>
      <w:r w:rsidR="00E460FC">
        <w:rPr>
          <w:lang w:val="en-GB"/>
        </w:rPr>
        <w:t xml:space="preserve">.  </w:t>
      </w:r>
      <w:r w:rsidRPr="2E34F682">
        <w:rPr>
          <w:lang w:val="en-GB"/>
        </w:rPr>
        <w:t xml:space="preserve">The articles were identically worded </w:t>
      </w:r>
      <w:r w:rsidR="000D606B">
        <w:rPr>
          <w:lang w:val="en-GB"/>
        </w:rPr>
        <w:t xml:space="preserve">and </w:t>
      </w:r>
      <w:r>
        <w:rPr>
          <w:lang w:val="en-GB"/>
        </w:rPr>
        <w:t>will be referred to</w:t>
      </w:r>
      <w:r w:rsidRPr="2E34F682">
        <w:rPr>
          <w:lang w:val="en-GB"/>
        </w:rPr>
        <w:t xml:space="preserve"> collectively as the </w:t>
      </w:r>
      <w:r w:rsidRPr="2E34F682">
        <w:rPr>
          <w:b/>
          <w:bCs/>
          <w:lang w:val="en-GB"/>
        </w:rPr>
        <w:t>publication</w:t>
      </w:r>
      <w:r w:rsidR="00E460FC">
        <w:rPr>
          <w:lang w:val="en-GB"/>
        </w:rPr>
        <w:t xml:space="preserve">.  </w:t>
      </w:r>
      <w:r w:rsidRPr="2E34F682">
        <w:rPr>
          <w:lang w:val="en-GB"/>
        </w:rPr>
        <w:t xml:space="preserve">The publication was made available on </w:t>
      </w:r>
      <w:proofErr w:type="gramStart"/>
      <w:r w:rsidRPr="2E34F682">
        <w:rPr>
          <w:lang w:val="en-GB"/>
        </w:rPr>
        <w:t>a number of</w:t>
      </w:r>
      <w:proofErr w:type="gramEnd"/>
      <w:r w:rsidRPr="2E34F682">
        <w:rPr>
          <w:lang w:val="en-GB"/>
        </w:rPr>
        <w:t xml:space="preserve"> </w:t>
      </w:r>
      <w:r w:rsidR="008F38E4">
        <w:rPr>
          <w:lang w:val="en-GB"/>
        </w:rPr>
        <w:t xml:space="preserve">news </w:t>
      </w:r>
      <w:r w:rsidRPr="2E34F682">
        <w:rPr>
          <w:lang w:val="en-GB"/>
        </w:rPr>
        <w:t xml:space="preserve">websites, including </w:t>
      </w:r>
      <w:r w:rsidRPr="2E34F682">
        <w:rPr>
          <w:i/>
          <w:iCs/>
          <w:lang w:val="en-GB"/>
        </w:rPr>
        <w:t xml:space="preserve">WA </w:t>
      </w:r>
      <w:r w:rsidRPr="00121DB5">
        <w:rPr>
          <w:i/>
          <w:iCs/>
          <w:lang w:val="en-GB"/>
        </w:rPr>
        <w:t>Today</w:t>
      </w:r>
      <w:r w:rsidRPr="2E34F682">
        <w:rPr>
          <w:lang w:val="en-GB"/>
        </w:rPr>
        <w:t xml:space="preserve">, the </w:t>
      </w:r>
      <w:r w:rsidRPr="2E34F682">
        <w:rPr>
          <w:i/>
          <w:iCs/>
          <w:lang w:val="en-GB"/>
        </w:rPr>
        <w:t>Brisbane Times</w:t>
      </w:r>
      <w:r w:rsidR="008F38E4">
        <w:rPr>
          <w:lang w:val="en-GB"/>
        </w:rPr>
        <w:t>,</w:t>
      </w:r>
      <w:r w:rsidRPr="2E34F682">
        <w:rPr>
          <w:lang w:val="en-GB"/>
        </w:rPr>
        <w:t xml:space="preserve"> Melbourne</w:t>
      </w:r>
      <w:r w:rsidR="00E460FC">
        <w:rPr>
          <w:lang w:val="en-GB"/>
        </w:rPr>
        <w:t>'</w:t>
      </w:r>
      <w:r w:rsidR="00DF661B">
        <w:rPr>
          <w:lang w:val="en-GB"/>
        </w:rPr>
        <w:t xml:space="preserve">s </w:t>
      </w:r>
      <w:r w:rsidR="00DF661B">
        <w:rPr>
          <w:i/>
          <w:iCs/>
          <w:lang w:val="en-GB"/>
        </w:rPr>
        <w:t>The</w:t>
      </w:r>
      <w:r w:rsidRPr="2E34F682">
        <w:rPr>
          <w:lang w:val="en-GB"/>
        </w:rPr>
        <w:t xml:space="preserve"> </w:t>
      </w:r>
      <w:r w:rsidRPr="2E34F682">
        <w:rPr>
          <w:i/>
          <w:iCs/>
          <w:lang w:val="en-GB"/>
        </w:rPr>
        <w:t>Age</w:t>
      </w:r>
      <w:r w:rsidRPr="2E34F682">
        <w:rPr>
          <w:lang w:val="en-GB"/>
        </w:rPr>
        <w:t xml:space="preserve"> and the </w:t>
      </w:r>
      <w:r w:rsidRPr="2E34F682">
        <w:rPr>
          <w:i/>
          <w:iCs/>
          <w:lang w:val="en-GB"/>
        </w:rPr>
        <w:t>Sydney Morning Herald</w:t>
      </w:r>
      <w:r w:rsidR="002E5330">
        <w:rPr>
          <w:lang w:val="en-GB"/>
        </w:rPr>
        <w:t>.</w:t>
      </w:r>
    </w:p>
    <w:p w14:paraId="24ACF806" w14:textId="2FE65C4B" w:rsidR="00301E46" w:rsidRDefault="002E5330" w:rsidP="00301E46">
      <w:pPr>
        <w:pStyle w:val="ParaNumbering"/>
        <w:tabs>
          <w:tab w:val="num" w:pos="720"/>
        </w:tabs>
        <w:rPr>
          <w:lang w:val="en-GB"/>
        </w:rPr>
      </w:pPr>
      <w:r>
        <w:rPr>
          <w:lang w:val="en-GB"/>
        </w:rPr>
        <w:t>Professor </w:t>
      </w:r>
      <w:r w:rsidR="00301E46">
        <w:rPr>
          <w:lang w:val="en-GB"/>
        </w:rPr>
        <w:t>Winn</w:t>
      </w:r>
      <w:r w:rsidR="00301E46" w:rsidRPr="00935BAB">
        <w:rPr>
          <w:lang w:val="en-GB"/>
        </w:rPr>
        <w:t xml:space="preserve"> alleges that </w:t>
      </w:r>
      <w:r w:rsidR="00301E46" w:rsidRPr="00C80DCB">
        <w:rPr>
          <w:lang w:val="en-GB"/>
        </w:rPr>
        <w:t>the publication (</w:t>
      </w:r>
      <w:r w:rsidR="00301E46" w:rsidRPr="00721128">
        <w:rPr>
          <w:lang w:val="en-GB"/>
        </w:rPr>
        <w:t>which is still online</w:t>
      </w:r>
      <w:r w:rsidR="00301E46" w:rsidRPr="00C80DCB">
        <w:rPr>
          <w:lang w:val="en-GB"/>
        </w:rPr>
        <w:t>) conveys the im</w:t>
      </w:r>
      <w:r w:rsidR="00301E46" w:rsidRPr="00935BAB">
        <w:rPr>
          <w:lang w:val="en-GB"/>
        </w:rPr>
        <w:t>putations that</w:t>
      </w:r>
      <w:r w:rsidR="00301E46">
        <w:rPr>
          <w:lang w:val="en-GB"/>
        </w:rPr>
        <w:t>,</w:t>
      </w:r>
      <w:r w:rsidR="00301E46" w:rsidRPr="00935BAB">
        <w:rPr>
          <w:lang w:val="en-GB"/>
        </w:rPr>
        <w:t xml:space="preserve"> as Executive Dean of the School of Education at ECU, he</w:t>
      </w:r>
      <w:r w:rsidR="00301E46">
        <w:rPr>
          <w:lang w:val="en-GB"/>
        </w:rPr>
        <w:t>:</w:t>
      </w:r>
    </w:p>
    <w:p w14:paraId="1AB3D5A0" w14:textId="7F7508C3" w:rsidR="00301E46" w:rsidRDefault="00301E46" w:rsidP="00301E46">
      <w:pPr>
        <w:pStyle w:val="ListNo1alt"/>
        <w:numPr>
          <w:ilvl w:val="0"/>
          <w:numId w:val="23"/>
        </w:numPr>
        <w:rPr>
          <w:lang w:val="en-GB"/>
        </w:rPr>
      </w:pPr>
      <w:r w:rsidRPr="00935BAB">
        <w:rPr>
          <w:lang w:val="en-GB"/>
        </w:rPr>
        <w:t xml:space="preserve">bullied and intimidated staff under his supervision and </w:t>
      </w:r>
      <w:proofErr w:type="gramStart"/>
      <w:r w:rsidRPr="00935BAB">
        <w:rPr>
          <w:lang w:val="en-GB"/>
        </w:rPr>
        <w:t>management;</w:t>
      </w:r>
      <w:proofErr w:type="gramEnd"/>
    </w:p>
    <w:p w14:paraId="00170DA2" w14:textId="71BA1F19" w:rsidR="00301E46" w:rsidRDefault="00301E46" w:rsidP="00301E46">
      <w:pPr>
        <w:pStyle w:val="ListNo1alt"/>
        <w:numPr>
          <w:ilvl w:val="0"/>
          <w:numId w:val="23"/>
        </w:numPr>
        <w:rPr>
          <w:lang w:val="en-GB"/>
        </w:rPr>
      </w:pPr>
      <w:r w:rsidRPr="009B2F00">
        <w:rPr>
          <w:lang w:val="en-GB"/>
        </w:rPr>
        <w:t>created</w:t>
      </w:r>
      <w:r>
        <w:rPr>
          <w:lang w:val="en-GB"/>
        </w:rPr>
        <w:t>,</w:t>
      </w:r>
      <w:r w:rsidRPr="009B2F00">
        <w:rPr>
          <w:lang w:val="en-GB"/>
        </w:rPr>
        <w:t xml:space="preserve"> </w:t>
      </w:r>
      <w:r>
        <w:rPr>
          <w:lang w:val="en-GB"/>
        </w:rPr>
        <w:t xml:space="preserve">further or alternatively fostered, </w:t>
      </w:r>
      <w:r w:rsidRPr="009B2F00">
        <w:rPr>
          <w:lang w:val="en-GB"/>
        </w:rPr>
        <w:t xml:space="preserve">a toxic workplace culture of bullying and fear within the </w:t>
      </w:r>
      <w:proofErr w:type="gramStart"/>
      <w:r>
        <w:rPr>
          <w:lang w:val="en-GB"/>
        </w:rPr>
        <w:t>S</w:t>
      </w:r>
      <w:r w:rsidRPr="009B2F00">
        <w:rPr>
          <w:lang w:val="en-GB"/>
        </w:rPr>
        <w:t>chool</w:t>
      </w:r>
      <w:proofErr w:type="gramEnd"/>
      <w:r>
        <w:rPr>
          <w:lang w:val="en-GB"/>
        </w:rPr>
        <w:t>; and</w:t>
      </w:r>
    </w:p>
    <w:p w14:paraId="0F729D4D" w14:textId="77777777" w:rsidR="00301E46" w:rsidRDefault="00301E46" w:rsidP="00301E46">
      <w:pPr>
        <w:pStyle w:val="ListNo1alt"/>
        <w:numPr>
          <w:ilvl w:val="0"/>
          <w:numId w:val="23"/>
        </w:numPr>
        <w:rPr>
          <w:lang w:val="en-GB"/>
        </w:rPr>
      </w:pPr>
      <w:r w:rsidRPr="009B2F00">
        <w:rPr>
          <w:lang w:val="en-GB"/>
        </w:rPr>
        <w:lastRenderedPageBreak/>
        <w:t>bullied, intimidated and gaslit staff under his supervision and management</w:t>
      </w:r>
      <w:r>
        <w:rPr>
          <w:lang w:val="en-GB"/>
        </w:rPr>
        <w:t>,</w:t>
      </w:r>
      <w:r w:rsidRPr="009B2F00">
        <w:rPr>
          <w:lang w:val="en-GB"/>
        </w:rPr>
        <w:t xml:space="preserve"> causing staff to feel panicked, anxious, </w:t>
      </w:r>
      <w:proofErr w:type="gramStart"/>
      <w:r w:rsidRPr="009B2F00">
        <w:rPr>
          <w:lang w:val="en-GB"/>
        </w:rPr>
        <w:t>humiliated</w:t>
      </w:r>
      <w:proofErr w:type="gramEnd"/>
      <w:r w:rsidRPr="009B2F00">
        <w:rPr>
          <w:lang w:val="en-GB"/>
        </w:rPr>
        <w:t xml:space="preserve"> and afraid</w:t>
      </w:r>
      <w:r>
        <w:rPr>
          <w:lang w:val="en-GB"/>
        </w:rPr>
        <w:t>.</w:t>
      </w:r>
    </w:p>
    <w:p w14:paraId="3B095536" w14:textId="671A4D44" w:rsidR="00301E46" w:rsidRDefault="002E5330" w:rsidP="001B40C5">
      <w:pPr>
        <w:pStyle w:val="NoNum"/>
        <w:rPr>
          <w:lang w:val="en-GB"/>
        </w:rPr>
      </w:pPr>
      <w:r>
        <w:rPr>
          <w:lang w:val="en-GB"/>
        </w:rPr>
        <w:t>Professor </w:t>
      </w:r>
      <w:r w:rsidR="00301E46">
        <w:rPr>
          <w:lang w:val="en-GB"/>
        </w:rPr>
        <w:t>Winn also alleges that the publication conveyed the imputation that he is a bully</w:t>
      </w:r>
      <w:r>
        <w:rPr>
          <w:lang w:val="en-GB"/>
        </w:rPr>
        <w:t>.</w:t>
      </w:r>
    </w:p>
    <w:p w14:paraId="7016CFA0" w14:textId="1E2A6411" w:rsidR="00301E46" w:rsidRDefault="00301E46" w:rsidP="00301E46">
      <w:pPr>
        <w:pStyle w:val="ParaNumbering"/>
        <w:tabs>
          <w:tab w:val="num" w:pos="720"/>
        </w:tabs>
        <w:rPr>
          <w:lang w:val="en-GB"/>
        </w:rPr>
      </w:pPr>
      <w:r>
        <w:rPr>
          <w:lang w:val="en-GB"/>
        </w:rPr>
        <w:t>In the</w:t>
      </w:r>
      <w:r w:rsidR="00D16A4A">
        <w:rPr>
          <w:lang w:val="en-GB"/>
        </w:rPr>
        <w:t>ir</w:t>
      </w:r>
      <w:r>
        <w:rPr>
          <w:lang w:val="en-GB"/>
        </w:rPr>
        <w:t xml:space="preserve"> defence, the respondents deny that the publication conveys the imputations</w:t>
      </w:r>
      <w:r w:rsidR="00E460FC">
        <w:rPr>
          <w:lang w:val="en-GB"/>
        </w:rPr>
        <w:t xml:space="preserve">.  </w:t>
      </w:r>
      <w:r>
        <w:rPr>
          <w:lang w:val="en-GB"/>
        </w:rPr>
        <w:t xml:space="preserve">Relevant to the present matter, however, is their additional defence, under s 25 of the </w:t>
      </w:r>
      <w:r w:rsidRPr="00FB237E">
        <w:rPr>
          <w:i/>
          <w:iCs/>
          <w:lang w:val="en-GB"/>
        </w:rPr>
        <w:t>Defamation Act 2005</w:t>
      </w:r>
      <w:r w:rsidRPr="00FB237E">
        <w:rPr>
          <w:lang w:val="en-GB"/>
        </w:rPr>
        <w:t xml:space="preserve"> (WA)</w:t>
      </w:r>
      <w:r>
        <w:rPr>
          <w:lang w:val="en-GB"/>
        </w:rPr>
        <w:t>, that each of the pleaded imputations is substantially true</w:t>
      </w:r>
      <w:r w:rsidR="00E460FC">
        <w:rPr>
          <w:lang w:val="en-GB"/>
        </w:rPr>
        <w:t xml:space="preserve">.  </w:t>
      </w:r>
      <w:r w:rsidR="005B52B1">
        <w:rPr>
          <w:lang w:val="en-GB"/>
        </w:rPr>
        <w:t>In their defence as filed, the factual basis of th</w:t>
      </w:r>
      <w:r w:rsidR="00AC5D38">
        <w:rPr>
          <w:lang w:val="en-GB"/>
        </w:rPr>
        <w:t>e additional</w:t>
      </w:r>
      <w:r w:rsidR="005B52B1">
        <w:rPr>
          <w:lang w:val="en-GB"/>
        </w:rPr>
        <w:t xml:space="preserve"> defence is set out in a schedule</w:t>
      </w:r>
      <w:r w:rsidR="00E460FC">
        <w:rPr>
          <w:lang w:val="en-GB"/>
        </w:rPr>
        <w:t xml:space="preserve">.  </w:t>
      </w:r>
      <w:r>
        <w:rPr>
          <w:lang w:val="en-GB"/>
        </w:rPr>
        <w:t xml:space="preserve">The present controversy concerns a </w:t>
      </w:r>
      <w:r w:rsidR="005B52B1">
        <w:rPr>
          <w:lang w:val="en-GB"/>
        </w:rPr>
        <w:t>proposed new</w:t>
      </w:r>
      <w:r w:rsidR="00816A5F">
        <w:rPr>
          <w:lang w:val="en-GB"/>
        </w:rPr>
        <w:t xml:space="preserve"> schedule (</w:t>
      </w:r>
      <w:r w:rsidRPr="0089178C">
        <w:rPr>
          <w:b/>
          <w:bCs/>
          <w:lang w:val="en-GB"/>
        </w:rPr>
        <w:t>Schedule</w:t>
      </w:r>
      <w:r w:rsidR="00816A5F" w:rsidRPr="005123DE">
        <w:rPr>
          <w:lang w:val="en-GB"/>
        </w:rPr>
        <w:t>)</w:t>
      </w:r>
      <w:r>
        <w:rPr>
          <w:lang w:val="en-GB"/>
        </w:rPr>
        <w:t xml:space="preserve"> </w:t>
      </w:r>
      <w:r w:rsidR="00816A5F">
        <w:rPr>
          <w:lang w:val="en-GB"/>
        </w:rPr>
        <w:t>which</w:t>
      </w:r>
      <w:r w:rsidR="00816A5F" w:rsidRPr="005B52B1">
        <w:rPr>
          <w:lang w:val="en-GB"/>
        </w:rPr>
        <w:t xml:space="preserve"> </w:t>
      </w:r>
      <w:r w:rsidRPr="005B52B1">
        <w:rPr>
          <w:lang w:val="en-GB"/>
        </w:rPr>
        <w:t>contains the particulars</w:t>
      </w:r>
      <w:r w:rsidR="00413B5F" w:rsidRPr="005B52B1">
        <w:rPr>
          <w:lang w:val="en-GB"/>
        </w:rPr>
        <w:t xml:space="preserve"> </w:t>
      </w:r>
      <w:r w:rsidR="00413B5F" w:rsidRPr="00721128">
        <w:rPr>
          <w:lang w:val="en-GB"/>
        </w:rPr>
        <w:t>of substantial truth</w:t>
      </w:r>
      <w:r w:rsidRPr="005B52B1">
        <w:rPr>
          <w:lang w:val="en-GB"/>
        </w:rPr>
        <w:t xml:space="preserve"> on which</w:t>
      </w:r>
      <w:r>
        <w:rPr>
          <w:lang w:val="en-GB"/>
        </w:rPr>
        <w:t xml:space="preserve"> the respondents seek to rely</w:t>
      </w:r>
      <w:r w:rsidR="002E5330">
        <w:rPr>
          <w:lang w:val="en-GB"/>
        </w:rPr>
        <w:t>.</w:t>
      </w:r>
    </w:p>
    <w:p w14:paraId="3628210A" w14:textId="76112741" w:rsidR="00301E46" w:rsidRDefault="00301E46" w:rsidP="00301E46">
      <w:pPr>
        <w:pStyle w:val="Heading2"/>
        <w:rPr>
          <w:lang w:val="en-GB"/>
        </w:rPr>
      </w:pPr>
      <w:r>
        <w:rPr>
          <w:lang w:val="en-GB"/>
        </w:rPr>
        <w:t xml:space="preserve">The Schedule and </w:t>
      </w:r>
      <w:r w:rsidR="002E5330">
        <w:rPr>
          <w:lang w:val="en-GB"/>
        </w:rPr>
        <w:t>Professor </w:t>
      </w:r>
      <w:r>
        <w:rPr>
          <w:lang w:val="en-GB"/>
        </w:rPr>
        <w:t>Winn's complaints about it</w:t>
      </w:r>
    </w:p>
    <w:p w14:paraId="3C885679" w14:textId="20857808" w:rsidR="00301E46" w:rsidRPr="008763E1" w:rsidRDefault="00301E46" w:rsidP="00301E46">
      <w:pPr>
        <w:pStyle w:val="ParaNumbering"/>
        <w:tabs>
          <w:tab w:val="num" w:pos="720"/>
        </w:tabs>
        <w:rPr>
          <w:lang w:val="en-GB"/>
        </w:rPr>
      </w:pPr>
      <w:r>
        <w:rPr>
          <w:lang w:val="en-GB"/>
        </w:rPr>
        <w:t>In summary</w:t>
      </w:r>
      <w:r w:rsidR="00413B5F">
        <w:rPr>
          <w:lang w:val="en-GB"/>
        </w:rPr>
        <w:t>,</w:t>
      </w:r>
      <w:r>
        <w:rPr>
          <w:lang w:val="en-GB"/>
        </w:rPr>
        <w:t xml:space="preserve"> the </w:t>
      </w:r>
      <w:proofErr w:type="gramStart"/>
      <w:r>
        <w:rPr>
          <w:lang w:val="en-GB"/>
        </w:rPr>
        <w:t>Schedule</w:t>
      </w:r>
      <w:proofErr w:type="gramEnd"/>
      <w:r>
        <w:rPr>
          <w:lang w:val="en-GB"/>
        </w:rPr>
        <w:t xml:space="preserve"> and </w:t>
      </w:r>
      <w:r w:rsidR="002E5330">
        <w:rPr>
          <w:lang w:val="en-GB"/>
        </w:rPr>
        <w:t>Professor </w:t>
      </w:r>
      <w:r w:rsidRPr="008763E1">
        <w:rPr>
          <w:lang w:val="en-GB"/>
        </w:rPr>
        <w:t>Winn</w:t>
      </w:r>
      <w:r>
        <w:rPr>
          <w:lang w:val="en-GB"/>
        </w:rPr>
        <w:t>'s submissions about it</w:t>
      </w:r>
      <w:r w:rsidRPr="008763E1">
        <w:rPr>
          <w:lang w:val="en-GB"/>
        </w:rPr>
        <w:t xml:space="preserve"> proceed</w:t>
      </w:r>
      <w:r>
        <w:rPr>
          <w:lang w:val="en-GB"/>
        </w:rPr>
        <w:t xml:space="preserve"> </w:t>
      </w:r>
      <w:r w:rsidRPr="008763E1">
        <w:rPr>
          <w:lang w:val="en-GB"/>
        </w:rPr>
        <w:t>as follows.</w:t>
      </w:r>
    </w:p>
    <w:p w14:paraId="556A31A1" w14:textId="4A823B33" w:rsidR="00301E46" w:rsidRDefault="00301E46" w:rsidP="00301E46">
      <w:pPr>
        <w:pStyle w:val="ParaNumbering"/>
        <w:tabs>
          <w:tab w:val="num" w:pos="720"/>
        </w:tabs>
        <w:rPr>
          <w:lang w:val="en-GB"/>
        </w:rPr>
      </w:pPr>
      <w:r w:rsidRPr="003C0CAA">
        <w:rPr>
          <w:lang w:val="en-GB"/>
        </w:rPr>
        <w:t xml:space="preserve">First, </w:t>
      </w:r>
      <w:r>
        <w:rPr>
          <w:lang w:val="en-GB"/>
        </w:rPr>
        <w:t>the Schedule</w:t>
      </w:r>
      <w:r w:rsidRPr="003C0CAA">
        <w:rPr>
          <w:lang w:val="en-GB"/>
        </w:rPr>
        <w:t xml:space="preserve"> introduces the School of Education at ECU and </w:t>
      </w:r>
      <w:r w:rsidR="002E5330">
        <w:rPr>
          <w:lang w:val="en-GB"/>
        </w:rPr>
        <w:t>Professor </w:t>
      </w:r>
      <w:r>
        <w:rPr>
          <w:lang w:val="en-GB"/>
        </w:rPr>
        <w:t>Winn</w:t>
      </w:r>
      <w:r w:rsidR="00E460FC">
        <w:rPr>
          <w:lang w:val="en-GB"/>
        </w:rPr>
        <w:t xml:space="preserve">.  </w:t>
      </w:r>
      <w:r>
        <w:rPr>
          <w:lang w:val="en-GB"/>
        </w:rPr>
        <w:t xml:space="preserve">These </w:t>
      </w:r>
      <w:r w:rsidRPr="003C0CAA">
        <w:rPr>
          <w:lang w:val="en-GB"/>
        </w:rPr>
        <w:t>parts are not presently controversial</w:t>
      </w:r>
      <w:r w:rsidR="002E5330">
        <w:rPr>
          <w:lang w:val="en-GB"/>
        </w:rPr>
        <w:t>.</w:t>
      </w:r>
    </w:p>
    <w:p w14:paraId="65FEC6E0" w14:textId="77777777" w:rsidR="00301E46" w:rsidRDefault="00301E46" w:rsidP="00301E46">
      <w:pPr>
        <w:pStyle w:val="Heading3"/>
        <w:rPr>
          <w:lang w:val="en-GB"/>
        </w:rPr>
      </w:pPr>
      <w:r>
        <w:rPr>
          <w:lang w:val="en-GB"/>
        </w:rPr>
        <w:t>Leadership style</w:t>
      </w:r>
    </w:p>
    <w:p w14:paraId="7A2073F6" w14:textId="2A3A9C5A" w:rsidR="00301E46" w:rsidRDefault="00301E46" w:rsidP="00301E46">
      <w:pPr>
        <w:pStyle w:val="ParaNumbering"/>
        <w:tabs>
          <w:tab w:val="num" w:pos="720"/>
        </w:tabs>
        <w:rPr>
          <w:lang w:val="en-GB"/>
        </w:rPr>
      </w:pPr>
      <w:r w:rsidRPr="003C0CAA">
        <w:rPr>
          <w:lang w:val="en-GB"/>
        </w:rPr>
        <w:t xml:space="preserve">Then, there a section under the heading of </w:t>
      </w:r>
      <w:r w:rsidR="002E5330">
        <w:rPr>
          <w:lang w:val="en-GB"/>
        </w:rPr>
        <w:t>Professor </w:t>
      </w:r>
      <w:r>
        <w:rPr>
          <w:lang w:val="en-GB"/>
        </w:rPr>
        <w:t>Winn</w:t>
      </w:r>
      <w:r w:rsidRPr="003C0CAA">
        <w:rPr>
          <w:lang w:val="en-GB"/>
        </w:rPr>
        <w:t>'s 'leadership style'</w:t>
      </w:r>
      <w:r w:rsidR="00E460FC">
        <w:rPr>
          <w:lang w:val="en-GB"/>
        </w:rPr>
        <w:t xml:space="preserve">.  </w:t>
      </w:r>
      <w:r w:rsidRPr="003C0CAA">
        <w:rPr>
          <w:lang w:val="en-GB"/>
        </w:rPr>
        <w:t>This can be broken into four components</w:t>
      </w:r>
      <w:r w:rsidR="002E5330">
        <w:rPr>
          <w:lang w:val="en-GB"/>
        </w:rPr>
        <w:t>.</w:t>
      </w:r>
    </w:p>
    <w:p w14:paraId="4A0D967C" w14:textId="2BE6B31F" w:rsidR="00301E46" w:rsidRDefault="00301E46" w:rsidP="00301E46">
      <w:pPr>
        <w:pStyle w:val="ParaNumbering"/>
        <w:tabs>
          <w:tab w:val="num" w:pos="720"/>
        </w:tabs>
        <w:rPr>
          <w:lang w:val="en-GB"/>
        </w:rPr>
      </w:pPr>
      <w:r w:rsidRPr="003C0CAA">
        <w:rPr>
          <w:lang w:val="en-GB"/>
        </w:rPr>
        <w:t xml:space="preserve">The first is allegations that </w:t>
      </w:r>
      <w:r w:rsidR="002E5330">
        <w:rPr>
          <w:lang w:val="en-GB"/>
        </w:rPr>
        <w:t>Professor </w:t>
      </w:r>
      <w:r>
        <w:rPr>
          <w:lang w:val="en-GB"/>
        </w:rPr>
        <w:t>Winn</w:t>
      </w:r>
      <w:r w:rsidRPr="003C0CAA">
        <w:rPr>
          <w:lang w:val="en-GB"/>
        </w:rPr>
        <w:t>'s predecessor as Executive Dean 'established a culture of collegiality, honesty and open communication amongst staff at the School of Education' (para 10)</w:t>
      </w:r>
      <w:r w:rsidR="00E460FC">
        <w:rPr>
          <w:lang w:val="en-GB"/>
        </w:rPr>
        <w:t xml:space="preserve">.  </w:t>
      </w:r>
      <w:r w:rsidR="002E5330">
        <w:rPr>
          <w:lang w:val="en-GB"/>
        </w:rPr>
        <w:t>Professor </w:t>
      </w:r>
      <w:r>
        <w:rPr>
          <w:lang w:val="en-GB"/>
        </w:rPr>
        <w:t>Winn</w:t>
      </w:r>
      <w:r w:rsidRPr="003C0CAA">
        <w:rPr>
          <w:lang w:val="en-GB"/>
        </w:rPr>
        <w:t xml:space="preserve"> submits that this lacks detail about what </w:t>
      </w:r>
      <w:r w:rsidR="002E5330">
        <w:rPr>
          <w:lang w:val="en-GB"/>
        </w:rPr>
        <w:t>Professor </w:t>
      </w:r>
      <w:r>
        <w:rPr>
          <w:lang w:val="en-GB"/>
        </w:rPr>
        <w:t>Winn</w:t>
      </w:r>
      <w:r w:rsidRPr="003C0CAA">
        <w:rPr>
          <w:lang w:val="en-GB"/>
        </w:rPr>
        <w:t xml:space="preserve">'s predecessor did to establish such a culture and fails to appraise him of the case he </w:t>
      </w:r>
      <w:proofErr w:type="gramStart"/>
      <w:r w:rsidRPr="003C0CAA">
        <w:rPr>
          <w:lang w:val="en-GB"/>
        </w:rPr>
        <w:t>has to</w:t>
      </w:r>
      <w:proofErr w:type="gramEnd"/>
      <w:r w:rsidRPr="003C0CAA">
        <w:rPr>
          <w:lang w:val="en-GB"/>
        </w:rPr>
        <w:t xml:space="preserve"> meet</w:t>
      </w:r>
      <w:r w:rsidR="002E5330">
        <w:rPr>
          <w:lang w:val="en-GB"/>
        </w:rPr>
        <w:t>.</w:t>
      </w:r>
    </w:p>
    <w:p w14:paraId="0652DF1A" w14:textId="5B8BEEDC" w:rsidR="00301E46" w:rsidRDefault="00301E46" w:rsidP="00301E46">
      <w:pPr>
        <w:pStyle w:val="ParaNumbering"/>
        <w:tabs>
          <w:tab w:val="num" w:pos="720"/>
        </w:tabs>
        <w:rPr>
          <w:lang w:val="en-GB"/>
        </w:rPr>
      </w:pPr>
      <w:r w:rsidRPr="003C0CAA">
        <w:rPr>
          <w:lang w:val="en-GB"/>
        </w:rPr>
        <w:t xml:space="preserve">The next component concerns what is alleged to be an unwritten policy that </w:t>
      </w:r>
      <w:r w:rsidR="002E5330">
        <w:rPr>
          <w:lang w:val="en-GB"/>
        </w:rPr>
        <w:t>Professor </w:t>
      </w:r>
      <w:r>
        <w:rPr>
          <w:lang w:val="en-GB"/>
        </w:rPr>
        <w:t>Winn</w:t>
      </w:r>
      <w:r w:rsidRPr="003C0CAA">
        <w:rPr>
          <w:lang w:val="en-GB"/>
        </w:rPr>
        <w:t xml:space="preserve"> adopted when he commenced as Executive Dean, that he would not have any direct communication with staff members below the level of Associate Professor</w:t>
      </w:r>
      <w:r w:rsidR="00E460FC">
        <w:rPr>
          <w:lang w:val="en-GB"/>
        </w:rPr>
        <w:t xml:space="preserve">.  </w:t>
      </w:r>
      <w:r w:rsidRPr="003C0CAA">
        <w:rPr>
          <w:lang w:val="en-GB"/>
        </w:rPr>
        <w:t xml:space="preserve">The effects of that policy are said to be that it made staff members below that level 'feel undervalued and alienated' (para 13(a)) and that it caused Associate Deans to be intermediaries between </w:t>
      </w:r>
      <w:r w:rsidR="002E5330">
        <w:rPr>
          <w:lang w:val="en-GB"/>
        </w:rPr>
        <w:t>Professor </w:t>
      </w:r>
      <w:r>
        <w:rPr>
          <w:lang w:val="en-GB"/>
        </w:rPr>
        <w:t>Winn</w:t>
      </w:r>
      <w:r w:rsidRPr="003C0CAA">
        <w:rPr>
          <w:lang w:val="en-GB"/>
        </w:rPr>
        <w:t xml:space="preserve"> and all other staff, so that they 'were required to reluctantly deliver bad news to lower-ranking staff members resulting from decisions unilaterally made by' </w:t>
      </w:r>
      <w:r w:rsidR="002E5330">
        <w:rPr>
          <w:lang w:val="en-GB"/>
        </w:rPr>
        <w:t>Professor </w:t>
      </w:r>
      <w:r>
        <w:rPr>
          <w:lang w:val="en-GB"/>
        </w:rPr>
        <w:t>Winn</w:t>
      </w:r>
      <w:r w:rsidRPr="003C0CAA">
        <w:rPr>
          <w:lang w:val="en-GB"/>
        </w:rPr>
        <w:t xml:space="preserve"> (para 13(b))</w:t>
      </w:r>
      <w:r w:rsidR="002E5330">
        <w:rPr>
          <w:lang w:val="en-GB"/>
        </w:rPr>
        <w:t>.</w:t>
      </w:r>
    </w:p>
    <w:p w14:paraId="3445A9EF" w14:textId="4EAD7DEA" w:rsidR="00301E46" w:rsidRDefault="00301E46" w:rsidP="00301E46">
      <w:pPr>
        <w:pStyle w:val="ParaNumbering"/>
        <w:tabs>
          <w:tab w:val="num" w:pos="720"/>
        </w:tabs>
        <w:rPr>
          <w:lang w:val="en-GB"/>
        </w:rPr>
      </w:pPr>
      <w:r>
        <w:rPr>
          <w:lang w:val="en-GB"/>
        </w:rPr>
        <w:lastRenderedPageBreak/>
        <w:t xml:space="preserve">The third component of this section of the Schedule makes allegations that </w:t>
      </w:r>
      <w:r w:rsidR="002E5330">
        <w:rPr>
          <w:lang w:val="en-GB"/>
        </w:rPr>
        <w:t>Professor </w:t>
      </w:r>
      <w:r>
        <w:rPr>
          <w:lang w:val="en-GB"/>
        </w:rPr>
        <w:t xml:space="preserve">Winn did not reply to certain emails that were sent by colleagues, </w:t>
      </w:r>
      <w:r w:rsidR="000E0822">
        <w:rPr>
          <w:lang w:val="en-GB"/>
        </w:rPr>
        <w:t xml:space="preserve">both </w:t>
      </w:r>
      <w:r>
        <w:rPr>
          <w:lang w:val="en-GB"/>
        </w:rPr>
        <w:t xml:space="preserve">to </w:t>
      </w:r>
      <w:r w:rsidR="002E5330">
        <w:rPr>
          <w:lang w:val="en-GB"/>
        </w:rPr>
        <w:t>Professor </w:t>
      </w:r>
      <w:r>
        <w:rPr>
          <w:lang w:val="en-GB"/>
        </w:rPr>
        <w:t xml:space="preserve">Winn specifically </w:t>
      </w:r>
      <w:r w:rsidR="000E0822">
        <w:rPr>
          <w:lang w:val="en-GB"/>
        </w:rPr>
        <w:t xml:space="preserve">and </w:t>
      </w:r>
      <w:r>
        <w:rPr>
          <w:lang w:val="en-GB"/>
        </w:rPr>
        <w:t>to all colleagues (para 14)</w:t>
      </w:r>
      <w:r w:rsidR="002E5330">
        <w:rPr>
          <w:lang w:val="en-GB"/>
        </w:rPr>
        <w:t>.</w:t>
      </w:r>
    </w:p>
    <w:p w14:paraId="6F950638" w14:textId="0C00D7A4" w:rsidR="00301E46" w:rsidRDefault="00301E46" w:rsidP="00301E46">
      <w:pPr>
        <w:pStyle w:val="ParaNumbering"/>
        <w:tabs>
          <w:tab w:val="num" w:pos="720"/>
        </w:tabs>
        <w:rPr>
          <w:lang w:val="en-GB"/>
        </w:rPr>
      </w:pPr>
      <w:r>
        <w:rPr>
          <w:lang w:val="en-GB"/>
        </w:rPr>
        <w:t>The fourth component of this section is an allegation that, by reason of the above matters, '</w:t>
      </w:r>
      <w:r w:rsidRPr="00086AEF">
        <w:rPr>
          <w:lang w:val="en-GB"/>
        </w:rPr>
        <w:t>staff members at the School of Education considered the Applicant to be distant and unapproachable</w:t>
      </w:r>
      <w:r>
        <w:rPr>
          <w:lang w:val="en-GB"/>
        </w:rPr>
        <w:t>'</w:t>
      </w:r>
      <w:r w:rsidR="00E460FC">
        <w:rPr>
          <w:lang w:val="en-GB"/>
        </w:rPr>
        <w:t xml:space="preserve">.  </w:t>
      </w:r>
      <w:r>
        <w:rPr>
          <w:lang w:val="en-GB"/>
        </w:rPr>
        <w:t xml:space="preserve">It is said </w:t>
      </w:r>
      <w:r w:rsidR="00242A6A">
        <w:rPr>
          <w:lang w:val="en-GB"/>
        </w:rPr>
        <w:t xml:space="preserve">(para 15) </w:t>
      </w:r>
      <w:r>
        <w:rPr>
          <w:lang w:val="en-GB"/>
        </w:rPr>
        <w:t>that this was 'later evidenced' by matters that occurred at a staff meeting in June 2021, which will be mentioned below</w:t>
      </w:r>
      <w:r w:rsidR="002E5330">
        <w:rPr>
          <w:lang w:val="en-GB"/>
        </w:rPr>
        <w:t>.</w:t>
      </w:r>
    </w:p>
    <w:p w14:paraId="431C8EBA" w14:textId="5EACF811" w:rsidR="00301E46" w:rsidRDefault="002E5330" w:rsidP="00301E46">
      <w:pPr>
        <w:pStyle w:val="ParaNumbering"/>
        <w:tabs>
          <w:tab w:val="num" w:pos="720"/>
        </w:tabs>
        <w:rPr>
          <w:lang w:val="en-GB"/>
        </w:rPr>
      </w:pPr>
      <w:r>
        <w:rPr>
          <w:lang w:val="en-GB"/>
        </w:rPr>
        <w:t>Professor </w:t>
      </w:r>
      <w:r w:rsidR="00301E46" w:rsidRPr="2E34F682">
        <w:rPr>
          <w:lang w:val="en-GB"/>
        </w:rPr>
        <w:t>Winn submits that in view of the size of the School of Education and the number of interactions he had with staff each day, he cannot know what evidence to subpoena and what witnesses to call to refute the second, third and fourth components just described</w:t>
      </w:r>
      <w:r w:rsidR="00E460FC">
        <w:rPr>
          <w:lang w:val="en-GB"/>
        </w:rPr>
        <w:t xml:space="preserve">.  </w:t>
      </w:r>
      <w:r w:rsidR="00301E46">
        <w:rPr>
          <w:lang w:val="en-GB"/>
        </w:rPr>
        <w:t xml:space="preserve">An affidavit he affirmed on 23 February 2024 contains evidence that the </w:t>
      </w:r>
      <w:proofErr w:type="gramStart"/>
      <w:r w:rsidR="00301E46">
        <w:rPr>
          <w:lang w:val="en-GB"/>
        </w:rPr>
        <w:t>School</w:t>
      </w:r>
      <w:proofErr w:type="gramEnd"/>
      <w:r w:rsidR="00301E46">
        <w:rPr>
          <w:lang w:val="en-GB"/>
        </w:rPr>
        <w:t xml:space="preserve"> had 70 to 80 academic staff members, 29 professional staff members and around 600 casual staff members</w:t>
      </w:r>
      <w:r w:rsidR="00E460FC">
        <w:rPr>
          <w:lang w:val="en-GB"/>
        </w:rPr>
        <w:t xml:space="preserve">.  </w:t>
      </w:r>
      <w:r w:rsidR="00301E46">
        <w:rPr>
          <w:lang w:val="en-GB"/>
        </w:rPr>
        <w:t xml:space="preserve">That means it would be </w:t>
      </w:r>
      <w:r w:rsidR="00301E46" w:rsidRPr="2E34F682">
        <w:rPr>
          <w:lang w:val="en-GB"/>
        </w:rPr>
        <w:t xml:space="preserve">oppressive, </w:t>
      </w:r>
      <w:r>
        <w:rPr>
          <w:lang w:val="en-GB"/>
        </w:rPr>
        <w:t>Professor </w:t>
      </w:r>
      <w:r w:rsidR="00301E46" w:rsidRPr="00BE38E4">
        <w:rPr>
          <w:lang w:val="en-GB"/>
        </w:rPr>
        <w:t>Winn</w:t>
      </w:r>
      <w:r w:rsidR="00301E46" w:rsidRPr="2E34F682">
        <w:rPr>
          <w:lang w:val="en-GB"/>
        </w:rPr>
        <w:t xml:space="preserve"> says, to require him to try to answer these particulars</w:t>
      </w:r>
      <w:r w:rsidR="00301E46">
        <w:rPr>
          <w:lang w:val="en-GB"/>
        </w:rPr>
        <w:t>, especially when the people who are alleged to have felt undervalued and alienated</w:t>
      </w:r>
      <w:r w:rsidR="00404AB2">
        <w:rPr>
          <w:lang w:val="en-GB"/>
        </w:rPr>
        <w:t xml:space="preserve"> </w:t>
      </w:r>
      <w:r w:rsidR="00301E46">
        <w:rPr>
          <w:lang w:val="en-GB"/>
        </w:rPr>
        <w:t>are not named</w:t>
      </w:r>
      <w:r>
        <w:rPr>
          <w:lang w:val="en-GB"/>
        </w:rPr>
        <w:t>.</w:t>
      </w:r>
    </w:p>
    <w:p w14:paraId="399C3D21" w14:textId="00905774" w:rsidR="00301E46" w:rsidRDefault="002E5330" w:rsidP="00301E46">
      <w:pPr>
        <w:pStyle w:val="ParaNumbering"/>
        <w:tabs>
          <w:tab w:val="num" w:pos="720"/>
        </w:tabs>
        <w:rPr>
          <w:lang w:val="en-GB"/>
        </w:rPr>
      </w:pPr>
      <w:r>
        <w:rPr>
          <w:lang w:val="en-GB"/>
        </w:rPr>
        <w:t>Professor </w:t>
      </w:r>
      <w:r w:rsidR="00301E46" w:rsidRPr="008265D1">
        <w:rPr>
          <w:lang w:val="en-GB"/>
        </w:rPr>
        <w:t>Winn</w:t>
      </w:r>
      <w:r w:rsidR="00301E46">
        <w:rPr>
          <w:lang w:val="en-GB"/>
        </w:rPr>
        <w:t xml:space="preserve"> </w:t>
      </w:r>
      <w:r w:rsidR="00301E46" w:rsidRPr="2E34F682">
        <w:rPr>
          <w:lang w:val="en-GB"/>
        </w:rPr>
        <w:t>also says that, since it is not alleged that these matters amount to bullying, intimidation or gaslighting, they are of limited relevance</w:t>
      </w:r>
      <w:r w:rsidR="00E460FC">
        <w:rPr>
          <w:lang w:val="en-GB"/>
        </w:rPr>
        <w:t xml:space="preserve">.  </w:t>
      </w:r>
      <w:r w:rsidR="00301E46" w:rsidRPr="2E34F682">
        <w:rPr>
          <w:lang w:val="en-GB"/>
        </w:rPr>
        <w:t>The conduct alleged could only possibly relate to the imputation</w:t>
      </w:r>
      <w:r w:rsidR="00301E46">
        <w:rPr>
          <w:lang w:val="en-GB"/>
        </w:rPr>
        <w:t>s</w:t>
      </w:r>
      <w:r w:rsidR="00301E46" w:rsidRPr="2E34F682">
        <w:rPr>
          <w:lang w:val="en-GB"/>
        </w:rPr>
        <w:t xml:space="preserve"> that he created or fostered a toxic workplace culture of bullying and fear</w:t>
      </w:r>
      <w:r w:rsidR="00E460FC">
        <w:rPr>
          <w:lang w:val="en-GB"/>
        </w:rPr>
        <w:t xml:space="preserve">.  </w:t>
      </w:r>
      <w:r w:rsidR="00301E46" w:rsidRPr="2E34F682">
        <w:rPr>
          <w:lang w:val="en-GB"/>
        </w:rPr>
        <w:t xml:space="preserve">And even then, he says, </w:t>
      </w:r>
      <w:r w:rsidR="00301E46">
        <w:rPr>
          <w:lang w:val="en-GB"/>
        </w:rPr>
        <w:t>it is</w:t>
      </w:r>
      <w:r w:rsidR="00301E46" w:rsidRPr="2E34F682">
        <w:rPr>
          <w:lang w:val="en-GB"/>
        </w:rPr>
        <w:t xml:space="preserve"> insufficient to establish the truth of those matters</w:t>
      </w:r>
      <w:r>
        <w:rPr>
          <w:lang w:val="en-GB"/>
        </w:rPr>
        <w:t>.</w:t>
      </w:r>
    </w:p>
    <w:p w14:paraId="39E1E05F" w14:textId="74D19757" w:rsidR="00301E46" w:rsidRDefault="002E5330" w:rsidP="00301E46">
      <w:pPr>
        <w:pStyle w:val="ParaNumbering"/>
        <w:tabs>
          <w:tab w:val="num" w:pos="720"/>
        </w:tabs>
        <w:rPr>
          <w:lang w:val="en-GB"/>
        </w:rPr>
      </w:pPr>
      <w:r>
        <w:rPr>
          <w:lang w:val="en-GB"/>
        </w:rPr>
        <w:t>Professor </w:t>
      </w:r>
      <w:r w:rsidR="00301E46">
        <w:rPr>
          <w:lang w:val="en-GB"/>
        </w:rPr>
        <w:t xml:space="preserve">Winn further submitted, </w:t>
      </w:r>
      <w:proofErr w:type="gramStart"/>
      <w:r w:rsidR="00301E46">
        <w:rPr>
          <w:lang w:val="en-GB"/>
        </w:rPr>
        <w:t>on the basis of</w:t>
      </w:r>
      <w:proofErr w:type="gramEnd"/>
      <w:r w:rsidR="00301E46">
        <w:rPr>
          <w:lang w:val="en-GB"/>
        </w:rPr>
        <w:t xml:space="preserve"> his affidavit, that these allegations are demonstrably false</w:t>
      </w:r>
      <w:r w:rsidR="00E460FC">
        <w:rPr>
          <w:lang w:val="en-GB"/>
        </w:rPr>
        <w:t xml:space="preserve">.  </w:t>
      </w:r>
      <w:r w:rsidR="00301E46">
        <w:rPr>
          <w:lang w:val="en-GB"/>
        </w:rPr>
        <w:t xml:space="preserve">But at the hearing of the application, his counsel correctly accepted that to the extent that his client </w:t>
      </w:r>
      <w:r w:rsidR="00724301">
        <w:rPr>
          <w:lang w:val="en-GB"/>
        </w:rPr>
        <w:t xml:space="preserve">contends </w:t>
      </w:r>
      <w:r w:rsidR="00301E46">
        <w:rPr>
          <w:lang w:val="en-GB"/>
        </w:rPr>
        <w:t xml:space="preserve">that the allegations made in the Schedule disclosed no reasonable defence, </w:t>
      </w:r>
      <w:r w:rsidR="00301E46" w:rsidRPr="00670291">
        <w:rPr>
          <w:lang w:val="en-GB"/>
        </w:rPr>
        <w:t xml:space="preserve">it </w:t>
      </w:r>
      <w:r w:rsidR="00724301">
        <w:rPr>
          <w:lang w:val="en-GB"/>
        </w:rPr>
        <w:t>i</w:t>
      </w:r>
      <w:r w:rsidR="00301E46" w:rsidRPr="00670291">
        <w:rPr>
          <w:lang w:val="en-GB"/>
        </w:rPr>
        <w:t>s not to the point that there might be evidence that contradict</w:t>
      </w:r>
      <w:r w:rsidR="00724301">
        <w:rPr>
          <w:lang w:val="en-GB"/>
        </w:rPr>
        <w:t>s</w:t>
      </w:r>
      <w:r w:rsidR="00301E46" w:rsidRPr="00670291">
        <w:rPr>
          <w:lang w:val="en-GB"/>
        </w:rPr>
        <w:t xml:space="preserve"> the allegations</w:t>
      </w:r>
      <w:r w:rsidRPr="00670291">
        <w:rPr>
          <w:lang w:val="en-GB"/>
        </w:rPr>
        <w:t>:</w:t>
      </w:r>
      <w:r>
        <w:rPr>
          <w:lang w:val="en-GB"/>
        </w:rPr>
        <w:t xml:space="preserve">  </w:t>
      </w:r>
      <w:r w:rsidR="00301E46">
        <w:rPr>
          <w:lang w:val="en-GB"/>
        </w:rPr>
        <w:t>see e.g</w:t>
      </w:r>
      <w:r w:rsidR="00E460FC">
        <w:rPr>
          <w:lang w:val="en-GB"/>
        </w:rPr>
        <w:t xml:space="preserve">. </w:t>
      </w:r>
      <w:r w:rsidR="00301E46" w:rsidRPr="00FB237E">
        <w:rPr>
          <w:i/>
          <w:iCs/>
          <w:lang w:val="en-GB"/>
        </w:rPr>
        <w:t>General Steel Industries Inc v Commissioner for Railways</w:t>
      </w:r>
      <w:r w:rsidR="00723805" w:rsidRPr="00FB237E">
        <w:rPr>
          <w:i/>
          <w:iCs/>
          <w:lang w:val="en-GB"/>
        </w:rPr>
        <w:t xml:space="preserve"> (NSW)</w:t>
      </w:r>
      <w:r w:rsidR="00301E46" w:rsidRPr="00FB237E">
        <w:rPr>
          <w:lang w:val="en-GB"/>
        </w:rPr>
        <w:t xml:space="preserve"> (1964) 112 CLR 125</w:t>
      </w:r>
      <w:r w:rsidR="00301E46">
        <w:rPr>
          <w:lang w:val="en-GB"/>
        </w:rPr>
        <w:t xml:space="preserve"> at</w:t>
      </w:r>
      <w:r w:rsidR="000B633E">
        <w:rPr>
          <w:lang w:val="en-GB"/>
        </w:rPr>
        <w:t> </w:t>
      </w:r>
      <w:r w:rsidR="00670291">
        <w:rPr>
          <w:lang w:val="en-GB"/>
        </w:rPr>
        <w:t>129-</w:t>
      </w:r>
      <w:r w:rsidR="00301E46">
        <w:rPr>
          <w:lang w:val="en-GB"/>
        </w:rPr>
        <w:t>130</w:t>
      </w:r>
      <w:r>
        <w:rPr>
          <w:lang w:val="en-GB"/>
        </w:rPr>
        <w:t>.</w:t>
      </w:r>
    </w:p>
    <w:p w14:paraId="29697DFF" w14:textId="4F81C101" w:rsidR="00301E46" w:rsidRPr="00F671D1" w:rsidRDefault="00301E46" w:rsidP="00301E46">
      <w:pPr>
        <w:pStyle w:val="ParaNumbering"/>
        <w:tabs>
          <w:tab w:val="num" w:pos="720"/>
        </w:tabs>
        <w:rPr>
          <w:lang w:val="en-GB"/>
        </w:rPr>
      </w:pPr>
      <w:proofErr w:type="gramStart"/>
      <w:r w:rsidRPr="001463F7">
        <w:rPr>
          <w:lang w:val="en-GB"/>
        </w:rPr>
        <w:t>In light of</w:t>
      </w:r>
      <w:proofErr w:type="gramEnd"/>
      <w:r w:rsidRPr="001463F7">
        <w:rPr>
          <w:lang w:val="en-GB"/>
        </w:rPr>
        <w:t xml:space="preserve"> that concession, I will have no regard to that particular submission, and several similar ones that </w:t>
      </w:r>
      <w:r w:rsidR="002E5330">
        <w:rPr>
          <w:lang w:val="en-GB"/>
        </w:rPr>
        <w:t>Professor </w:t>
      </w:r>
      <w:r w:rsidRPr="001463F7">
        <w:rPr>
          <w:lang w:val="en-GB"/>
        </w:rPr>
        <w:t>Winn made, that is, submissions that factual allegations were not true</w:t>
      </w:r>
      <w:r w:rsidR="00E460FC">
        <w:rPr>
          <w:lang w:val="en-GB"/>
        </w:rPr>
        <w:t xml:space="preserve">.  </w:t>
      </w:r>
      <w:r w:rsidRPr="001463F7">
        <w:rPr>
          <w:lang w:val="en-GB"/>
        </w:rPr>
        <w:t>The affidavit was nevertheless</w:t>
      </w:r>
      <w:r>
        <w:rPr>
          <w:lang w:val="en-GB"/>
        </w:rPr>
        <w:t xml:space="preserve"> admitted into evidence without objection, on the basis that it was potentially relevant to </w:t>
      </w:r>
      <w:r w:rsidR="002E5330">
        <w:rPr>
          <w:lang w:val="en-GB"/>
        </w:rPr>
        <w:t>Professor </w:t>
      </w:r>
      <w:r w:rsidRPr="008265D1">
        <w:rPr>
          <w:lang w:val="en-GB"/>
        </w:rPr>
        <w:t>Winn</w:t>
      </w:r>
      <w:r>
        <w:rPr>
          <w:lang w:val="en-GB"/>
        </w:rPr>
        <w:t>'s submissions that aspects of the proposed amended were embarrassing and prejudiced his preparation for trial</w:t>
      </w:r>
      <w:r w:rsidR="00E460FC">
        <w:rPr>
          <w:lang w:val="en-GB"/>
        </w:rPr>
        <w:t xml:space="preserve">.  </w:t>
      </w:r>
      <w:r>
        <w:rPr>
          <w:lang w:val="en-GB"/>
        </w:rPr>
        <w:t xml:space="preserve">Similarly, submissions </w:t>
      </w:r>
      <w:r>
        <w:rPr>
          <w:lang w:val="en-GB"/>
        </w:rPr>
        <w:lastRenderedPageBreak/>
        <w:t xml:space="preserve">that </w:t>
      </w:r>
      <w:r w:rsidR="002E5330">
        <w:rPr>
          <w:lang w:val="en-GB"/>
        </w:rPr>
        <w:t>Professor </w:t>
      </w:r>
      <w:r w:rsidRPr="007B5AC7">
        <w:rPr>
          <w:lang w:val="en-GB"/>
        </w:rPr>
        <w:t>Winn</w:t>
      </w:r>
      <w:r>
        <w:rPr>
          <w:lang w:val="en-GB"/>
        </w:rPr>
        <w:t xml:space="preserve"> made to the effect that pleadings of inferences in the proposed amended defence were </w:t>
      </w:r>
      <w:proofErr w:type="gramStart"/>
      <w:r>
        <w:rPr>
          <w:lang w:val="en-GB"/>
        </w:rPr>
        <w:t>deficient, because</w:t>
      </w:r>
      <w:proofErr w:type="gramEnd"/>
      <w:r>
        <w:rPr>
          <w:lang w:val="en-GB"/>
        </w:rPr>
        <w:t xml:space="preserve"> his evidence showed that there were other inferences possible, will not be addressed further</w:t>
      </w:r>
      <w:r w:rsidR="00E460FC">
        <w:rPr>
          <w:lang w:val="en-GB"/>
        </w:rPr>
        <w:t xml:space="preserve">.  </w:t>
      </w:r>
      <w:r w:rsidR="00642C0C">
        <w:rPr>
          <w:lang w:val="en-GB"/>
        </w:rPr>
        <w:t xml:space="preserve">They </w:t>
      </w:r>
      <w:r>
        <w:rPr>
          <w:lang w:val="en-GB"/>
        </w:rPr>
        <w:t>too merely raise factual disputes that must be determined a</w:t>
      </w:r>
      <w:r w:rsidR="00B447C4">
        <w:rPr>
          <w:lang w:val="en-GB"/>
        </w:rPr>
        <w:t>t</w:t>
      </w:r>
      <w:r>
        <w:rPr>
          <w:lang w:val="en-GB"/>
        </w:rPr>
        <w:t xml:space="preserve"> trial</w:t>
      </w:r>
      <w:r w:rsidR="002E5330">
        <w:rPr>
          <w:lang w:val="en-GB"/>
        </w:rPr>
        <w:t>.</w:t>
      </w:r>
    </w:p>
    <w:p w14:paraId="4F135F2D" w14:textId="77777777" w:rsidR="00301E46" w:rsidRDefault="00301E46" w:rsidP="00301E46">
      <w:pPr>
        <w:pStyle w:val="Heading3"/>
        <w:rPr>
          <w:lang w:val="en-GB"/>
        </w:rPr>
      </w:pPr>
      <w:bookmarkStart w:id="23" w:name="_Ref163557507"/>
      <w:r>
        <w:rPr>
          <w:lang w:val="en-GB"/>
        </w:rPr>
        <w:t>Investigation into honorarium</w:t>
      </w:r>
      <w:bookmarkEnd w:id="23"/>
    </w:p>
    <w:p w14:paraId="35371C63" w14:textId="52B03605" w:rsidR="00301E46" w:rsidRDefault="00301E46" w:rsidP="00301E46">
      <w:pPr>
        <w:pStyle w:val="ParaNumbering"/>
        <w:tabs>
          <w:tab w:val="num" w:pos="720"/>
        </w:tabs>
        <w:rPr>
          <w:lang w:val="en-GB"/>
        </w:rPr>
      </w:pPr>
      <w:r>
        <w:rPr>
          <w:lang w:val="en-GB"/>
        </w:rPr>
        <w:t xml:space="preserve">Then, under the heading just given, the Schedule narrates events in which, it is said, </w:t>
      </w:r>
      <w:r w:rsidR="002E5330">
        <w:rPr>
          <w:lang w:val="en-GB"/>
        </w:rPr>
        <w:t>Professor </w:t>
      </w:r>
      <w:r w:rsidRPr="00426347">
        <w:rPr>
          <w:lang w:val="en-GB"/>
        </w:rPr>
        <w:t>Winn</w:t>
      </w:r>
      <w:r>
        <w:rPr>
          <w:lang w:val="en-GB"/>
        </w:rPr>
        <w:t xml:space="preserve"> referred a Senior Lecturer, Geoff Lowe, </w:t>
      </w:r>
      <w:r w:rsidRPr="006F3EA9">
        <w:rPr>
          <w:lang w:val="en-GB"/>
        </w:rPr>
        <w:t xml:space="preserve">to the ECU Office of Integrity for </w:t>
      </w:r>
      <w:r>
        <w:rPr>
          <w:lang w:val="en-GB"/>
        </w:rPr>
        <w:t xml:space="preserve">allegedly </w:t>
      </w:r>
      <w:r w:rsidRPr="006F3EA9">
        <w:rPr>
          <w:lang w:val="en-GB"/>
        </w:rPr>
        <w:t xml:space="preserve">failing to disclose </w:t>
      </w:r>
      <w:r>
        <w:rPr>
          <w:lang w:val="en-GB"/>
        </w:rPr>
        <w:t>an</w:t>
      </w:r>
      <w:r w:rsidRPr="006F3EA9">
        <w:rPr>
          <w:lang w:val="en-GB"/>
        </w:rPr>
        <w:t xml:space="preserve"> honorarium</w:t>
      </w:r>
      <w:r>
        <w:rPr>
          <w:lang w:val="en-GB"/>
        </w:rPr>
        <w:t xml:space="preserve"> of $1,000</w:t>
      </w:r>
      <w:r w:rsidR="00314EA9">
        <w:rPr>
          <w:lang w:val="en-GB"/>
        </w:rPr>
        <w:t xml:space="preserve"> (para 24)</w:t>
      </w:r>
      <w:r w:rsidR="00E460FC">
        <w:rPr>
          <w:lang w:val="en-GB"/>
        </w:rPr>
        <w:t xml:space="preserve">.  </w:t>
      </w:r>
      <w:r w:rsidR="000B633E">
        <w:rPr>
          <w:lang w:val="en-GB"/>
        </w:rPr>
        <w:t>Dr </w:t>
      </w:r>
      <w:r>
        <w:rPr>
          <w:lang w:val="en-GB"/>
        </w:rPr>
        <w:t>Lowe is said to have received this from a university in the United States for defraying the costs of students from that university who had visited ECU</w:t>
      </w:r>
      <w:r w:rsidR="00E460FC">
        <w:rPr>
          <w:lang w:val="en-GB"/>
        </w:rPr>
        <w:t xml:space="preserve">.  </w:t>
      </w:r>
      <w:r w:rsidR="006219DC" w:rsidRPr="006219DC">
        <w:rPr>
          <w:lang w:val="en-GB"/>
        </w:rPr>
        <w:t>Professor Winn did not communicate his concerns to Dr</w:t>
      </w:r>
      <w:r w:rsidR="00F276D6">
        <w:rPr>
          <w:lang w:val="en-GB"/>
        </w:rPr>
        <w:t> </w:t>
      </w:r>
      <w:r w:rsidR="006219DC" w:rsidRPr="006219DC">
        <w:rPr>
          <w:lang w:val="en-GB"/>
        </w:rPr>
        <w:t>Lowe prior to referring him to the ECU Office of Integrity</w:t>
      </w:r>
      <w:r w:rsidR="00E460FC">
        <w:rPr>
          <w:lang w:val="en-GB"/>
        </w:rPr>
        <w:t xml:space="preserve">.  </w:t>
      </w:r>
      <w:r w:rsidR="006219DC" w:rsidRPr="006219DC">
        <w:rPr>
          <w:lang w:val="en-GB"/>
        </w:rPr>
        <w:t>It is said that, during the investigation, Dr Lowe felt intimidated and afraid that he would lose his job.</w:t>
      </w:r>
    </w:p>
    <w:p w14:paraId="1E48D00B" w14:textId="3E814515" w:rsidR="00301E46" w:rsidRDefault="00301E46" w:rsidP="00301E46">
      <w:pPr>
        <w:pStyle w:val="ParaNumbering"/>
        <w:tabs>
          <w:tab w:val="num" w:pos="720"/>
        </w:tabs>
        <w:rPr>
          <w:lang w:val="en-GB"/>
        </w:rPr>
      </w:pPr>
      <w:r>
        <w:rPr>
          <w:lang w:val="en-GB"/>
        </w:rPr>
        <w:t xml:space="preserve">It is said that after investigating for five months, the Office of Integrity found that </w:t>
      </w:r>
      <w:r w:rsidR="000B633E">
        <w:rPr>
          <w:lang w:val="en-GB"/>
        </w:rPr>
        <w:t>Dr </w:t>
      </w:r>
      <w:r>
        <w:rPr>
          <w:lang w:val="en-GB"/>
        </w:rPr>
        <w:t>Lowe had no case to answer</w:t>
      </w:r>
      <w:r w:rsidR="00E460FC">
        <w:rPr>
          <w:lang w:val="en-GB"/>
        </w:rPr>
        <w:t xml:space="preserve">.  </w:t>
      </w:r>
      <w:r>
        <w:rPr>
          <w:lang w:val="en-GB"/>
        </w:rPr>
        <w:t xml:space="preserve">But then </w:t>
      </w:r>
      <w:r w:rsidR="00B447C4">
        <w:rPr>
          <w:lang w:val="en-GB"/>
        </w:rPr>
        <w:t>an</w:t>
      </w:r>
      <w:r w:rsidRPr="00EB24E1">
        <w:rPr>
          <w:lang w:val="en-GB"/>
        </w:rPr>
        <w:t xml:space="preserve"> Associate Dean, Andy Jones</w:t>
      </w:r>
      <w:r>
        <w:rPr>
          <w:lang w:val="en-GB"/>
        </w:rPr>
        <w:t xml:space="preserve">, gave </w:t>
      </w:r>
      <w:r w:rsidR="000B633E">
        <w:rPr>
          <w:lang w:val="en-GB"/>
        </w:rPr>
        <w:t>Dr </w:t>
      </w:r>
      <w:r>
        <w:rPr>
          <w:lang w:val="en-GB"/>
        </w:rPr>
        <w:t xml:space="preserve">Lowe a letter signed </w:t>
      </w:r>
      <w:r w:rsidRPr="00642C0C">
        <w:rPr>
          <w:lang w:val="en-GB"/>
        </w:rPr>
        <w:t xml:space="preserve">by </w:t>
      </w:r>
      <w:r w:rsidR="002E5330" w:rsidRPr="00642C0C">
        <w:rPr>
          <w:lang w:val="en-GB"/>
        </w:rPr>
        <w:t>Professor </w:t>
      </w:r>
      <w:r w:rsidRPr="00642C0C">
        <w:rPr>
          <w:lang w:val="en-GB"/>
        </w:rPr>
        <w:t xml:space="preserve">Winn (and, it is said, rewritten by him from a draft prepared by </w:t>
      </w:r>
      <w:r w:rsidR="000B633E" w:rsidRPr="001864D8">
        <w:rPr>
          <w:lang w:val="en-GB"/>
        </w:rPr>
        <w:t>Dr</w:t>
      </w:r>
      <w:r w:rsidR="00642C0C">
        <w:rPr>
          <w:lang w:val="en-GB"/>
        </w:rPr>
        <w:t xml:space="preserve"> </w:t>
      </w:r>
      <w:r>
        <w:rPr>
          <w:lang w:val="en-GB"/>
        </w:rPr>
        <w:t>Jones) '</w:t>
      </w:r>
      <w:r w:rsidRPr="004C1B37">
        <w:rPr>
          <w:lang w:val="en-GB"/>
        </w:rPr>
        <w:t>which referred to a range of obscure University by-laws, stating that Lowe had brought ECU into disrepute, and suggested that Lowe was unprofessional</w:t>
      </w:r>
      <w:r>
        <w:rPr>
          <w:lang w:val="en-GB"/>
        </w:rPr>
        <w:t>' (para 29(c))</w:t>
      </w:r>
      <w:r w:rsidR="002E5330">
        <w:rPr>
          <w:lang w:val="en-GB"/>
        </w:rPr>
        <w:t>.</w:t>
      </w:r>
    </w:p>
    <w:p w14:paraId="6A61F3CF" w14:textId="34EEB968" w:rsidR="00301E46" w:rsidRDefault="00301E46" w:rsidP="00301E46">
      <w:pPr>
        <w:pStyle w:val="ParaNumbering"/>
        <w:tabs>
          <w:tab w:val="num" w:pos="720"/>
        </w:tabs>
        <w:rPr>
          <w:lang w:val="en-GB"/>
        </w:rPr>
      </w:pPr>
      <w:r>
        <w:rPr>
          <w:lang w:val="en-GB"/>
        </w:rPr>
        <w:t>The Schedule alleges that:</w:t>
      </w:r>
    </w:p>
    <w:p w14:paraId="4AD346C8" w14:textId="587CB8F6" w:rsidR="00301E46" w:rsidRDefault="00301E46" w:rsidP="00301E46">
      <w:pPr>
        <w:pStyle w:val="ListNo1alt"/>
        <w:numPr>
          <w:ilvl w:val="0"/>
          <w:numId w:val="30"/>
        </w:numPr>
      </w:pPr>
      <w:r>
        <w:t>in 'circumstances where the Office of Integrity had cleared Lowe of any wrongdoing, it is to be inferred that the Applicant's letter to Lowe was designed to be intimidatory and to instil a sense of fear' (para 30); and</w:t>
      </w:r>
    </w:p>
    <w:p w14:paraId="264F46CB" w14:textId="136C67D1" w:rsidR="00301E46" w:rsidRDefault="002E5330" w:rsidP="00301E46">
      <w:pPr>
        <w:pStyle w:val="ListNo1alt"/>
        <w:numPr>
          <w:ilvl w:val="0"/>
          <w:numId w:val="30"/>
        </w:numPr>
      </w:pPr>
      <w:r>
        <w:t>Professor </w:t>
      </w:r>
      <w:r w:rsidR="00301E46" w:rsidRPr="00390DB0">
        <w:t>Winn</w:t>
      </w:r>
      <w:r w:rsidR="00301E46">
        <w:t xml:space="preserve">'s conduct towards </w:t>
      </w:r>
      <w:r w:rsidR="000B633E">
        <w:t>Dr </w:t>
      </w:r>
      <w:r w:rsidR="00301E46">
        <w:t>Lowe '</w:t>
      </w:r>
      <w:r w:rsidR="00301E46" w:rsidRPr="00390DB0">
        <w:t>constituted bullying, gaslighting, and contributed to a culture of fear amongst staff at the School of Education</w:t>
      </w:r>
      <w:r w:rsidR="00301E46">
        <w:t>' (para 33)</w:t>
      </w:r>
      <w:r>
        <w:t>.</w:t>
      </w:r>
    </w:p>
    <w:p w14:paraId="4A5B8EF2" w14:textId="5550619D" w:rsidR="00301E46" w:rsidRDefault="002E5330" w:rsidP="00301E46">
      <w:pPr>
        <w:pStyle w:val="ParaNumbering"/>
        <w:tabs>
          <w:tab w:val="num" w:pos="720"/>
        </w:tabs>
        <w:rPr>
          <w:lang w:val="en-GB"/>
        </w:rPr>
      </w:pPr>
      <w:r>
        <w:rPr>
          <w:lang w:val="en-GB"/>
        </w:rPr>
        <w:t>Professor </w:t>
      </w:r>
      <w:r w:rsidR="00301E46" w:rsidRPr="00070B08">
        <w:rPr>
          <w:lang w:val="en-GB"/>
        </w:rPr>
        <w:t>Winn</w:t>
      </w:r>
      <w:r w:rsidR="00301E46">
        <w:rPr>
          <w:lang w:val="en-GB"/>
        </w:rPr>
        <w:t xml:space="preserve"> submits that the respondents do not have a copy of the letter they refer to at paragraph 29(c) of the Schedule, so they have</w:t>
      </w:r>
      <w:r w:rsidR="00372B5D">
        <w:rPr>
          <w:lang w:val="en-GB"/>
        </w:rPr>
        <w:t xml:space="preserve"> an</w:t>
      </w:r>
      <w:r w:rsidR="00301E46">
        <w:rPr>
          <w:lang w:val="en-GB"/>
        </w:rPr>
        <w:t xml:space="preserve"> insufficient basis for that paragraph and the plea in paragraph 30</w:t>
      </w:r>
      <w:r w:rsidR="00E460FC">
        <w:rPr>
          <w:lang w:val="en-GB"/>
        </w:rPr>
        <w:t xml:space="preserve">.  </w:t>
      </w:r>
      <w:r w:rsidR="00301E46">
        <w:rPr>
          <w:lang w:val="en-GB"/>
        </w:rPr>
        <w:t>They should not be permitted to obtain the letter by subpoena later</w:t>
      </w:r>
      <w:r w:rsidR="00E460FC">
        <w:rPr>
          <w:lang w:val="en-GB"/>
        </w:rPr>
        <w:t xml:space="preserve">.  </w:t>
      </w:r>
      <w:r>
        <w:rPr>
          <w:lang w:val="en-GB"/>
        </w:rPr>
        <w:t>Professor </w:t>
      </w:r>
      <w:r w:rsidR="00301E46">
        <w:rPr>
          <w:lang w:val="en-GB"/>
        </w:rPr>
        <w:t>Winn was relying, in that regard, on the general principle that a defendant should be in a position to allege facts sufficient to support a plea of justification at the time the defence is filed, and will not be permitted to await subpoenas and discovery before pleading such facts</w:t>
      </w:r>
      <w:r>
        <w:rPr>
          <w:lang w:val="en-GB"/>
        </w:rPr>
        <w:t xml:space="preserve">:  </w:t>
      </w:r>
      <w:r w:rsidR="00301E46">
        <w:rPr>
          <w:lang w:val="en-GB"/>
        </w:rPr>
        <w:t xml:space="preserve">see </w:t>
      </w:r>
      <w:r w:rsidR="00301E46" w:rsidRPr="00FB237E">
        <w:rPr>
          <w:b/>
          <w:bCs/>
          <w:i/>
          <w:iCs/>
          <w:lang w:val="en-GB"/>
        </w:rPr>
        <w:t>Rush</w:t>
      </w:r>
      <w:r w:rsidR="00301E46" w:rsidRPr="00FB237E">
        <w:rPr>
          <w:i/>
          <w:iCs/>
          <w:lang w:val="en-GB"/>
        </w:rPr>
        <w:t xml:space="preserve"> v Nationwide News Pty Ltd</w:t>
      </w:r>
      <w:r w:rsidR="00301E46" w:rsidRPr="00FB237E">
        <w:rPr>
          <w:lang w:val="en-GB"/>
        </w:rPr>
        <w:t xml:space="preserve"> [2018] FCA 357</w:t>
      </w:r>
      <w:r w:rsidR="00301E46">
        <w:rPr>
          <w:lang w:val="en-GB"/>
        </w:rPr>
        <w:t xml:space="preserve"> at</w:t>
      </w:r>
      <w:r w:rsidR="00A609B5">
        <w:rPr>
          <w:lang w:val="en-GB"/>
        </w:rPr>
        <w:t> </w:t>
      </w:r>
      <w:r w:rsidR="00301E46">
        <w:rPr>
          <w:lang w:val="en-GB"/>
        </w:rPr>
        <w:t>[172]</w:t>
      </w:r>
      <w:r w:rsidR="00A609B5">
        <w:rPr>
          <w:lang w:val="en-GB"/>
        </w:rPr>
        <w:noBreakHyphen/>
      </w:r>
      <w:r w:rsidR="00301E46">
        <w:rPr>
          <w:lang w:val="en-GB"/>
        </w:rPr>
        <w:t>[175] (</w:t>
      </w:r>
      <w:proofErr w:type="spellStart"/>
      <w:r w:rsidR="00301E46">
        <w:rPr>
          <w:lang w:val="en-GB"/>
        </w:rPr>
        <w:t>Wigney</w:t>
      </w:r>
      <w:proofErr w:type="spellEnd"/>
      <w:r w:rsidR="00A609B5">
        <w:rPr>
          <w:lang w:val="en-GB"/>
        </w:rPr>
        <w:t> </w:t>
      </w:r>
      <w:r w:rsidR="00301E46">
        <w:rPr>
          <w:lang w:val="en-GB"/>
        </w:rPr>
        <w:t>J).</w:t>
      </w:r>
    </w:p>
    <w:p w14:paraId="3587B268" w14:textId="4530DD16" w:rsidR="00301E46" w:rsidRDefault="00301E46" w:rsidP="00301E46">
      <w:pPr>
        <w:pStyle w:val="ParaNumbering"/>
        <w:tabs>
          <w:tab w:val="num" w:pos="720"/>
        </w:tabs>
        <w:rPr>
          <w:lang w:val="en-GB"/>
        </w:rPr>
      </w:pPr>
      <w:r>
        <w:rPr>
          <w:lang w:val="en-GB"/>
        </w:rPr>
        <w:lastRenderedPageBreak/>
        <w:t xml:space="preserve">Further, </w:t>
      </w:r>
      <w:r w:rsidR="002E5330">
        <w:rPr>
          <w:lang w:val="en-GB"/>
        </w:rPr>
        <w:t>Professor </w:t>
      </w:r>
      <w:r w:rsidRPr="001F4F21">
        <w:rPr>
          <w:lang w:val="en-GB"/>
        </w:rPr>
        <w:t>Winn</w:t>
      </w:r>
      <w:r>
        <w:rPr>
          <w:lang w:val="en-GB"/>
        </w:rPr>
        <w:t xml:space="preserve"> submits that the </w:t>
      </w:r>
      <w:r w:rsidRPr="001F4F21">
        <w:rPr>
          <w:lang w:val="en-GB"/>
        </w:rPr>
        <w:t>conduct</w:t>
      </w:r>
      <w:r>
        <w:rPr>
          <w:lang w:val="en-GB"/>
        </w:rPr>
        <w:t xml:space="preserve"> pleaded does not amount to bullying, intimidation or gaslighting</w:t>
      </w:r>
      <w:r w:rsidR="00E460FC">
        <w:rPr>
          <w:lang w:val="en-GB"/>
        </w:rPr>
        <w:t xml:space="preserve">.  </w:t>
      </w:r>
      <w:r w:rsidR="00CA74D5">
        <w:rPr>
          <w:lang w:val="en-GB"/>
        </w:rPr>
        <w:t>Professor Winn</w:t>
      </w:r>
      <w:r w:rsidRPr="00973D1D">
        <w:rPr>
          <w:lang w:val="en-GB"/>
        </w:rPr>
        <w:t xml:space="preserve"> says that this section of the Schedule does not allege any conduct by </w:t>
      </w:r>
      <w:r w:rsidR="00CA74D5">
        <w:rPr>
          <w:lang w:val="en-GB"/>
        </w:rPr>
        <w:t>he</w:t>
      </w:r>
      <w:r w:rsidRPr="00973D1D">
        <w:rPr>
          <w:lang w:val="en-GB"/>
        </w:rPr>
        <w:t xml:space="preserve"> himself</w:t>
      </w:r>
      <w:r w:rsidR="00E460FC">
        <w:rPr>
          <w:lang w:val="en-GB"/>
        </w:rPr>
        <w:t xml:space="preserve">.  </w:t>
      </w:r>
      <w:r>
        <w:rPr>
          <w:lang w:val="en-GB"/>
        </w:rPr>
        <w:t>In any event it is, he says, '</w:t>
      </w:r>
      <w:r w:rsidRPr="001B0184">
        <w:rPr>
          <w:lang w:val="en-GB"/>
        </w:rPr>
        <w:t xml:space="preserve">more akin to </w:t>
      </w:r>
      <w:r>
        <w:rPr>
          <w:lang w:val="en-GB"/>
        </w:rPr>
        <w:t>"</w:t>
      </w:r>
      <w:r w:rsidRPr="001B0184">
        <w:rPr>
          <w:lang w:val="en-GB"/>
        </w:rPr>
        <w:t>reasonable management action</w:t>
      </w:r>
      <w:r>
        <w:rPr>
          <w:lang w:val="en-GB"/>
        </w:rPr>
        <w:t>"</w:t>
      </w:r>
      <w:r w:rsidRPr="001B0184">
        <w:rPr>
          <w:lang w:val="en-GB"/>
        </w:rPr>
        <w:t xml:space="preserve"> within the meaning of </w:t>
      </w:r>
      <w:r>
        <w:rPr>
          <w:lang w:val="en-GB"/>
        </w:rPr>
        <w:t>the</w:t>
      </w:r>
      <w:r w:rsidRPr="001B0184">
        <w:rPr>
          <w:lang w:val="en-GB"/>
        </w:rPr>
        <w:t xml:space="preserve"> </w:t>
      </w:r>
      <w:r w:rsidRPr="001214AE">
        <w:rPr>
          <w:i/>
          <w:iCs/>
          <w:lang w:val="en-GB"/>
        </w:rPr>
        <w:t>Fair Work Act 2009</w:t>
      </w:r>
      <w:r w:rsidRPr="001B0184">
        <w:rPr>
          <w:lang w:val="en-GB"/>
        </w:rPr>
        <w:t xml:space="preserve"> (</w:t>
      </w:r>
      <w:proofErr w:type="spellStart"/>
      <w:r w:rsidRPr="001B0184">
        <w:rPr>
          <w:lang w:val="en-GB"/>
        </w:rPr>
        <w:t>Cth</w:t>
      </w:r>
      <w:proofErr w:type="spellEnd"/>
      <w:r w:rsidRPr="001B0184">
        <w:rPr>
          <w:lang w:val="en-GB"/>
        </w:rPr>
        <w:t>) s</w:t>
      </w:r>
      <w:r w:rsidR="00A609B5">
        <w:rPr>
          <w:lang w:val="en-GB"/>
        </w:rPr>
        <w:t> </w:t>
      </w:r>
      <w:r w:rsidRPr="001B0184">
        <w:rPr>
          <w:lang w:val="en-GB"/>
        </w:rPr>
        <w:t>789FD</w:t>
      </w:r>
      <w:r>
        <w:rPr>
          <w:lang w:val="en-GB"/>
        </w:rPr>
        <w:t>'</w:t>
      </w:r>
      <w:r w:rsidR="00E460FC">
        <w:rPr>
          <w:lang w:val="en-GB"/>
        </w:rPr>
        <w:t xml:space="preserve">.  </w:t>
      </w:r>
      <w:r>
        <w:rPr>
          <w:lang w:val="en-GB"/>
        </w:rPr>
        <w:t>He submits that the particulars do not support the inferences and conclusions in paragraphs</w:t>
      </w:r>
      <w:r w:rsidR="00A609B5">
        <w:rPr>
          <w:lang w:val="en-GB"/>
        </w:rPr>
        <w:t> </w:t>
      </w:r>
      <w:r>
        <w:rPr>
          <w:lang w:val="en-GB"/>
        </w:rPr>
        <w:t xml:space="preserve">30 and 33 of the Schedule, </w:t>
      </w:r>
      <w:r w:rsidRPr="00B12B09">
        <w:rPr>
          <w:lang w:val="en-GB"/>
        </w:rPr>
        <w:t>which do not arise above speculation and conjecture</w:t>
      </w:r>
      <w:r w:rsidR="00E460FC">
        <w:rPr>
          <w:lang w:val="en-GB"/>
        </w:rPr>
        <w:t xml:space="preserve">.  </w:t>
      </w:r>
      <w:r>
        <w:rPr>
          <w:lang w:val="en-GB"/>
        </w:rPr>
        <w:t xml:space="preserve">Further, to the extent that the allegations about </w:t>
      </w:r>
      <w:r w:rsidR="000B633E">
        <w:rPr>
          <w:lang w:val="en-GB"/>
        </w:rPr>
        <w:t>Dr </w:t>
      </w:r>
      <w:r>
        <w:rPr>
          <w:lang w:val="en-GB"/>
        </w:rPr>
        <w:t xml:space="preserve">Lowe's honorarium are said to have contributed to a toxic workplace culture of bullying and fear, </w:t>
      </w:r>
      <w:r w:rsidR="002E5330" w:rsidRPr="00885EBE">
        <w:rPr>
          <w:lang w:val="en-GB"/>
        </w:rPr>
        <w:t>Professor </w:t>
      </w:r>
      <w:r w:rsidRPr="00885EBE">
        <w:rPr>
          <w:lang w:val="en-GB"/>
        </w:rPr>
        <w:t>Winn submits that particulars of how that occurred are missing, especially since the events alleged can be expected to have been private</w:t>
      </w:r>
      <w:r w:rsidR="002E5330" w:rsidRPr="00885EBE">
        <w:rPr>
          <w:lang w:val="en-GB"/>
        </w:rPr>
        <w:t>.</w:t>
      </w:r>
    </w:p>
    <w:p w14:paraId="31D4071D" w14:textId="77777777" w:rsidR="00301E46" w:rsidRPr="006D4097" w:rsidRDefault="00301E46" w:rsidP="00301E46">
      <w:pPr>
        <w:pStyle w:val="Heading3"/>
        <w:rPr>
          <w:lang w:val="en-GB"/>
        </w:rPr>
      </w:pPr>
      <w:r>
        <w:t>DFAT Funding</w:t>
      </w:r>
    </w:p>
    <w:p w14:paraId="2E21BA61" w14:textId="3CA60846" w:rsidR="00301E46" w:rsidRDefault="00301E46" w:rsidP="00301E46">
      <w:pPr>
        <w:pStyle w:val="ParaNumbering"/>
        <w:tabs>
          <w:tab w:val="num" w:pos="720"/>
        </w:tabs>
      </w:pPr>
      <w:r w:rsidRPr="2E34F682">
        <w:t xml:space="preserve">There is </w:t>
      </w:r>
      <w:r w:rsidRPr="009F3F91">
        <w:rPr>
          <w:lang w:val="en-GB"/>
        </w:rPr>
        <w:t>then</w:t>
      </w:r>
      <w:r w:rsidRPr="2E34F682">
        <w:t xml:space="preserve"> a section concerning funding that another member of the School of Education, Bill Allen, had received from the Department of Foreign Affairs and Trade (</w:t>
      </w:r>
      <w:r w:rsidRPr="2E34F682">
        <w:rPr>
          <w:b/>
          <w:bCs/>
        </w:rPr>
        <w:t>DFAT</w:t>
      </w:r>
      <w:r w:rsidRPr="2E34F682">
        <w:t>) to provide professional development for teachers from Papua, Indonesia</w:t>
      </w:r>
      <w:r w:rsidR="002E5330">
        <w:t>.</w:t>
      </w:r>
    </w:p>
    <w:p w14:paraId="5EF7E2B8" w14:textId="2034C2D3" w:rsidR="00301E46" w:rsidRDefault="00301E46" w:rsidP="00301E46">
      <w:pPr>
        <w:pStyle w:val="ParaNumbering"/>
        <w:tabs>
          <w:tab w:val="num" w:pos="720"/>
        </w:tabs>
        <w:rPr>
          <w:lang w:val="en-GB"/>
        </w:rPr>
      </w:pPr>
      <w:bookmarkStart w:id="24" w:name="_Ref163656498"/>
      <w:r>
        <w:rPr>
          <w:lang w:val="en-GB"/>
        </w:rPr>
        <w:t xml:space="preserve">Essentially, according to the Schedule, a dispute arose between </w:t>
      </w:r>
      <w:r w:rsidR="000B633E">
        <w:rPr>
          <w:lang w:val="en-GB"/>
        </w:rPr>
        <w:t>Dr </w:t>
      </w:r>
      <w:r>
        <w:rPr>
          <w:lang w:val="en-GB"/>
        </w:rPr>
        <w:t xml:space="preserve">Allen and </w:t>
      </w:r>
      <w:r w:rsidR="00141778">
        <w:rPr>
          <w:lang w:val="en-GB"/>
        </w:rPr>
        <w:t>Professor </w:t>
      </w:r>
      <w:r>
        <w:rPr>
          <w:lang w:val="en-GB"/>
        </w:rPr>
        <w:t xml:space="preserve">Winn about </w:t>
      </w:r>
      <w:r w:rsidRPr="00A83B49">
        <w:rPr>
          <w:lang w:val="en-GB"/>
        </w:rPr>
        <w:t xml:space="preserve">whether those funds </w:t>
      </w:r>
      <w:r w:rsidR="007B3C87">
        <w:rPr>
          <w:lang w:val="en-GB"/>
        </w:rPr>
        <w:t>were to</w:t>
      </w:r>
      <w:r w:rsidR="007B3C87" w:rsidRPr="00A83B49">
        <w:rPr>
          <w:lang w:val="en-GB"/>
        </w:rPr>
        <w:t xml:space="preserve"> </w:t>
      </w:r>
      <w:r w:rsidRPr="00A83B49">
        <w:rPr>
          <w:lang w:val="en-GB"/>
        </w:rPr>
        <w:t xml:space="preserve">be </w:t>
      </w:r>
      <w:r w:rsidR="007B3C87">
        <w:rPr>
          <w:lang w:val="en-GB"/>
        </w:rPr>
        <w:t>'confiscated' from Dr</w:t>
      </w:r>
      <w:r w:rsidR="008D432A">
        <w:rPr>
          <w:lang w:val="en-GB"/>
        </w:rPr>
        <w:t> </w:t>
      </w:r>
      <w:r w:rsidR="007B3C87">
        <w:rPr>
          <w:lang w:val="en-GB"/>
        </w:rPr>
        <w:t>Allen</w:t>
      </w:r>
      <w:r w:rsidR="00E460FC">
        <w:rPr>
          <w:lang w:val="en-GB"/>
        </w:rPr>
        <w:t xml:space="preserve">.  </w:t>
      </w:r>
      <w:r>
        <w:rPr>
          <w:lang w:val="en-GB"/>
        </w:rPr>
        <w:t xml:space="preserve">This is said to have resulted in </w:t>
      </w:r>
      <w:r w:rsidR="002E5330">
        <w:rPr>
          <w:lang w:val="en-GB"/>
        </w:rPr>
        <w:t>Professor </w:t>
      </w:r>
      <w:r w:rsidRPr="00CB039F">
        <w:rPr>
          <w:lang w:val="en-GB"/>
        </w:rPr>
        <w:t>Winn</w:t>
      </w:r>
      <w:r>
        <w:rPr>
          <w:lang w:val="en-GB"/>
        </w:rPr>
        <w:t xml:space="preserve"> being informed that the funds could not be confiscated</w:t>
      </w:r>
      <w:r w:rsidR="0014334C">
        <w:rPr>
          <w:lang w:val="en-GB"/>
        </w:rPr>
        <w:t xml:space="preserve"> (para 43)</w:t>
      </w:r>
      <w:r w:rsidR="00E460FC">
        <w:rPr>
          <w:lang w:val="en-GB"/>
        </w:rPr>
        <w:t xml:space="preserve">.  </w:t>
      </w:r>
      <w:proofErr w:type="gramStart"/>
      <w:r>
        <w:rPr>
          <w:lang w:val="en-GB"/>
        </w:rPr>
        <w:t>But,</w:t>
      </w:r>
      <w:proofErr w:type="gramEnd"/>
      <w:r>
        <w:rPr>
          <w:lang w:val="en-GB"/>
        </w:rPr>
        <w:t xml:space="preserve"> it is alleged, </w:t>
      </w:r>
      <w:r w:rsidR="002E5330">
        <w:rPr>
          <w:lang w:val="en-GB"/>
        </w:rPr>
        <w:t>Professor </w:t>
      </w:r>
      <w:r w:rsidRPr="000647FA">
        <w:rPr>
          <w:lang w:val="en-GB"/>
        </w:rPr>
        <w:t>Winn</w:t>
      </w:r>
      <w:r>
        <w:rPr>
          <w:lang w:val="en-GB"/>
        </w:rPr>
        <w:t xml:space="preserve"> told </w:t>
      </w:r>
      <w:r w:rsidR="000B633E">
        <w:rPr>
          <w:lang w:val="en-GB"/>
        </w:rPr>
        <w:t>Dr </w:t>
      </w:r>
      <w:r>
        <w:rPr>
          <w:lang w:val="en-GB"/>
        </w:rPr>
        <w:t xml:space="preserve">Allen, via </w:t>
      </w:r>
      <w:r w:rsidR="000B633E">
        <w:rPr>
          <w:lang w:val="en-GB"/>
        </w:rPr>
        <w:t>Dr </w:t>
      </w:r>
      <w:r>
        <w:rPr>
          <w:lang w:val="en-GB"/>
        </w:rPr>
        <w:t>Jones, that he was required to spend the remaining funds by the end of 2020</w:t>
      </w:r>
      <w:r w:rsidR="00E460FC">
        <w:rPr>
          <w:lang w:val="en-GB"/>
        </w:rPr>
        <w:t xml:space="preserve">.  </w:t>
      </w:r>
      <w:r>
        <w:rPr>
          <w:lang w:val="en-GB"/>
        </w:rPr>
        <w:t xml:space="preserve">Then, in January 2020 when </w:t>
      </w:r>
      <w:r w:rsidR="000B633E">
        <w:rPr>
          <w:lang w:val="en-GB"/>
        </w:rPr>
        <w:t>Dr </w:t>
      </w:r>
      <w:r>
        <w:rPr>
          <w:lang w:val="en-GB"/>
        </w:rPr>
        <w:t xml:space="preserve">Allen applied to use the remaining funding for a trip to Indonesia where he had been invited to </w:t>
      </w:r>
      <w:r w:rsidRPr="00012980">
        <w:rPr>
          <w:lang w:val="en-GB"/>
        </w:rPr>
        <w:t>conduct</w:t>
      </w:r>
      <w:r>
        <w:rPr>
          <w:lang w:val="en-GB"/>
        </w:rPr>
        <w:t xml:space="preserve"> professional development programs, </w:t>
      </w:r>
      <w:r w:rsidR="002E5330">
        <w:rPr>
          <w:lang w:val="en-GB"/>
        </w:rPr>
        <w:t>Professor </w:t>
      </w:r>
      <w:r w:rsidRPr="00211C6F">
        <w:rPr>
          <w:lang w:val="en-GB"/>
        </w:rPr>
        <w:t>Winn</w:t>
      </w:r>
      <w:r>
        <w:rPr>
          <w:lang w:val="en-GB"/>
        </w:rPr>
        <w:t xml:space="preserve"> is said to have denied approval</w:t>
      </w:r>
      <w:r w:rsidR="002E5330">
        <w:rPr>
          <w:lang w:val="en-GB"/>
        </w:rPr>
        <w:t>.</w:t>
      </w:r>
      <w:bookmarkEnd w:id="24"/>
    </w:p>
    <w:p w14:paraId="66C1919F" w14:textId="4036587F" w:rsidR="00301E46" w:rsidRDefault="00301E46" w:rsidP="00301E46">
      <w:pPr>
        <w:pStyle w:val="ParaNumbering"/>
        <w:tabs>
          <w:tab w:val="num" w:pos="720"/>
        </w:tabs>
        <w:rPr>
          <w:lang w:val="en-GB"/>
        </w:rPr>
      </w:pPr>
      <w:r>
        <w:rPr>
          <w:lang w:val="en-GB"/>
        </w:rPr>
        <w:t xml:space="preserve">The Schedule alleges, at paragraph 47, that </w:t>
      </w:r>
      <w:r w:rsidR="000B633E">
        <w:rPr>
          <w:lang w:val="en-GB"/>
        </w:rPr>
        <w:t>Dr </w:t>
      </w:r>
      <w:r>
        <w:rPr>
          <w:lang w:val="en-GB"/>
        </w:rPr>
        <w:t xml:space="preserve">Jones told </w:t>
      </w:r>
      <w:r w:rsidR="000B633E">
        <w:rPr>
          <w:lang w:val="en-GB"/>
        </w:rPr>
        <w:t>Dr </w:t>
      </w:r>
      <w:r>
        <w:rPr>
          <w:lang w:val="en-GB"/>
        </w:rPr>
        <w:t xml:space="preserve">Allen, in substance, that </w:t>
      </w:r>
      <w:r w:rsidR="002E5330">
        <w:rPr>
          <w:lang w:val="en-GB"/>
        </w:rPr>
        <w:t>Professor </w:t>
      </w:r>
      <w:r w:rsidRPr="00211C6F">
        <w:rPr>
          <w:lang w:val="en-GB"/>
        </w:rPr>
        <w:t>Winn</w:t>
      </w:r>
      <w:r>
        <w:rPr>
          <w:lang w:val="en-GB"/>
        </w:rPr>
        <w:t>:</w:t>
      </w:r>
    </w:p>
    <w:p w14:paraId="2AFC665E" w14:textId="5328964A" w:rsidR="00301E46" w:rsidRDefault="00301E46" w:rsidP="00F8239A">
      <w:pPr>
        <w:pStyle w:val="Quote1"/>
        <w:spacing w:after="360"/>
        <w:rPr>
          <w:lang w:val="en-GB"/>
        </w:rPr>
      </w:pPr>
      <w:r w:rsidRPr="00012980">
        <w:rPr>
          <w:lang w:val="en-GB"/>
        </w:rPr>
        <w:t xml:space="preserve">has refused the application because he spoke with </w:t>
      </w:r>
      <w:r w:rsidR="00480841" w:rsidRPr="00012980">
        <w:rPr>
          <w:lang w:val="en-GB"/>
        </w:rPr>
        <w:t>ECU</w:t>
      </w:r>
      <w:r w:rsidR="00480841">
        <w:rPr>
          <w:lang w:val="en-GB"/>
        </w:rPr>
        <w:t>'</w:t>
      </w:r>
      <w:r w:rsidR="00480841" w:rsidRPr="00012980">
        <w:rPr>
          <w:lang w:val="en-GB"/>
        </w:rPr>
        <w:t xml:space="preserve">s </w:t>
      </w:r>
      <w:r w:rsidRPr="00012980">
        <w:rPr>
          <w:lang w:val="en-GB"/>
        </w:rPr>
        <w:t>legal and governance department, who informed him that research cannot be conducted in Indonesia without specific approval from the Indonesian Government.</w:t>
      </w:r>
    </w:p>
    <w:p w14:paraId="2FEFE350" w14:textId="05229568" w:rsidR="00301E46" w:rsidRDefault="00301E46" w:rsidP="00F8239A">
      <w:pPr>
        <w:pStyle w:val="NoNum"/>
        <w:rPr>
          <w:lang w:val="en-GB"/>
        </w:rPr>
      </w:pPr>
      <w:r>
        <w:rPr>
          <w:lang w:val="en-GB"/>
        </w:rPr>
        <w:t>No other details are given of this, for example a date on which it was said or other particulars of the occasion</w:t>
      </w:r>
      <w:r w:rsidR="00E460FC">
        <w:rPr>
          <w:lang w:val="en-GB"/>
        </w:rPr>
        <w:t xml:space="preserve">.  </w:t>
      </w:r>
      <w:r w:rsidR="002E5330">
        <w:rPr>
          <w:lang w:val="en-GB"/>
        </w:rPr>
        <w:t>Professor </w:t>
      </w:r>
      <w:r w:rsidRPr="008441C5">
        <w:rPr>
          <w:lang w:val="en-GB"/>
        </w:rPr>
        <w:t>Winn</w:t>
      </w:r>
      <w:r>
        <w:rPr>
          <w:lang w:val="en-GB"/>
        </w:rPr>
        <w:t xml:space="preserve"> says that this is impermissibly imprecise</w:t>
      </w:r>
      <w:r w:rsidR="002E5330">
        <w:rPr>
          <w:lang w:val="en-GB"/>
        </w:rPr>
        <w:t>.</w:t>
      </w:r>
    </w:p>
    <w:p w14:paraId="20F052A0" w14:textId="620ABB45" w:rsidR="00301E46" w:rsidRDefault="00301E46" w:rsidP="00301E46">
      <w:pPr>
        <w:pStyle w:val="ParaNumbering"/>
        <w:tabs>
          <w:tab w:val="num" w:pos="720"/>
        </w:tabs>
        <w:rPr>
          <w:lang w:val="en-GB"/>
        </w:rPr>
      </w:pPr>
      <w:r>
        <w:rPr>
          <w:lang w:val="en-GB"/>
        </w:rPr>
        <w:t xml:space="preserve">The </w:t>
      </w:r>
      <w:r w:rsidR="007E58F3">
        <w:rPr>
          <w:lang w:val="en-GB"/>
        </w:rPr>
        <w:t>S</w:t>
      </w:r>
      <w:r w:rsidR="00EA1B13">
        <w:rPr>
          <w:lang w:val="en-GB"/>
        </w:rPr>
        <w:t xml:space="preserve">chedule alleges </w:t>
      </w:r>
      <w:r w:rsidR="00F73C59">
        <w:rPr>
          <w:lang w:val="en-GB"/>
        </w:rPr>
        <w:t xml:space="preserve">that </w:t>
      </w:r>
      <w:r w:rsidR="00EA1B13">
        <w:rPr>
          <w:lang w:val="en-GB"/>
        </w:rPr>
        <w:t xml:space="preserve">the </w:t>
      </w:r>
      <w:r>
        <w:rPr>
          <w:lang w:val="en-GB"/>
        </w:rPr>
        <w:t xml:space="preserve">reason that </w:t>
      </w:r>
      <w:r w:rsidR="002E5330">
        <w:rPr>
          <w:lang w:val="en-GB"/>
        </w:rPr>
        <w:t>Professor </w:t>
      </w:r>
      <w:r w:rsidRPr="009C7A2E">
        <w:rPr>
          <w:lang w:val="en-GB"/>
        </w:rPr>
        <w:t>Winn</w:t>
      </w:r>
      <w:r>
        <w:rPr>
          <w:lang w:val="en-GB"/>
        </w:rPr>
        <w:t xml:space="preserve"> is said to have given for refusing the application </w:t>
      </w:r>
      <w:r w:rsidR="00F73652">
        <w:rPr>
          <w:lang w:val="en-GB"/>
        </w:rPr>
        <w:t>was</w:t>
      </w:r>
      <w:r w:rsidR="006B3DDD">
        <w:rPr>
          <w:lang w:val="en-GB"/>
        </w:rPr>
        <w:t xml:space="preserve"> </w:t>
      </w:r>
      <w:r>
        <w:rPr>
          <w:lang w:val="en-GB"/>
        </w:rPr>
        <w:t xml:space="preserve">false, because </w:t>
      </w:r>
      <w:r w:rsidRPr="00B14419">
        <w:rPr>
          <w:lang w:val="en-GB"/>
        </w:rPr>
        <w:t>the planned trip to Indonesia did not include any research</w:t>
      </w:r>
      <w:r>
        <w:rPr>
          <w:lang w:val="en-GB"/>
        </w:rPr>
        <w:t xml:space="preserve">, </w:t>
      </w:r>
      <w:r w:rsidRPr="00B14419">
        <w:rPr>
          <w:lang w:val="en-GB"/>
        </w:rPr>
        <w:t xml:space="preserve">and </w:t>
      </w:r>
      <w:r w:rsidR="000B633E">
        <w:rPr>
          <w:lang w:val="en-GB"/>
        </w:rPr>
        <w:t>Dr </w:t>
      </w:r>
      <w:r w:rsidRPr="00B14419">
        <w:rPr>
          <w:lang w:val="en-GB"/>
        </w:rPr>
        <w:t>Allen had previously been approved to travel to Indonesia for the same purpose</w:t>
      </w:r>
      <w:r>
        <w:rPr>
          <w:lang w:val="en-GB"/>
        </w:rPr>
        <w:t xml:space="preserve"> (para 48)</w:t>
      </w:r>
      <w:r w:rsidR="00E460FC">
        <w:rPr>
          <w:lang w:val="en-GB"/>
        </w:rPr>
        <w:t xml:space="preserve">.  </w:t>
      </w:r>
      <w:r>
        <w:rPr>
          <w:lang w:val="en-GB"/>
        </w:rPr>
        <w:t>It is then said that it can be inferred from all this:</w:t>
      </w:r>
    </w:p>
    <w:p w14:paraId="3E9E8071" w14:textId="662249AC" w:rsidR="00301E46" w:rsidRDefault="00301E46" w:rsidP="00301E46">
      <w:pPr>
        <w:pStyle w:val="Quote1"/>
        <w:rPr>
          <w:lang w:val="en-GB"/>
        </w:rPr>
      </w:pPr>
      <w:r w:rsidRPr="00DA2552">
        <w:rPr>
          <w:lang w:val="en-GB"/>
        </w:rPr>
        <w:lastRenderedPageBreak/>
        <w:t>that this false reason was manufactured to provide a purportedly legitimate basis for refusing the application when in fact the Applicant's decision was designed to make Allen feel as though he was inferior to the Applicant as retribution for</w:t>
      </w:r>
      <w:r w:rsidR="002E5330">
        <w:rPr>
          <w:lang w:val="en-GB"/>
        </w:rPr>
        <w:t>:</w:t>
      </w:r>
    </w:p>
    <w:p w14:paraId="61B2515B" w14:textId="2DA8BC32" w:rsidR="00301E46" w:rsidRDefault="00301E46" w:rsidP="006861E4">
      <w:pPr>
        <w:pStyle w:val="Quote1"/>
        <w:ind w:left="1440" w:hanging="703"/>
      </w:pPr>
      <w:r w:rsidRPr="2E34F682">
        <w:rPr>
          <w:lang w:val="en-US"/>
        </w:rPr>
        <w:t>(a)</w:t>
      </w:r>
      <w:r>
        <w:tab/>
      </w:r>
      <w:r w:rsidRPr="2E34F682">
        <w:rPr>
          <w:lang w:val="en-US"/>
        </w:rPr>
        <w:t xml:space="preserve">Allen's reluctance to have the DFAT funding moved into the </w:t>
      </w:r>
      <w:proofErr w:type="spellStart"/>
      <w:r w:rsidRPr="2E34F682">
        <w:rPr>
          <w:lang w:val="en-US"/>
        </w:rPr>
        <w:t>centralised</w:t>
      </w:r>
      <w:proofErr w:type="spellEnd"/>
      <w:r w:rsidRPr="2E34F682">
        <w:rPr>
          <w:lang w:val="en-US"/>
        </w:rPr>
        <w:t xml:space="preserve"> </w:t>
      </w:r>
      <w:proofErr w:type="gramStart"/>
      <w:r w:rsidRPr="2E34F682">
        <w:rPr>
          <w:lang w:val="en-US"/>
        </w:rPr>
        <w:t>pool;</w:t>
      </w:r>
      <w:proofErr w:type="gramEnd"/>
    </w:p>
    <w:p w14:paraId="10E7F5E4" w14:textId="3D4884E9" w:rsidR="00301E46" w:rsidRDefault="00301E46" w:rsidP="006861E4">
      <w:pPr>
        <w:pStyle w:val="Quote1"/>
        <w:ind w:left="1440" w:hanging="703"/>
      </w:pPr>
      <w:r w:rsidRPr="00DA2552">
        <w:t>(b)</w:t>
      </w:r>
      <w:r>
        <w:tab/>
      </w:r>
      <w:r w:rsidRPr="00DA2552">
        <w:t>Allen's involvement of HR in the decision-making process; and</w:t>
      </w:r>
    </w:p>
    <w:p w14:paraId="2DD0D989" w14:textId="328B6609" w:rsidR="00301E46" w:rsidRDefault="00301E46" w:rsidP="006861E4">
      <w:pPr>
        <w:pStyle w:val="Quote1"/>
        <w:ind w:left="1440" w:hanging="703"/>
      </w:pPr>
      <w:r w:rsidRPr="2E34F682">
        <w:rPr>
          <w:lang w:val="en-US"/>
        </w:rPr>
        <w:t>(c)</w:t>
      </w:r>
      <w:r>
        <w:tab/>
      </w:r>
      <w:r w:rsidRPr="2E34F682">
        <w:rPr>
          <w:lang w:val="en-US"/>
        </w:rPr>
        <w:t>the Applicant not being permitted to confiscate Allen's funds.</w:t>
      </w:r>
    </w:p>
    <w:p w14:paraId="40362EF7" w14:textId="4DF40FC2" w:rsidR="00301E46" w:rsidRDefault="00301E46" w:rsidP="00301E46">
      <w:pPr>
        <w:pStyle w:val="ParaNumbering"/>
        <w:tabs>
          <w:tab w:val="num" w:pos="720"/>
        </w:tabs>
      </w:pPr>
      <w:r>
        <w:t xml:space="preserve">It is pleaded, in conclusion to this section, that </w:t>
      </w:r>
      <w:r w:rsidR="002E5330">
        <w:t>Professor </w:t>
      </w:r>
      <w:r w:rsidRPr="005542CF">
        <w:t>Winn</w:t>
      </w:r>
      <w:r>
        <w:t xml:space="preserve">'s conduct in relation to </w:t>
      </w:r>
      <w:r w:rsidR="000B633E">
        <w:t>Dr </w:t>
      </w:r>
      <w:r>
        <w:t>Allen '</w:t>
      </w:r>
      <w:r w:rsidRPr="00520326">
        <w:t>constituted bullying, gaslighting, and it contributed to a toxic culture of fear amongst staff at the School of Education</w:t>
      </w:r>
      <w:r>
        <w:t>' (para 51).</w:t>
      </w:r>
    </w:p>
    <w:p w14:paraId="79B49D88" w14:textId="60757AB9" w:rsidR="00301E46" w:rsidRDefault="002E5330" w:rsidP="00301E46">
      <w:pPr>
        <w:pStyle w:val="ParaNumbering"/>
        <w:tabs>
          <w:tab w:val="num" w:pos="720"/>
        </w:tabs>
        <w:rPr>
          <w:lang w:val="en-GB"/>
        </w:rPr>
      </w:pPr>
      <w:r>
        <w:rPr>
          <w:lang w:val="en-GB"/>
        </w:rPr>
        <w:t>Professor </w:t>
      </w:r>
      <w:r w:rsidR="00301E46" w:rsidRPr="00A6631F">
        <w:rPr>
          <w:lang w:val="en-GB"/>
        </w:rPr>
        <w:t xml:space="preserve">Winn </w:t>
      </w:r>
      <w:r w:rsidR="00301E46">
        <w:rPr>
          <w:lang w:val="en-GB"/>
        </w:rPr>
        <w:t>submits in any event that the actual conduct ascribed to him is insufficient to amount to bullying, gaslighting or intimidation, and that the facts alleged do not provide sufficient basis for the inferences and conclusions alleged</w:t>
      </w:r>
      <w:r w:rsidR="00E460FC">
        <w:rPr>
          <w:lang w:val="en-GB"/>
        </w:rPr>
        <w:t xml:space="preserve">.  </w:t>
      </w:r>
      <w:r w:rsidR="00301E46" w:rsidRPr="00FC2DE8">
        <w:rPr>
          <w:lang w:val="en-GB"/>
        </w:rPr>
        <w:t>He submits that the facts pleaded at paragraph 48 do not actually falsify the reasons given in paragraph 47</w:t>
      </w:r>
      <w:r w:rsidR="00E460FC">
        <w:rPr>
          <w:lang w:val="en-GB"/>
        </w:rPr>
        <w:t xml:space="preserve">.  </w:t>
      </w:r>
      <w:r w:rsidR="00301E46" w:rsidRPr="00B7098E">
        <w:rPr>
          <w:lang w:val="en-GB"/>
        </w:rPr>
        <w:t>He repeats the submission that no actual conduct by him is pleaded</w:t>
      </w:r>
      <w:r w:rsidRPr="00B7098E">
        <w:rPr>
          <w:lang w:val="en-GB"/>
        </w:rPr>
        <w:t>.</w:t>
      </w:r>
    </w:p>
    <w:p w14:paraId="210C6883" w14:textId="13B81BA1" w:rsidR="00301E46" w:rsidRDefault="00301E46" w:rsidP="00301E46">
      <w:pPr>
        <w:pStyle w:val="Heading3"/>
        <w:rPr>
          <w:lang w:val="en-GB"/>
        </w:rPr>
      </w:pPr>
      <w:r>
        <w:rPr>
          <w:lang w:val="en-GB"/>
        </w:rPr>
        <w:t xml:space="preserve">Emails from </w:t>
      </w:r>
      <w:r w:rsidR="000B633E">
        <w:rPr>
          <w:lang w:val="en-GB"/>
        </w:rPr>
        <w:t>Dr </w:t>
      </w:r>
      <w:r>
        <w:rPr>
          <w:lang w:val="en-GB"/>
        </w:rPr>
        <w:t>Prout</w:t>
      </w:r>
    </w:p>
    <w:p w14:paraId="74123809" w14:textId="0A4B50A9" w:rsidR="00301E46" w:rsidRDefault="00301E46" w:rsidP="00301E46">
      <w:pPr>
        <w:pStyle w:val="ParaNumbering"/>
        <w:tabs>
          <w:tab w:val="num" w:pos="720"/>
        </w:tabs>
      </w:pPr>
      <w:r w:rsidRPr="2E34F682">
        <w:t xml:space="preserve">The next section of the </w:t>
      </w:r>
      <w:r>
        <w:t>Schedule</w:t>
      </w:r>
      <w:r w:rsidRPr="2E34F682">
        <w:t xml:space="preserve"> concerns an email that an Honorary Lecturer and Researcher at ECU, Peter Prout, sent to all colleagues on 4 December 2019</w:t>
      </w:r>
      <w:r w:rsidR="00E460FC">
        <w:t xml:space="preserve">.  </w:t>
      </w:r>
      <w:r w:rsidRPr="2E34F682">
        <w:t>The email is characterised as having been sent to offer 'support and encouragement' (para 53)</w:t>
      </w:r>
      <w:r w:rsidR="00E460FC">
        <w:t xml:space="preserve">.  </w:t>
      </w:r>
      <w:r w:rsidRPr="2E34F682">
        <w:t xml:space="preserve">The substance of the email is pleaded as </w:t>
      </w:r>
      <w:r w:rsidRPr="00C006CE">
        <w:t>having</w:t>
      </w:r>
      <w:r w:rsidRPr="2E34F682">
        <w:t xml:space="preserve"> referred to 'the weariness around campus and that many colleagues were tired and feeling burnt out', as assuring colleagues of </w:t>
      </w:r>
      <w:r w:rsidR="000B633E">
        <w:t>Dr </w:t>
      </w:r>
      <w:r w:rsidRPr="2E34F682">
        <w:t>Prout's 'support and care'</w:t>
      </w:r>
      <w:r>
        <w:t>,</w:t>
      </w:r>
      <w:r w:rsidRPr="2E34F682">
        <w:t xml:space="preserve"> and </w:t>
      </w:r>
      <w:r>
        <w:t>as</w:t>
      </w:r>
      <w:r w:rsidRPr="2E34F682">
        <w:t xml:space="preserve"> encourag</w:t>
      </w:r>
      <w:r>
        <w:t>ing</w:t>
      </w:r>
      <w:r w:rsidRPr="2E34F682">
        <w:t xml:space="preserve"> colleagues 'to not despair, but rather honour one another with care and mutual respect'</w:t>
      </w:r>
      <w:r w:rsidR="00E460FC">
        <w:t xml:space="preserve">.  </w:t>
      </w:r>
      <w:r w:rsidRPr="2E34F682">
        <w:t xml:space="preserve">It is pleaded that </w:t>
      </w:r>
      <w:r w:rsidR="000B633E">
        <w:t>Dr </w:t>
      </w:r>
      <w:r w:rsidRPr="2E34F682">
        <w:t>Prout said in substance 'there are teachers and support staff like yourselves, passionate and enthusiastic who are adapting and rising above the negativity and toxicity in many workplaces to carry on inspiring one another and the kids they teach'</w:t>
      </w:r>
      <w:r w:rsidR="00DE4B22">
        <w:t xml:space="preserve"> </w:t>
      </w:r>
      <w:r w:rsidR="003D6228" w:rsidRPr="2E34F682">
        <w:t>(para</w:t>
      </w:r>
      <w:r w:rsidR="008D432A">
        <w:t> </w:t>
      </w:r>
      <w:r w:rsidR="003D6228" w:rsidRPr="2E34F682">
        <w:t>54)</w:t>
      </w:r>
      <w:r w:rsidR="002E5330">
        <w:t>.</w:t>
      </w:r>
    </w:p>
    <w:p w14:paraId="79FCB84A" w14:textId="659386C1" w:rsidR="00301E46" w:rsidRDefault="00301E46" w:rsidP="00301E46">
      <w:pPr>
        <w:pStyle w:val="ParaNumbering"/>
        <w:tabs>
          <w:tab w:val="num" w:pos="720"/>
        </w:tabs>
        <w:rPr>
          <w:lang w:val="en-GB"/>
        </w:rPr>
      </w:pPr>
      <w:r>
        <w:rPr>
          <w:lang w:val="en-GB"/>
        </w:rPr>
        <w:t xml:space="preserve">The Schedule alleges that </w:t>
      </w:r>
      <w:r w:rsidR="000B633E">
        <w:rPr>
          <w:lang w:val="en-GB"/>
        </w:rPr>
        <w:t>Dr </w:t>
      </w:r>
      <w:r w:rsidRPr="00464792">
        <w:rPr>
          <w:lang w:val="en-GB"/>
        </w:rPr>
        <w:t xml:space="preserve">Prout did not receive a response </w:t>
      </w:r>
      <w:r>
        <w:rPr>
          <w:lang w:val="en-GB"/>
        </w:rPr>
        <w:t xml:space="preserve">to this email </w:t>
      </w:r>
      <w:r w:rsidRPr="00464792">
        <w:rPr>
          <w:lang w:val="en-GB"/>
        </w:rPr>
        <w:t xml:space="preserve">from </w:t>
      </w:r>
      <w:r w:rsidR="002E5330">
        <w:rPr>
          <w:lang w:val="en-GB"/>
        </w:rPr>
        <w:t>Professor </w:t>
      </w:r>
      <w:r w:rsidRPr="00464792">
        <w:rPr>
          <w:lang w:val="en-GB"/>
        </w:rPr>
        <w:t>Winn</w:t>
      </w:r>
      <w:r>
        <w:rPr>
          <w:lang w:val="en-GB"/>
        </w:rPr>
        <w:t xml:space="preserve">, and nor did </w:t>
      </w:r>
      <w:r w:rsidR="002E5330">
        <w:rPr>
          <w:lang w:val="en-GB"/>
        </w:rPr>
        <w:t>Professor </w:t>
      </w:r>
      <w:r w:rsidRPr="00464792">
        <w:rPr>
          <w:lang w:val="en-GB"/>
        </w:rPr>
        <w:t>Winn</w:t>
      </w:r>
      <w:r>
        <w:rPr>
          <w:lang w:val="en-GB"/>
        </w:rPr>
        <w:t xml:space="preserve"> make any effort to '</w:t>
      </w:r>
      <w:r w:rsidRPr="002D0B42">
        <w:rPr>
          <w:lang w:val="en-GB"/>
        </w:rPr>
        <w:t>to contact staff to seek feedback about Prout</w:t>
      </w:r>
      <w:r w:rsidR="0052708F">
        <w:rPr>
          <w:lang w:val="en-GB"/>
        </w:rPr>
        <w:t>'</w:t>
      </w:r>
      <w:r w:rsidRPr="002D0B42">
        <w:rPr>
          <w:lang w:val="en-GB"/>
        </w:rPr>
        <w:t>s email of 4 December 2019 or offer support to staff</w:t>
      </w:r>
      <w:r>
        <w:rPr>
          <w:lang w:val="en-GB"/>
        </w:rPr>
        <w:t>' (para 55)</w:t>
      </w:r>
      <w:r w:rsidR="002E5330">
        <w:rPr>
          <w:lang w:val="en-GB"/>
        </w:rPr>
        <w:t>.</w:t>
      </w:r>
    </w:p>
    <w:p w14:paraId="6F36D502" w14:textId="1491DEFD" w:rsidR="00301E46" w:rsidRDefault="002E5330" w:rsidP="00301E46">
      <w:pPr>
        <w:pStyle w:val="ParaNumbering"/>
        <w:tabs>
          <w:tab w:val="num" w:pos="720"/>
        </w:tabs>
        <w:rPr>
          <w:lang w:val="en-GB"/>
        </w:rPr>
      </w:pPr>
      <w:r>
        <w:rPr>
          <w:lang w:val="en-GB"/>
        </w:rPr>
        <w:t>Professor </w:t>
      </w:r>
      <w:r w:rsidR="00301E46" w:rsidRPr="005B0110">
        <w:rPr>
          <w:lang w:val="en-GB"/>
        </w:rPr>
        <w:t>Winn</w:t>
      </w:r>
      <w:r w:rsidR="00301E46">
        <w:rPr>
          <w:lang w:val="en-GB"/>
        </w:rPr>
        <w:t xml:space="preserve"> submits that the latter allegation, of a failure to offer support to staff, is a vague assertion and to answer it, he would need to give evidence of every action he took </w:t>
      </w:r>
      <w:proofErr w:type="gramStart"/>
      <w:r w:rsidR="00CA1D8E">
        <w:rPr>
          <w:lang w:val="en-GB"/>
        </w:rPr>
        <w:t xml:space="preserve">in order </w:t>
      </w:r>
      <w:r w:rsidR="00767F96">
        <w:rPr>
          <w:lang w:val="en-GB"/>
        </w:rPr>
        <w:t>to</w:t>
      </w:r>
      <w:proofErr w:type="gramEnd"/>
      <w:r w:rsidR="00767F96">
        <w:rPr>
          <w:lang w:val="en-GB"/>
        </w:rPr>
        <w:t xml:space="preserve"> support staff </w:t>
      </w:r>
      <w:r w:rsidR="00301E46">
        <w:rPr>
          <w:lang w:val="en-GB"/>
        </w:rPr>
        <w:t>during his tenure as Executive Dean, which would be oppressive</w:t>
      </w:r>
      <w:r>
        <w:rPr>
          <w:lang w:val="en-GB"/>
        </w:rPr>
        <w:t>.</w:t>
      </w:r>
    </w:p>
    <w:p w14:paraId="25969DBF" w14:textId="6646BB44" w:rsidR="00301E46" w:rsidRDefault="00301E46" w:rsidP="00301E46">
      <w:pPr>
        <w:pStyle w:val="ParaNumbering"/>
        <w:tabs>
          <w:tab w:val="num" w:pos="720"/>
        </w:tabs>
        <w:rPr>
          <w:lang w:val="en-GB"/>
        </w:rPr>
      </w:pPr>
      <w:r>
        <w:rPr>
          <w:lang w:val="en-GB"/>
        </w:rPr>
        <w:lastRenderedPageBreak/>
        <w:t>The Schedule also alleges that on</w:t>
      </w:r>
      <w:r w:rsidRPr="00464792">
        <w:rPr>
          <w:lang w:val="en-GB"/>
        </w:rPr>
        <w:t xml:space="preserve"> 9 September 2020</w:t>
      </w:r>
      <w:r w:rsidR="00DB04B7">
        <w:rPr>
          <w:lang w:val="en-GB"/>
        </w:rPr>
        <w:t>,</w:t>
      </w:r>
      <w:r>
        <w:rPr>
          <w:lang w:val="en-GB"/>
        </w:rPr>
        <w:t xml:space="preserve"> </w:t>
      </w:r>
      <w:r w:rsidR="000B633E">
        <w:rPr>
          <w:lang w:val="en-GB"/>
        </w:rPr>
        <w:t>Dr </w:t>
      </w:r>
      <w:r w:rsidRPr="00464792">
        <w:rPr>
          <w:lang w:val="en-GB"/>
        </w:rPr>
        <w:t xml:space="preserve">Prout tried to organise a meeting with </w:t>
      </w:r>
      <w:r w:rsidR="002E5330">
        <w:rPr>
          <w:lang w:val="en-GB"/>
        </w:rPr>
        <w:t>Professor </w:t>
      </w:r>
      <w:r w:rsidRPr="002C782C">
        <w:rPr>
          <w:lang w:val="en-GB"/>
        </w:rPr>
        <w:t>Winn</w:t>
      </w:r>
      <w:r w:rsidRPr="00464792">
        <w:rPr>
          <w:lang w:val="en-GB"/>
        </w:rPr>
        <w:t xml:space="preserve"> to discuss </w:t>
      </w:r>
      <w:r>
        <w:rPr>
          <w:lang w:val="en-GB"/>
        </w:rPr>
        <w:t>the</w:t>
      </w:r>
      <w:r w:rsidRPr="00464792">
        <w:rPr>
          <w:lang w:val="en-GB"/>
        </w:rPr>
        <w:t xml:space="preserve"> issues</w:t>
      </w:r>
      <w:r>
        <w:rPr>
          <w:lang w:val="en-GB"/>
        </w:rPr>
        <w:t xml:space="preserve"> raised in his earlier email to all colleagues, and that </w:t>
      </w:r>
      <w:r w:rsidR="002E5330">
        <w:rPr>
          <w:lang w:val="en-GB"/>
        </w:rPr>
        <w:t>Professor </w:t>
      </w:r>
      <w:r w:rsidRPr="002C782C">
        <w:rPr>
          <w:lang w:val="en-GB"/>
        </w:rPr>
        <w:t>Winn</w:t>
      </w:r>
      <w:r>
        <w:rPr>
          <w:lang w:val="en-GB"/>
        </w:rPr>
        <w:t xml:space="preserve"> did not reply to </w:t>
      </w:r>
      <w:r w:rsidR="000B633E">
        <w:rPr>
          <w:lang w:val="en-GB"/>
        </w:rPr>
        <w:t>Dr </w:t>
      </w:r>
      <w:r>
        <w:rPr>
          <w:lang w:val="en-GB"/>
        </w:rPr>
        <w:t xml:space="preserve">Prout's </w:t>
      </w:r>
      <w:r w:rsidRPr="00464792">
        <w:rPr>
          <w:lang w:val="en-GB"/>
        </w:rPr>
        <w:t>email requesting a meeting</w:t>
      </w:r>
      <w:r w:rsidR="002E5330">
        <w:rPr>
          <w:lang w:val="en-GB"/>
        </w:rPr>
        <w:t>.</w:t>
      </w:r>
    </w:p>
    <w:p w14:paraId="1E2E7125" w14:textId="7AC8C9D2" w:rsidR="00301E46" w:rsidRDefault="00301E46" w:rsidP="00301E46">
      <w:pPr>
        <w:pStyle w:val="ParaNumbering"/>
        <w:tabs>
          <w:tab w:val="num" w:pos="720"/>
        </w:tabs>
      </w:pPr>
      <w:r w:rsidRPr="2E34F682">
        <w:t xml:space="preserve">It is alleged that </w:t>
      </w:r>
      <w:r w:rsidR="002E5330">
        <w:t>Professor </w:t>
      </w:r>
      <w:r w:rsidRPr="2E34F682">
        <w:t>Winn's failures to respond to the emails of 4 December 2019 and 9 September 20</w:t>
      </w:r>
      <w:r w:rsidR="00747953">
        <w:t>20</w:t>
      </w:r>
      <w:r w:rsidRPr="2E34F682">
        <w:t xml:space="preserve"> </w:t>
      </w:r>
      <w:r w:rsidRPr="0002133E">
        <w:t>'constituted</w:t>
      </w:r>
      <w:r w:rsidRPr="2E34F682">
        <w:t xml:space="preserve"> bullying [and] gaslighting, and </w:t>
      </w:r>
      <w:r w:rsidR="00B447C4">
        <w:t xml:space="preserve">… </w:t>
      </w:r>
      <w:r w:rsidRPr="2E34F682">
        <w:t>contributed to a toxic culture of fear amongst staff at the School of Education' (para 57A)</w:t>
      </w:r>
      <w:r w:rsidR="002E5330">
        <w:t>.</w:t>
      </w:r>
    </w:p>
    <w:p w14:paraId="76B75A3A" w14:textId="233AA7ED" w:rsidR="00301E46" w:rsidRDefault="002E5330" w:rsidP="00301E46">
      <w:pPr>
        <w:pStyle w:val="ParaNumbering"/>
        <w:tabs>
          <w:tab w:val="num" w:pos="720"/>
        </w:tabs>
        <w:rPr>
          <w:lang w:val="en-GB"/>
        </w:rPr>
      </w:pPr>
      <w:r>
        <w:rPr>
          <w:lang w:val="en-GB"/>
        </w:rPr>
        <w:t>Professor </w:t>
      </w:r>
      <w:r w:rsidR="00301E46" w:rsidRPr="00EC10EA">
        <w:rPr>
          <w:lang w:val="en-GB"/>
        </w:rPr>
        <w:t>Winn</w:t>
      </w:r>
      <w:r w:rsidR="00301E46">
        <w:rPr>
          <w:lang w:val="en-GB"/>
        </w:rPr>
        <w:t xml:space="preserve"> submits that his</w:t>
      </w:r>
      <w:r w:rsidR="00301E46" w:rsidRPr="00920446">
        <w:rPr>
          <w:lang w:val="en-GB"/>
        </w:rPr>
        <w:t xml:space="preserve"> conduct </w:t>
      </w:r>
      <w:r w:rsidR="00301E46">
        <w:rPr>
          <w:lang w:val="en-GB"/>
        </w:rPr>
        <w:t xml:space="preserve">in not responding to those two emails </w:t>
      </w:r>
      <w:r w:rsidR="00301E46" w:rsidRPr="00920446">
        <w:rPr>
          <w:lang w:val="en-GB"/>
        </w:rPr>
        <w:t xml:space="preserve">is </w:t>
      </w:r>
      <w:r w:rsidR="00301E46">
        <w:rPr>
          <w:lang w:val="en-GB"/>
        </w:rPr>
        <w:t>'</w:t>
      </w:r>
      <w:r w:rsidR="00301E46" w:rsidRPr="00920446">
        <w:rPr>
          <w:lang w:val="en-GB"/>
        </w:rPr>
        <w:t>self-evidently not capable of amounting to bullying, intimidation or gaslighting</w:t>
      </w:r>
      <w:r w:rsidR="00301E46">
        <w:rPr>
          <w:lang w:val="en-GB"/>
        </w:rPr>
        <w:t xml:space="preserve">', and nor </w:t>
      </w:r>
      <w:r w:rsidR="00301E46" w:rsidRPr="00920446">
        <w:rPr>
          <w:lang w:val="en-GB"/>
        </w:rPr>
        <w:t xml:space="preserve">is it capable of establishing that </w:t>
      </w:r>
      <w:r w:rsidR="00301E46">
        <w:rPr>
          <w:lang w:val="en-GB"/>
        </w:rPr>
        <w:t>he</w:t>
      </w:r>
      <w:r w:rsidR="00301E46" w:rsidRPr="00920446">
        <w:rPr>
          <w:lang w:val="en-GB"/>
        </w:rPr>
        <w:t xml:space="preserve"> caused a toxic workplace culture of bullying and fear</w:t>
      </w:r>
      <w:r w:rsidR="00E460FC">
        <w:rPr>
          <w:lang w:val="en-GB"/>
        </w:rPr>
        <w:t xml:space="preserve">.  </w:t>
      </w:r>
      <w:r w:rsidR="00301E46">
        <w:rPr>
          <w:lang w:val="en-GB"/>
        </w:rPr>
        <w:t>He submits that these particulars are</w:t>
      </w:r>
      <w:r w:rsidR="00301E46" w:rsidRPr="00920446">
        <w:rPr>
          <w:lang w:val="en-GB"/>
        </w:rPr>
        <w:t xml:space="preserve"> embarrassing and disclose no defence.</w:t>
      </w:r>
    </w:p>
    <w:p w14:paraId="730D4F57" w14:textId="02C265A6" w:rsidR="00301E46" w:rsidRDefault="00301E46" w:rsidP="00301E46">
      <w:pPr>
        <w:pStyle w:val="Heading3"/>
        <w:rPr>
          <w:lang w:val="en-GB"/>
        </w:rPr>
      </w:pPr>
      <w:r w:rsidRPr="00220B5E">
        <w:rPr>
          <w:lang w:val="en-GB"/>
        </w:rPr>
        <w:t xml:space="preserve">Refusal to allow </w:t>
      </w:r>
      <w:r w:rsidR="000B633E">
        <w:rPr>
          <w:lang w:val="en-GB"/>
        </w:rPr>
        <w:t>Dr </w:t>
      </w:r>
      <w:r w:rsidRPr="00220B5E">
        <w:rPr>
          <w:lang w:val="en-GB"/>
        </w:rPr>
        <w:t xml:space="preserve">Prout to </w:t>
      </w:r>
      <w:proofErr w:type="gramStart"/>
      <w:r w:rsidRPr="00220B5E">
        <w:rPr>
          <w:lang w:val="en-GB"/>
        </w:rPr>
        <w:t>tutor</w:t>
      </w:r>
      <w:proofErr w:type="gramEnd"/>
    </w:p>
    <w:p w14:paraId="60A9A893" w14:textId="16E6920C" w:rsidR="00301E46" w:rsidRDefault="00301E46" w:rsidP="00301E46">
      <w:pPr>
        <w:pStyle w:val="ParaNumbering"/>
        <w:tabs>
          <w:tab w:val="num" w:pos="720"/>
        </w:tabs>
        <w:rPr>
          <w:lang w:val="en-GB"/>
        </w:rPr>
      </w:pPr>
      <w:r w:rsidRPr="2E34F682">
        <w:rPr>
          <w:lang w:val="en-GB"/>
        </w:rPr>
        <w:t xml:space="preserve">The next section of the </w:t>
      </w:r>
      <w:r>
        <w:rPr>
          <w:lang w:val="en-GB"/>
        </w:rPr>
        <w:t>Schedule</w:t>
      </w:r>
      <w:r w:rsidRPr="2E34F682">
        <w:rPr>
          <w:lang w:val="en-GB"/>
        </w:rPr>
        <w:t xml:space="preserve"> narrates events under which, it is said, </w:t>
      </w:r>
      <w:r w:rsidR="002E5330">
        <w:rPr>
          <w:lang w:val="en-GB"/>
        </w:rPr>
        <w:t>Professor </w:t>
      </w:r>
      <w:r w:rsidRPr="2E34F682">
        <w:rPr>
          <w:lang w:val="en-GB"/>
        </w:rPr>
        <w:t xml:space="preserve">Winn decided not to permit </w:t>
      </w:r>
      <w:r w:rsidR="000B633E">
        <w:rPr>
          <w:lang w:val="en-GB"/>
        </w:rPr>
        <w:t>Dr </w:t>
      </w:r>
      <w:r w:rsidRPr="2E34F682">
        <w:rPr>
          <w:lang w:val="en-GB"/>
        </w:rPr>
        <w:t>Prout to be one of the tutors for a unit in 2020 about teaching, learning and assessment, even though he had been in previous years</w:t>
      </w:r>
      <w:r w:rsidR="00E460FC">
        <w:rPr>
          <w:lang w:val="en-GB"/>
        </w:rPr>
        <w:t xml:space="preserve">.  </w:t>
      </w:r>
      <w:r w:rsidRPr="2E34F682">
        <w:rPr>
          <w:lang w:val="en-GB"/>
        </w:rPr>
        <w:t xml:space="preserve">It is alleged that when </w:t>
      </w:r>
      <w:r w:rsidR="000B633E">
        <w:rPr>
          <w:lang w:val="en-GB"/>
        </w:rPr>
        <w:t>Dr </w:t>
      </w:r>
      <w:r w:rsidRPr="2E34F682">
        <w:rPr>
          <w:lang w:val="en-GB"/>
        </w:rPr>
        <w:t xml:space="preserve">Allen (who was responsible for the unit) </w:t>
      </w:r>
      <w:r w:rsidRPr="00261CBF">
        <w:t>asked</w:t>
      </w:r>
      <w:r w:rsidRPr="2E34F682">
        <w:rPr>
          <w:lang w:val="en-GB"/>
        </w:rPr>
        <w:t xml:space="preserve"> </w:t>
      </w:r>
      <w:r w:rsidR="000B633E">
        <w:rPr>
          <w:lang w:val="en-GB"/>
        </w:rPr>
        <w:t>Dr </w:t>
      </w:r>
      <w:r w:rsidRPr="2E34F682">
        <w:rPr>
          <w:lang w:val="en-GB"/>
        </w:rPr>
        <w:t xml:space="preserve">Jones whether that was because of </w:t>
      </w:r>
      <w:r w:rsidR="000B633E">
        <w:rPr>
          <w:lang w:val="en-GB"/>
        </w:rPr>
        <w:t>Dr </w:t>
      </w:r>
      <w:r w:rsidRPr="2E34F682">
        <w:rPr>
          <w:lang w:val="en-GB"/>
        </w:rPr>
        <w:t xml:space="preserve">Prout's circular email of 4 December 2019, </w:t>
      </w:r>
      <w:r w:rsidR="000B633E">
        <w:rPr>
          <w:lang w:val="en-GB"/>
        </w:rPr>
        <w:t>Dr </w:t>
      </w:r>
      <w:r w:rsidRPr="2E34F682">
        <w:rPr>
          <w:lang w:val="en-GB"/>
        </w:rPr>
        <w:t>Jones said words to the effect that it very possibly was</w:t>
      </w:r>
      <w:r w:rsidR="0037108D">
        <w:rPr>
          <w:lang w:val="en-GB"/>
        </w:rPr>
        <w:t xml:space="preserve"> </w:t>
      </w:r>
      <w:r w:rsidR="0053355B">
        <w:rPr>
          <w:lang w:val="en-GB"/>
        </w:rPr>
        <w:t>(para</w:t>
      </w:r>
      <w:r w:rsidR="007A29E9">
        <w:rPr>
          <w:lang w:val="en-GB"/>
        </w:rPr>
        <w:t> </w:t>
      </w:r>
      <w:r w:rsidR="0053355B">
        <w:rPr>
          <w:lang w:val="en-GB"/>
        </w:rPr>
        <w:t>57C)</w:t>
      </w:r>
      <w:r w:rsidR="00E460FC">
        <w:rPr>
          <w:lang w:val="en-GB"/>
        </w:rPr>
        <w:t xml:space="preserve">.  </w:t>
      </w:r>
      <w:r w:rsidRPr="2E34F682">
        <w:rPr>
          <w:lang w:val="en-GB"/>
        </w:rPr>
        <w:t xml:space="preserve">The </w:t>
      </w:r>
      <w:r>
        <w:rPr>
          <w:lang w:val="en-GB"/>
        </w:rPr>
        <w:t>Schedule</w:t>
      </w:r>
      <w:r w:rsidRPr="2E34F682">
        <w:rPr>
          <w:lang w:val="en-GB"/>
        </w:rPr>
        <w:t xml:space="preserve"> alleges that it is to be inferred that </w:t>
      </w:r>
      <w:r>
        <w:rPr>
          <w:lang w:val="en-GB"/>
        </w:rPr>
        <w:t xml:space="preserve">the email was </w:t>
      </w:r>
      <w:r w:rsidRPr="2E34F682">
        <w:rPr>
          <w:lang w:val="en-GB"/>
        </w:rPr>
        <w:t xml:space="preserve">indeed why </w:t>
      </w:r>
      <w:r w:rsidR="002E5330">
        <w:rPr>
          <w:lang w:val="en-GB"/>
        </w:rPr>
        <w:t>Professor </w:t>
      </w:r>
      <w:r w:rsidRPr="2E34F682">
        <w:rPr>
          <w:lang w:val="en-GB"/>
        </w:rPr>
        <w:t xml:space="preserve">Winn did not permit </w:t>
      </w:r>
      <w:r w:rsidR="000B633E">
        <w:rPr>
          <w:lang w:val="en-GB"/>
        </w:rPr>
        <w:t>Dr </w:t>
      </w:r>
      <w:r w:rsidRPr="2E34F682">
        <w:rPr>
          <w:lang w:val="en-GB"/>
        </w:rPr>
        <w:t xml:space="preserve">Prout to have </w:t>
      </w:r>
      <w:r>
        <w:rPr>
          <w:lang w:val="en-GB"/>
        </w:rPr>
        <w:t>the</w:t>
      </w:r>
      <w:r w:rsidRPr="2E34F682">
        <w:rPr>
          <w:lang w:val="en-GB"/>
        </w:rPr>
        <w:t xml:space="preserve"> tutoring role (para 57D)</w:t>
      </w:r>
      <w:r w:rsidR="00E460FC">
        <w:rPr>
          <w:lang w:val="en-GB"/>
        </w:rPr>
        <w:t xml:space="preserve">.  </w:t>
      </w:r>
      <w:r w:rsidRPr="2E34F682">
        <w:rPr>
          <w:lang w:val="en-GB"/>
        </w:rPr>
        <w:t>This is said to have 'constituted bullying and contributed to a toxic culture of fear amongst staff at the School of Education' (para 57E).</w:t>
      </w:r>
    </w:p>
    <w:p w14:paraId="67B505DD" w14:textId="6695069E" w:rsidR="00301E46" w:rsidRDefault="002E5330" w:rsidP="00301E46">
      <w:pPr>
        <w:pStyle w:val="ParaNumbering"/>
        <w:tabs>
          <w:tab w:val="num" w:pos="720"/>
        </w:tabs>
        <w:rPr>
          <w:lang w:val="en-GB"/>
        </w:rPr>
      </w:pPr>
      <w:r>
        <w:rPr>
          <w:lang w:val="en-GB"/>
        </w:rPr>
        <w:t>Professor </w:t>
      </w:r>
      <w:r w:rsidR="00301E46" w:rsidRPr="00253397">
        <w:rPr>
          <w:lang w:val="en-GB"/>
        </w:rPr>
        <w:t>Winn</w:t>
      </w:r>
      <w:r w:rsidR="00301E46">
        <w:rPr>
          <w:lang w:val="en-GB"/>
        </w:rPr>
        <w:t xml:space="preserve"> submits that the </w:t>
      </w:r>
      <w:r w:rsidR="00301E46" w:rsidRPr="006870D5">
        <w:rPr>
          <w:lang w:val="en-GB"/>
        </w:rPr>
        <w:t>conduct</w:t>
      </w:r>
      <w:r w:rsidR="00301E46">
        <w:rPr>
          <w:lang w:val="en-GB"/>
        </w:rPr>
        <w:t xml:space="preserve"> relied on is insufficient to amount to bullying, gaslighting or intimidation, and that the particulars do not support the inferences pleaded in paragraphs 57D and 57E</w:t>
      </w:r>
      <w:r w:rsidR="00E460FC">
        <w:rPr>
          <w:lang w:val="en-GB"/>
        </w:rPr>
        <w:t xml:space="preserve">.  </w:t>
      </w:r>
      <w:r w:rsidR="00301E46" w:rsidRPr="00592A0E">
        <w:rPr>
          <w:lang w:val="en-GB"/>
        </w:rPr>
        <w:t>He also submits that the inference pleaded does not rise above speculation and conjecture</w:t>
      </w:r>
      <w:r w:rsidRPr="00592A0E">
        <w:rPr>
          <w:lang w:val="en-GB"/>
        </w:rPr>
        <w:t>.</w:t>
      </w:r>
    </w:p>
    <w:p w14:paraId="26AECFCB" w14:textId="77777777" w:rsidR="00301E46" w:rsidRDefault="00301E46" w:rsidP="00301E46">
      <w:pPr>
        <w:pStyle w:val="Heading3"/>
        <w:rPr>
          <w:lang w:val="en-GB"/>
        </w:rPr>
      </w:pPr>
      <w:r>
        <w:rPr>
          <w:lang w:val="en-GB"/>
        </w:rPr>
        <w:t>Staff survey</w:t>
      </w:r>
    </w:p>
    <w:p w14:paraId="1B6676CA" w14:textId="14FD1027" w:rsidR="00301E46" w:rsidRDefault="00301E46" w:rsidP="00301E46">
      <w:pPr>
        <w:pStyle w:val="ParaNumbering"/>
        <w:tabs>
          <w:tab w:val="num" w:pos="720"/>
        </w:tabs>
        <w:rPr>
          <w:lang w:val="en-GB"/>
        </w:rPr>
      </w:pPr>
      <w:r>
        <w:rPr>
          <w:lang w:val="en-GB"/>
        </w:rPr>
        <w:t xml:space="preserve">The Schedule then narrates the </w:t>
      </w:r>
      <w:r w:rsidRPr="00472972">
        <w:rPr>
          <w:lang w:val="en-GB"/>
        </w:rPr>
        <w:t>conduct</w:t>
      </w:r>
      <w:r>
        <w:rPr>
          <w:lang w:val="en-GB"/>
        </w:rPr>
        <w:t xml:space="preserve"> of a survey of staff at the School of Education in September 2020 and the results of the survey</w:t>
      </w:r>
      <w:r w:rsidR="00E460FC">
        <w:rPr>
          <w:lang w:val="en-GB"/>
        </w:rPr>
        <w:t xml:space="preserve">.  </w:t>
      </w:r>
      <w:r>
        <w:rPr>
          <w:lang w:val="en-GB"/>
        </w:rPr>
        <w:t xml:space="preserve">The tenor of the allegations is that staff satisfaction, as reflected in a range of metrics, had dropped significantly since the last time a similar survey was conducted, in 2018 (under </w:t>
      </w:r>
      <w:r w:rsidR="002E5330">
        <w:rPr>
          <w:lang w:val="en-GB"/>
        </w:rPr>
        <w:t>Professor </w:t>
      </w:r>
      <w:r w:rsidRPr="00472972">
        <w:rPr>
          <w:lang w:val="en-GB"/>
        </w:rPr>
        <w:t>Winn</w:t>
      </w:r>
      <w:r>
        <w:rPr>
          <w:lang w:val="en-GB"/>
        </w:rPr>
        <w:t>'s predecessor)</w:t>
      </w:r>
      <w:r w:rsidR="00E460FC">
        <w:rPr>
          <w:lang w:val="en-GB"/>
        </w:rPr>
        <w:t xml:space="preserve">.  </w:t>
      </w:r>
      <w:r>
        <w:rPr>
          <w:lang w:val="en-GB"/>
        </w:rPr>
        <w:t>The metrics did not directly concern serious matters such as bullying, fear, intimidation or gaslighting</w:t>
      </w:r>
      <w:r w:rsidR="00E460FC">
        <w:rPr>
          <w:lang w:val="en-GB"/>
        </w:rPr>
        <w:t xml:space="preserve">.  </w:t>
      </w:r>
      <w:r>
        <w:rPr>
          <w:lang w:val="en-GB"/>
        </w:rPr>
        <w:t xml:space="preserve">The pleaded conclusion in this section is that, given that </w:t>
      </w:r>
      <w:r w:rsidR="002E5330">
        <w:rPr>
          <w:lang w:val="en-GB"/>
        </w:rPr>
        <w:t>Professor </w:t>
      </w:r>
      <w:r w:rsidRPr="00D0044C">
        <w:rPr>
          <w:lang w:val="en-GB"/>
        </w:rPr>
        <w:t>Winn</w:t>
      </w:r>
      <w:r>
        <w:rPr>
          <w:lang w:val="en-GB"/>
        </w:rPr>
        <w:t xml:space="preserve"> took over from his </w:t>
      </w:r>
      <w:r>
        <w:rPr>
          <w:lang w:val="en-GB"/>
        </w:rPr>
        <w:lastRenderedPageBreak/>
        <w:t>predecessor in early 2019, it is to be inferred that the poor survey results are '</w:t>
      </w:r>
      <w:r w:rsidRPr="00F6373B">
        <w:rPr>
          <w:lang w:val="en-GB"/>
        </w:rPr>
        <w:t>predominantly attributable</w:t>
      </w:r>
      <w:r>
        <w:rPr>
          <w:lang w:val="en-GB"/>
        </w:rPr>
        <w:t>' to him (para 66).</w:t>
      </w:r>
    </w:p>
    <w:p w14:paraId="44E7E745" w14:textId="7A7D8BDB" w:rsidR="00301E46" w:rsidRDefault="002E5330" w:rsidP="00301E46">
      <w:pPr>
        <w:pStyle w:val="ParaNumbering"/>
        <w:tabs>
          <w:tab w:val="num" w:pos="720"/>
        </w:tabs>
        <w:rPr>
          <w:lang w:val="en-GB"/>
        </w:rPr>
      </w:pPr>
      <w:r>
        <w:rPr>
          <w:lang w:val="en-GB"/>
        </w:rPr>
        <w:t>Professor </w:t>
      </w:r>
      <w:r w:rsidR="00301E46" w:rsidRPr="00F6373B">
        <w:rPr>
          <w:lang w:val="en-GB"/>
        </w:rPr>
        <w:t>Winn</w:t>
      </w:r>
      <w:r w:rsidR="00301E46">
        <w:rPr>
          <w:lang w:val="en-GB"/>
        </w:rPr>
        <w:t xml:space="preserve"> submits that it would be oppressive to require a forensic examination of the </w:t>
      </w:r>
      <w:r w:rsidR="00301E46" w:rsidRPr="008B7317">
        <w:rPr>
          <w:lang w:val="en-GB"/>
        </w:rPr>
        <w:t>survey results where the respondents' 'pleaded case does not rise above a possibility'</w:t>
      </w:r>
      <w:r w:rsidR="00E460FC">
        <w:rPr>
          <w:lang w:val="en-GB"/>
        </w:rPr>
        <w:t xml:space="preserve">.  </w:t>
      </w:r>
      <w:r w:rsidR="00301E46" w:rsidRPr="008B7317">
        <w:rPr>
          <w:lang w:val="en-GB"/>
        </w:rPr>
        <w:t>From the</w:t>
      </w:r>
      <w:r w:rsidR="00301E46">
        <w:rPr>
          <w:lang w:val="en-GB"/>
        </w:rPr>
        <w:t xml:space="preserve"> oral submissions made on his behalf, this seems to be a criticism of the inference just mentioned, since there could be all manner of reasons why the</w:t>
      </w:r>
      <w:r w:rsidR="00505C9F">
        <w:rPr>
          <w:lang w:val="en-GB"/>
        </w:rPr>
        <w:t xml:space="preserve">re were inferior </w:t>
      </w:r>
      <w:r w:rsidR="00301E46">
        <w:rPr>
          <w:lang w:val="en-GB"/>
        </w:rPr>
        <w:t xml:space="preserve">survey results </w:t>
      </w:r>
      <w:r w:rsidR="00505C9F">
        <w:rPr>
          <w:lang w:val="en-GB"/>
        </w:rPr>
        <w:t xml:space="preserve">in </w:t>
      </w:r>
      <w:r w:rsidR="00301E46" w:rsidRPr="00526529">
        <w:rPr>
          <w:lang w:val="en-GB"/>
        </w:rPr>
        <w:t xml:space="preserve">2020 (if that is indeed what they </w:t>
      </w:r>
      <w:r w:rsidR="00AB2CD8">
        <w:rPr>
          <w:lang w:val="en-GB"/>
        </w:rPr>
        <w:t>were</w:t>
      </w:r>
      <w:r w:rsidR="00301E46" w:rsidRPr="00526529">
        <w:rPr>
          <w:lang w:val="en-GB"/>
        </w:rPr>
        <w:t>)</w:t>
      </w:r>
      <w:r w:rsidRPr="00526529">
        <w:rPr>
          <w:lang w:val="en-GB"/>
        </w:rPr>
        <w:t>.</w:t>
      </w:r>
    </w:p>
    <w:p w14:paraId="0FA00B46" w14:textId="77777777" w:rsidR="00301E46" w:rsidRDefault="00301E46" w:rsidP="00301E46">
      <w:pPr>
        <w:pStyle w:val="Heading3"/>
        <w:rPr>
          <w:lang w:val="en-GB"/>
        </w:rPr>
      </w:pPr>
      <w:r>
        <w:rPr>
          <w:lang w:val="en-GB"/>
        </w:rPr>
        <w:t xml:space="preserve">Events following the </w:t>
      </w:r>
      <w:proofErr w:type="gramStart"/>
      <w:r>
        <w:rPr>
          <w:lang w:val="en-GB"/>
        </w:rPr>
        <w:t>survey</w:t>
      </w:r>
      <w:proofErr w:type="gramEnd"/>
    </w:p>
    <w:p w14:paraId="09DD41AB" w14:textId="06F66577" w:rsidR="00301E46" w:rsidRDefault="00301E46" w:rsidP="00301E46">
      <w:pPr>
        <w:pStyle w:val="ParaNumbering"/>
        <w:tabs>
          <w:tab w:val="num" w:pos="720"/>
        </w:tabs>
        <w:rPr>
          <w:lang w:val="en-GB"/>
        </w:rPr>
      </w:pPr>
      <w:bookmarkStart w:id="25" w:name="_Ref163634002"/>
      <w:r>
        <w:rPr>
          <w:lang w:val="en-GB"/>
        </w:rPr>
        <w:t>The next section of the Schedule pleads that, after the survey, in May 2021, a staff meeting was held to discuss the results</w:t>
      </w:r>
      <w:r w:rsidR="00E460FC">
        <w:rPr>
          <w:lang w:val="en-GB"/>
        </w:rPr>
        <w:t xml:space="preserve">.  </w:t>
      </w:r>
      <w:r>
        <w:rPr>
          <w:lang w:val="en-GB"/>
        </w:rPr>
        <w:t xml:space="preserve">It is alleged that during that meeting, </w:t>
      </w:r>
      <w:r w:rsidR="002E5330">
        <w:rPr>
          <w:lang w:val="en-GB"/>
        </w:rPr>
        <w:t>Professor </w:t>
      </w:r>
      <w:r w:rsidRPr="00062EA7">
        <w:rPr>
          <w:lang w:val="en-GB"/>
        </w:rPr>
        <w:t>Winn</w:t>
      </w:r>
      <w:r>
        <w:rPr>
          <w:lang w:val="en-GB"/>
        </w:rPr>
        <w:t xml:space="preserve"> sat in the corner of the room on his </w:t>
      </w:r>
      <w:proofErr w:type="gramStart"/>
      <w:r>
        <w:rPr>
          <w:lang w:val="en-GB"/>
        </w:rPr>
        <w:t>laptop, and</w:t>
      </w:r>
      <w:proofErr w:type="gramEnd"/>
      <w:r>
        <w:rPr>
          <w:lang w:val="en-GB"/>
        </w:rPr>
        <w:t xml:space="preserve"> did not speak</w:t>
      </w:r>
      <w:r w:rsidR="00E460FC">
        <w:rPr>
          <w:lang w:val="en-GB"/>
        </w:rPr>
        <w:t xml:space="preserve">.  </w:t>
      </w:r>
      <w:r>
        <w:rPr>
          <w:lang w:val="en-GB"/>
        </w:rPr>
        <w:t xml:space="preserve">His personal assistant is alleged to have stood in front of staff and said that if </w:t>
      </w:r>
      <w:r w:rsidR="00BC1ABD">
        <w:rPr>
          <w:lang w:val="en-GB"/>
        </w:rPr>
        <w:t xml:space="preserve">the staff </w:t>
      </w:r>
      <w:r>
        <w:rPr>
          <w:lang w:val="en-GB"/>
        </w:rPr>
        <w:t>ha</w:t>
      </w:r>
      <w:r w:rsidR="00BC1ABD">
        <w:rPr>
          <w:lang w:val="en-GB"/>
        </w:rPr>
        <w:t>d</w:t>
      </w:r>
      <w:r>
        <w:rPr>
          <w:lang w:val="en-GB"/>
        </w:rPr>
        <w:t xml:space="preserve"> any questions, they could direct them to the </w:t>
      </w:r>
      <w:r w:rsidRPr="00632C4D">
        <w:rPr>
          <w:lang w:val="en-GB"/>
        </w:rPr>
        <w:t>personal assistant</w:t>
      </w:r>
      <w:r w:rsidR="00572BC1" w:rsidRPr="00632C4D">
        <w:rPr>
          <w:lang w:val="en-GB"/>
        </w:rPr>
        <w:t xml:space="preserve"> (para 68)</w:t>
      </w:r>
      <w:r w:rsidR="00E460FC">
        <w:rPr>
          <w:lang w:val="en-GB"/>
        </w:rPr>
        <w:t xml:space="preserve">.  </w:t>
      </w:r>
      <w:r w:rsidR="002E5330" w:rsidRPr="00632C4D">
        <w:rPr>
          <w:lang w:val="en-GB"/>
        </w:rPr>
        <w:t>Professor </w:t>
      </w:r>
      <w:r w:rsidRPr="00632C4D">
        <w:rPr>
          <w:lang w:val="en-GB"/>
        </w:rPr>
        <w:t xml:space="preserve">Winn submits that this is insufficient to amount to </w:t>
      </w:r>
      <w:r w:rsidR="000209DE" w:rsidRPr="008F776B">
        <w:rPr>
          <w:lang w:val="en-GB"/>
        </w:rPr>
        <w:t>bullying, gaslighting or</w:t>
      </w:r>
      <w:r w:rsidR="00464A8F" w:rsidRPr="008F776B">
        <w:rPr>
          <w:lang w:val="en-GB"/>
        </w:rPr>
        <w:t xml:space="preserve"> </w:t>
      </w:r>
      <w:r w:rsidR="00632C4D" w:rsidRPr="008F776B">
        <w:rPr>
          <w:lang w:val="en-GB"/>
        </w:rPr>
        <w:t>the creation or fostering</w:t>
      </w:r>
      <w:r w:rsidR="00464A8F" w:rsidRPr="008F776B">
        <w:rPr>
          <w:lang w:val="en-GB"/>
        </w:rPr>
        <w:t xml:space="preserve"> </w:t>
      </w:r>
      <w:r w:rsidR="00464A8F" w:rsidRPr="00632C4D">
        <w:rPr>
          <w:lang w:val="en-GB"/>
        </w:rPr>
        <w:t>of a toxic culture</w:t>
      </w:r>
      <w:r w:rsidR="00632C4D" w:rsidRPr="00632C4D">
        <w:rPr>
          <w:lang w:val="en-GB"/>
        </w:rPr>
        <w:t xml:space="preserve"> </w:t>
      </w:r>
      <w:r w:rsidR="00632C4D" w:rsidRPr="008F776B">
        <w:rPr>
          <w:lang w:val="en-GB"/>
        </w:rPr>
        <w:t xml:space="preserve">of </w:t>
      </w:r>
      <w:proofErr w:type="gramStart"/>
      <w:r w:rsidR="00632C4D" w:rsidRPr="008F776B">
        <w:rPr>
          <w:lang w:val="en-GB"/>
        </w:rPr>
        <w:t xml:space="preserve">fear, </w:t>
      </w:r>
      <w:r w:rsidRPr="00632C4D">
        <w:rPr>
          <w:lang w:val="en-GB"/>
        </w:rPr>
        <w:t>and</w:t>
      </w:r>
      <w:proofErr w:type="gramEnd"/>
      <w:r w:rsidRPr="00632C4D">
        <w:rPr>
          <w:lang w:val="en-GB"/>
        </w:rPr>
        <w:t xml:space="preserve"> discloses no reasonable defence.</w:t>
      </w:r>
      <w:bookmarkEnd w:id="25"/>
    </w:p>
    <w:p w14:paraId="082CEA4E" w14:textId="1F59783B" w:rsidR="00301E46" w:rsidRDefault="00301E46" w:rsidP="00301E46">
      <w:pPr>
        <w:pStyle w:val="ParaNumbering"/>
        <w:tabs>
          <w:tab w:val="num" w:pos="720"/>
        </w:tabs>
        <w:rPr>
          <w:lang w:val="en-GB"/>
        </w:rPr>
      </w:pPr>
      <w:r>
        <w:rPr>
          <w:lang w:val="en-GB"/>
        </w:rPr>
        <w:t>Another staff meeting is said to have occurred in June 2021</w:t>
      </w:r>
      <w:r w:rsidR="00E460FC">
        <w:rPr>
          <w:lang w:val="en-GB"/>
        </w:rPr>
        <w:t xml:space="preserve">.  </w:t>
      </w:r>
      <w:r>
        <w:rPr>
          <w:lang w:val="en-GB"/>
        </w:rPr>
        <w:t xml:space="preserve">It is not alleged that </w:t>
      </w:r>
      <w:r w:rsidR="002E5330">
        <w:rPr>
          <w:lang w:val="en-GB"/>
        </w:rPr>
        <w:t>Professor </w:t>
      </w:r>
      <w:r w:rsidRPr="002933C7">
        <w:rPr>
          <w:lang w:val="en-GB"/>
        </w:rPr>
        <w:t>Winn</w:t>
      </w:r>
      <w:r>
        <w:rPr>
          <w:lang w:val="en-GB"/>
        </w:rPr>
        <w:t xml:space="preserve"> attended it</w:t>
      </w:r>
      <w:r w:rsidR="00E460FC">
        <w:rPr>
          <w:lang w:val="en-GB"/>
        </w:rPr>
        <w:t xml:space="preserve">.  </w:t>
      </w:r>
      <w:r>
        <w:rPr>
          <w:lang w:val="en-GB"/>
        </w:rPr>
        <w:t xml:space="preserve">It is alleged that </w:t>
      </w:r>
      <w:r w:rsidR="001A6FCA">
        <w:rPr>
          <w:lang w:val="en-GB"/>
        </w:rPr>
        <w:t>(para 71)</w:t>
      </w:r>
      <w:r>
        <w:rPr>
          <w:lang w:val="en-GB"/>
        </w:rPr>
        <w:t>:</w:t>
      </w:r>
      <w:r w:rsidR="00C63ED9">
        <w:rPr>
          <w:lang w:val="en-GB"/>
        </w:rPr>
        <w:t xml:space="preserve"> </w:t>
      </w:r>
    </w:p>
    <w:p w14:paraId="3E257A1E" w14:textId="6D43B4A8" w:rsidR="00301E46" w:rsidRDefault="00C116AA" w:rsidP="00DB04B7">
      <w:pPr>
        <w:pStyle w:val="Quote1"/>
        <w:spacing w:after="360"/>
        <w:rPr>
          <w:lang w:val="en-GB"/>
        </w:rPr>
      </w:pPr>
      <w:r>
        <w:rPr>
          <w:lang w:val="en-GB"/>
        </w:rPr>
        <w:t>[t]</w:t>
      </w:r>
      <w:r w:rsidR="00301E46" w:rsidRPr="0054337D">
        <w:rPr>
          <w:lang w:val="en-GB"/>
        </w:rPr>
        <w:t>here was a view expressed by an overwhelming majority of the staff that attended the June meeting that the Applicant was the biggest reason for the extremely negative survey results within the School of Education because he refused to communicate with most of the staff, and because he had established a toxic culture.</w:t>
      </w:r>
    </w:p>
    <w:p w14:paraId="3ECAAB30" w14:textId="6838CE0F" w:rsidR="00301E46" w:rsidRPr="0092171C" w:rsidRDefault="002E5330" w:rsidP="00301E46">
      <w:pPr>
        <w:pStyle w:val="ParaNumbering"/>
        <w:tabs>
          <w:tab w:val="num" w:pos="720"/>
        </w:tabs>
      </w:pPr>
      <w:bookmarkStart w:id="26" w:name="_Ref163210494"/>
      <w:r>
        <w:t>Professor </w:t>
      </w:r>
      <w:r w:rsidR="00301E46" w:rsidRPr="0092171C">
        <w:t xml:space="preserve">Winn </w:t>
      </w:r>
      <w:r w:rsidR="007B1960">
        <w:t>submits that</w:t>
      </w:r>
      <w:r w:rsidR="00301E46" w:rsidRPr="0092171C">
        <w:t xml:space="preserve"> this part of the </w:t>
      </w:r>
      <w:r w:rsidR="00301E46">
        <w:t>Schedule</w:t>
      </w:r>
      <w:r w:rsidR="007B1960">
        <w:t xml:space="preserve"> is hearsay</w:t>
      </w:r>
      <w:r w:rsidR="00E460FC">
        <w:t xml:space="preserve">.  </w:t>
      </w:r>
      <w:r w:rsidR="007B1960">
        <w:t>I</w:t>
      </w:r>
      <w:r w:rsidR="00301E46" w:rsidRPr="0092171C">
        <w:t xml:space="preserve">t is not clear from the </w:t>
      </w:r>
      <w:r w:rsidR="00301E46">
        <w:t>Schedule</w:t>
      </w:r>
      <w:r w:rsidR="00301E46" w:rsidRPr="0092171C">
        <w:t xml:space="preserve"> whether the respondents allege that the view said to have been expressed at the meeting was correct</w:t>
      </w:r>
      <w:r w:rsidR="00E460FC">
        <w:t xml:space="preserve">.  </w:t>
      </w:r>
      <w:r w:rsidR="00301E46" w:rsidRPr="0092171C">
        <w:t>How or why the things said at this meeting are relevant is also unclear</w:t>
      </w:r>
      <w:bookmarkEnd w:id="26"/>
      <w:r w:rsidR="00E460FC">
        <w:t xml:space="preserve">.  </w:t>
      </w:r>
      <w:r w:rsidR="00FF0BB7">
        <w:t xml:space="preserve">The purpose for which the respondents rely </w:t>
      </w:r>
      <w:r w:rsidR="00301E46">
        <w:t>on the views expressed at the meeting should be made clear</w:t>
      </w:r>
      <w:r>
        <w:t>.</w:t>
      </w:r>
    </w:p>
    <w:p w14:paraId="0016258F" w14:textId="77777777" w:rsidR="00301E46" w:rsidRDefault="00301E46" w:rsidP="00301E46">
      <w:pPr>
        <w:pStyle w:val="Heading3"/>
        <w:rPr>
          <w:lang w:val="en-GB"/>
        </w:rPr>
      </w:pPr>
      <w:r>
        <w:rPr>
          <w:lang w:val="en-GB"/>
        </w:rPr>
        <w:t>Three specific decisions</w:t>
      </w:r>
    </w:p>
    <w:p w14:paraId="6CAB9F9C" w14:textId="241A96DE" w:rsidR="00301E46" w:rsidRDefault="00301E46" w:rsidP="00FF0BB7">
      <w:pPr>
        <w:pStyle w:val="ParaNumbering"/>
        <w:rPr>
          <w:lang w:val="en-GB"/>
        </w:rPr>
      </w:pPr>
      <w:bookmarkStart w:id="27" w:name="_Ref163132763"/>
      <w:proofErr w:type="gramStart"/>
      <w:r>
        <w:rPr>
          <w:lang w:val="en-GB"/>
        </w:rPr>
        <w:t>Particulars are</w:t>
      </w:r>
      <w:proofErr w:type="gramEnd"/>
      <w:r>
        <w:rPr>
          <w:lang w:val="en-GB"/>
        </w:rPr>
        <w:t xml:space="preserve"> then given of three decisions that </w:t>
      </w:r>
      <w:r w:rsidR="002E5330">
        <w:rPr>
          <w:lang w:val="en-GB"/>
        </w:rPr>
        <w:t>Professor </w:t>
      </w:r>
      <w:r w:rsidRPr="00DF079E">
        <w:rPr>
          <w:lang w:val="en-GB"/>
        </w:rPr>
        <w:t>Winn</w:t>
      </w:r>
      <w:r>
        <w:rPr>
          <w:lang w:val="en-GB"/>
        </w:rPr>
        <w:t xml:space="preserve"> made that are said to have upset staff members:</w:t>
      </w:r>
      <w:bookmarkEnd w:id="27"/>
    </w:p>
    <w:p w14:paraId="0F171A83" w14:textId="30C13F1D" w:rsidR="00301E46" w:rsidRDefault="00301E46" w:rsidP="00301E46">
      <w:pPr>
        <w:pStyle w:val="Hanging1"/>
      </w:pPr>
      <w:r w:rsidRPr="2E34F682">
        <w:rPr>
          <w:lang w:val="en-US"/>
        </w:rPr>
        <w:t>(72)</w:t>
      </w:r>
      <w:r>
        <w:tab/>
      </w:r>
      <w:r w:rsidRPr="2E34F682">
        <w:rPr>
          <w:lang w:val="en-US"/>
        </w:rPr>
        <w:t>In around September to October 2021, Zina Cordery (</w:t>
      </w:r>
      <w:r w:rsidRPr="2E34F682">
        <w:rPr>
          <w:b/>
          <w:bCs/>
          <w:lang w:val="en-US"/>
        </w:rPr>
        <w:t>Cordery</w:t>
      </w:r>
      <w:r w:rsidRPr="2E34F682">
        <w:rPr>
          <w:lang w:val="en-US"/>
        </w:rPr>
        <w:t>), who was an IT teacher, was refused approval by the Applicant to appoint a person as a tutor to teach one of her classes</w:t>
      </w:r>
      <w:r w:rsidR="00E460FC">
        <w:rPr>
          <w:lang w:val="en-US"/>
        </w:rPr>
        <w:t xml:space="preserve">.  </w:t>
      </w:r>
      <w:r w:rsidRPr="2E34F682">
        <w:rPr>
          <w:lang w:val="en-US"/>
        </w:rPr>
        <w:t>The Applicant</w:t>
      </w:r>
      <w:r w:rsidR="0052708F">
        <w:rPr>
          <w:lang w:val="en-US"/>
        </w:rPr>
        <w:t>'</w:t>
      </w:r>
      <w:r w:rsidRPr="2E34F682">
        <w:rPr>
          <w:lang w:val="en-US"/>
        </w:rPr>
        <w:t xml:space="preserve">s stated basis for refusal was </w:t>
      </w:r>
      <w:r w:rsidRPr="2E34F682">
        <w:rPr>
          <w:lang w:val="en-US"/>
        </w:rPr>
        <w:lastRenderedPageBreak/>
        <w:t>that the tutor</w:t>
      </w:r>
      <w:r w:rsidR="0052708F">
        <w:rPr>
          <w:lang w:val="en-US"/>
        </w:rPr>
        <w:t>'</w:t>
      </w:r>
      <w:r w:rsidRPr="2E34F682">
        <w:rPr>
          <w:lang w:val="en-US"/>
        </w:rPr>
        <w:t>s first degree was in theology, when that reason ought not have disqualified the tutor from being so appointed in the circumstances where the tutor was approved to be a tutor</w:t>
      </w:r>
      <w:r w:rsidR="00E460FC">
        <w:rPr>
          <w:lang w:val="en-US"/>
        </w:rPr>
        <w:t xml:space="preserve">.  </w:t>
      </w:r>
      <w:r w:rsidRPr="2E34F682">
        <w:rPr>
          <w:lang w:val="en-US"/>
        </w:rPr>
        <w:t>That refusal upset Cordery and was communicated by Cordery to Allen</w:t>
      </w:r>
      <w:r w:rsidR="002E5330">
        <w:rPr>
          <w:lang w:val="en-US"/>
        </w:rPr>
        <w:t>.</w:t>
      </w:r>
    </w:p>
    <w:p w14:paraId="0460D801" w14:textId="3AC38180" w:rsidR="00301E46" w:rsidRDefault="00301E46" w:rsidP="00301E46">
      <w:pPr>
        <w:pStyle w:val="Hanging1"/>
      </w:pPr>
      <w:r w:rsidRPr="2E34F682">
        <w:rPr>
          <w:lang w:val="en-US"/>
        </w:rPr>
        <w:t>(73)</w:t>
      </w:r>
      <w:r>
        <w:tab/>
      </w:r>
      <w:r w:rsidRPr="2E34F682">
        <w:rPr>
          <w:lang w:val="en-US"/>
        </w:rPr>
        <w:t>In around late 2021, Eileen Slater (</w:t>
      </w:r>
      <w:r w:rsidRPr="2E34F682">
        <w:rPr>
          <w:b/>
          <w:bCs/>
          <w:lang w:val="en-US"/>
        </w:rPr>
        <w:t>Slater</w:t>
      </w:r>
      <w:r w:rsidRPr="2E34F682">
        <w:rPr>
          <w:lang w:val="en-US"/>
        </w:rPr>
        <w:t xml:space="preserve">), who taught a </w:t>
      </w:r>
      <w:proofErr w:type="spellStart"/>
      <w:proofErr w:type="gramStart"/>
      <w:r w:rsidRPr="2E34F682">
        <w:rPr>
          <w:lang w:val="en-US"/>
        </w:rPr>
        <w:t>Masters</w:t>
      </w:r>
      <w:proofErr w:type="spellEnd"/>
      <w:proofErr w:type="gramEnd"/>
      <w:r w:rsidRPr="2E34F682">
        <w:rPr>
          <w:lang w:val="en-US"/>
        </w:rPr>
        <w:t xml:space="preserve"> program, which included about 30 to 40 Bhutanese students, failed a number of the Bhutanese students on the first assignment in the unit because, on her assessment, their English comprehension skills were inadequate</w:t>
      </w:r>
      <w:r w:rsidR="00E460FC">
        <w:rPr>
          <w:lang w:val="en-US"/>
        </w:rPr>
        <w:t xml:space="preserve">.  </w:t>
      </w:r>
      <w:r w:rsidRPr="2E34F682">
        <w:rPr>
          <w:lang w:val="en-US"/>
        </w:rPr>
        <w:t>While Slater was on leave, Paula Mildenhall, with the approval of the Applicant, had altered those fail marks to pass marks</w:t>
      </w:r>
      <w:r w:rsidR="00E460FC">
        <w:rPr>
          <w:lang w:val="en-US"/>
        </w:rPr>
        <w:t xml:space="preserve">.  </w:t>
      </w:r>
      <w:r w:rsidRPr="2E34F682">
        <w:rPr>
          <w:lang w:val="en-US"/>
        </w:rPr>
        <w:t>This alteration of Slater</w:t>
      </w:r>
      <w:r w:rsidR="0052708F">
        <w:rPr>
          <w:lang w:val="en-US"/>
        </w:rPr>
        <w:t>'</w:t>
      </w:r>
      <w:r w:rsidRPr="2E34F682">
        <w:rPr>
          <w:lang w:val="en-US"/>
        </w:rPr>
        <w:t>s marks upset her and was communicated by her to Allen</w:t>
      </w:r>
      <w:r w:rsidR="002E5330">
        <w:rPr>
          <w:lang w:val="en-US"/>
        </w:rPr>
        <w:t>.</w:t>
      </w:r>
    </w:p>
    <w:p w14:paraId="124B4BA0" w14:textId="60008AB7" w:rsidR="00301E46" w:rsidRDefault="00301E46" w:rsidP="00DB04B7">
      <w:pPr>
        <w:pStyle w:val="Hanging1"/>
        <w:spacing w:after="360"/>
      </w:pPr>
      <w:r w:rsidRPr="2E34F682">
        <w:rPr>
          <w:lang w:val="en-US"/>
        </w:rPr>
        <w:t>(74)</w:t>
      </w:r>
      <w:r>
        <w:tab/>
      </w:r>
      <w:r w:rsidRPr="2E34F682">
        <w:rPr>
          <w:lang w:val="en-US"/>
        </w:rPr>
        <w:t>In around late 2021, Christine Cunningham (</w:t>
      </w:r>
      <w:r w:rsidRPr="2E34F682">
        <w:rPr>
          <w:b/>
          <w:bCs/>
          <w:lang w:val="en-US"/>
        </w:rPr>
        <w:t>Cunningham</w:t>
      </w:r>
      <w:r w:rsidRPr="2E34F682">
        <w:rPr>
          <w:lang w:val="en-US"/>
        </w:rPr>
        <w:t>) was promoted to the position of Assistant to Associate Dean, a role reporting to the Applicant</w:t>
      </w:r>
      <w:r w:rsidR="00E460FC">
        <w:rPr>
          <w:lang w:val="en-US"/>
        </w:rPr>
        <w:t xml:space="preserve">.  </w:t>
      </w:r>
      <w:r w:rsidRPr="2E34F682">
        <w:rPr>
          <w:lang w:val="en-US"/>
        </w:rPr>
        <w:t>Despite the promotion she was neither given a salary increase nor a promotion to Associate Professor, in circumstances in which the prior practice had been to do so for a person appointed to that position</w:t>
      </w:r>
      <w:r w:rsidR="00E460FC">
        <w:rPr>
          <w:lang w:val="en-US"/>
        </w:rPr>
        <w:t xml:space="preserve">.  </w:t>
      </w:r>
      <w:r w:rsidRPr="2E34F682">
        <w:rPr>
          <w:lang w:val="en-US"/>
        </w:rPr>
        <w:t>The Applicant was empowered to increase her salary or promote her to Associate Professor</w:t>
      </w:r>
      <w:r w:rsidR="00E460FC">
        <w:rPr>
          <w:lang w:val="en-US"/>
        </w:rPr>
        <w:t xml:space="preserve">.  </w:t>
      </w:r>
      <w:r w:rsidRPr="2E34F682">
        <w:rPr>
          <w:lang w:val="en-US"/>
        </w:rPr>
        <w:t xml:space="preserve">His omission to do either upset her </w:t>
      </w:r>
      <w:proofErr w:type="gramStart"/>
      <w:r w:rsidRPr="2E34F682">
        <w:rPr>
          <w:lang w:val="en-US"/>
        </w:rPr>
        <w:t>and</w:t>
      </w:r>
      <w:proofErr w:type="gramEnd"/>
      <w:r w:rsidRPr="2E34F682">
        <w:rPr>
          <w:lang w:val="en-US"/>
        </w:rPr>
        <w:t xml:space="preserve"> was communicated by her to Allen</w:t>
      </w:r>
      <w:r w:rsidR="002E5330">
        <w:rPr>
          <w:lang w:val="en-US"/>
        </w:rPr>
        <w:t>.</w:t>
      </w:r>
    </w:p>
    <w:p w14:paraId="6DA0E182" w14:textId="2B1A85A3" w:rsidR="00301E46" w:rsidRDefault="00301E46" w:rsidP="00301E46">
      <w:pPr>
        <w:pStyle w:val="ParaNumbering"/>
        <w:tabs>
          <w:tab w:val="num" w:pos="720"/>
        </w:tabs>
        <w:rPr>
          <w:lang w:val="en-GB"/>
        </w:rPr>
      </w:pPr>
      <w:r>
        <w:rPr>
          <w:lang w:val="en-GB"/>
        </w:rPr>
        <w:t xml:space="preserve">It is alleged that this </w:t>
      </w:r>
      <w:r w:rsidRPr="00F62B65">
        <w:rPr>
          <w:lang w:val="en-GB"/>
        </w:rPr>
        <w:t>conduct</w:t>
      </w:r>
      <w:r>
        <w:rPr>
          <w:lang w:val="en-GB"/>
        </w:rPr>
        <w:t xml:space="preserve"> on the part of </w:t>
      </w:r>
      <w:r w:rsidR="002E5330">
        <w:rPr>
          <w:lang w:val="en-GB"/>
        </w:rPr>
        <w:t>Professor </w:t>
      </w:r>
      <w:r w:rsidRPr="00F62B65">
        <w:rPr>
          <w:lang w:val="en-GB"/>
        </w:rPr>
        <w:t>Winn</w:t>
      </w:r>
      <w:r>
        <w:rPr>
          <w:lang w:val="en-GB"/>
        </w:rPr>
        <w:t>, along with his conduct at the May 2021 staff meeting</w:t>
      </w:r>
      <w:r w:rsidR="00603BC7">
        <w:rPr>
          <w:lang w:val="en-GB"/>
        </w:rPr>
        <w:t>,</w:t>
      </w:r>
      <w:r>
        <w:rPr>
          <w:lang w:val="en-GB"/>
        </w:rPr>
        <w:t xml:space="preserve"> '</w:t>
      </w:r>
      <w:r w:rsidRPr="00FD20D0">
        <w:rPr>
          <w:lang w:val="en-GB"/>
        </w:rPr>
        <w:t>constituted bullying, gaslighting, and it contributed to a toxic culture of fear amongst staff at the School of Education</w:t>
      </w:r>
      <w:r>
        <w:rPr>
          <w:lang w:val="en-GB"/>
        </w:rPr>
        <w:t>'</w:t>
      </w:r>
      <w:r w:rsidR="00656724">
        <w:rPr>
          <w:lang w:val="en-GB"/>
        </w:rPr>
        <w:t xml:space="preserve"> (para 74A)</w:t>
      </w:r>
      <w:r w:rsidR="002E5330">
        <w:rPr>
          <w:lang w:val="en-GB"/>
        </w:rPr>
        <w:t>.</w:t>
      </w:r>
    </w:p>
    <w:p w14:paraId="4FF834C2" w14:textId="6331EB1E" w:rsidR="00301E46" w:rsidRDefault="002E5330" w:rsidP="00301E46">
      <w:pPr>
        <w:pStyle w:val="ParaNumbering"/>
        <w:tabs>
          <w:tab w:val="num" w:pos="720"/>
        </w:tabs>
        <w:rPr>
          <w:lang w:val="en-GB"/>
        </w:rPr>
      </w:pPr>
      <w:r>
        <w:rPr>
          <w:lang w:val="en-GB"/>
        </w:rPr>
        <w:t>Professor </w:t>
      </w:r>
      <w:r w:rsidR="00301E46" w:rsidRPr="00FD20D0">
        <w:rPr>
          <w:lang w:val="en-GB"/>
        </w:rPr>
        <w:t>Winn</w:t>
      </w:r>
      <w:r w:rsidR="00301E46">
        <w:rPr>
          <w:lang w:val="en-GB"/>
        </w:rPr>
        <w:t xml:space="preserve"> submits again that the particulars given of those three decisions do not disclose any bullying, intimidation or gaslighting behaviour</w:t>
      </w:r>
      <w:r w:rsidR="00E460FC">
        <w:rPr>
          <w:lang w:val="en-GB"/>
        </w:rPr>
        <w:t xml:space="preserve">.  </w:t>
      </w:r>
      <w:r w:rsidR="00301E46">
        <w:rPr>
          <w:lang w:val="en-GB"/>
        </w:rPr>
        <w:t xml:space="preserve">According to </w:t>
      </w:r>
      <w:r>
        <w:rPr>
          <w:lang w:val="en-GB"/>
        </w:rPr>
        <w:t>Professor </w:t>
      </w:r>
      <w:r w:rsidR="00301E46" w:rsidRPr="00763201">
        <w:rPr>
          <w:lang w:val="en-GB"/>
        </w:rPr>
        <w:t>Winn</w:t>
      </w:r>
      <w:r w:rsidR="00301E46">
        <w:rPr>
          <w:lang w:val="en-GB"/>
        </w:rPr>
        <w:t>, they raise false issues and disclose no reasonable defence</w:t>
      </w:r>
      <w:r w:rsidR="00E460FC">
        <w:rPr>
          <w:lang w:val="en-GB"/>
        </w:rPr>
        <w:t xml:space="preserve">.  </w:t>
      </w:r>
      <w:r w:rsidR="00301E46">
        <w:rPr>
          <w:lang w:val="en-GB"/>
        </w:rPr>
        <w:t>He also complains about a lack of particulars of the allegations in paragraph 72</w:t>
      </w:r>
      <w:r>
        <w:rPr>
          <w:lang w:val="en-GB"/>
        </w:rPr>
        <w:t>.</w:t>
      </w:r>
    </w:p>
    <w:p w14:paraId="000CCC20" w14:textId="77777777" w:rsidR="00301E46" w:rsidRDefault="00301E46" w:rsidP="00301E46">
      <w:pPr>
        <w:pStyle w:val="Heading3"/>
        <w:rPr>
          <w:lang w:val="en-GB"/>
        </w:rPr>
      </w:pPr>
      <w:bookmarkStart w:id="28" w:name="_Ref163557676"/>
      <w:r w:rsidRPr="00B301AC">
        <w:rPr>
          <w:lang w:val="en-GB"/>
        </w:rPr>
        <w:t>Investigation into the School of Education</w:t>
      </w:r>
      <w:bookmarkEnd w:id="28"/>
    </w:p>
    <w:p w14:paraId="05FF8C58" w14:textId="186C2DA0" w:rsidR="00301E46" w:rsidRDefault="00301E46" w:rsidP="00301E46">
      <w:pPr>
        <w:pStyle w:val="ParaNumbering"/>
        <w:tabs>
          <w:tab w:val="num" w:pos="720"/>
        </w:tabs>
        <w:rPr>
          <w:lang w:val="en-GB"/>
        </w:rPr>
      </w:pPr>
      <w:bookmarkStart w:id="29" w:name="_Ref163635930"/>
      <w:r>
        <w:rPr>
          <w:lang w:val="en-GB"/>
        </w:rPr>
        <w:t xml:space="preserve">Under this heading, the Schedule goes on to recount four occasions in 2021 and 2022 on which </w:t>
      </w:r>
      <w:r w:rsidR="00FB1534">
        <w:rPr>
          <w:lang w:val="en-GB"/>
        </w:rPr>
        <w:t xml:space="preserve">written </w:t>
      </w:r>
      <w:r>
        <w:rPr>
          <w:lang w:val="en-GB"/>
        </w:rPr>
        <w:t xml:space="preserve">allegations were made that concerned </w:t>
      </w:r>
      <w:r w:rsidR="00E60713">
        <w:rPr>
          <w:lang w:val="en-GB"/>
        </w:rPr>
        <w:t xml:space="preserve">the culture at </w:t>
      </w:r>
      <w:r>
        <w:rPr>
          <w:lang w:val="en-GB"/>
        </w:rPr>
        <w:t>the School of Education</w:t>
      </w:r>
      <w:r w:rsidR="00656724">
        <w:rPr>
          <w:lang w:val="en-GB"/>
        </w:rPr>
        <w:t xml:space="preserve"> (paras</w:t>
      </w:r>
      <w:r w:rsidR="00EB3E0A">
        <w:rPr>
          <w:lang w:val="en-GB"/>
        </w:rPr>
        <w:t> </w:t>
      </w:r>
      <w:r w:rsidR="00042D23">
        <w:rPr>
          <w:lang w:val="en-GB"/>
        </w:rPr>
        <w:t>75</w:t>
      </w:r>
      <w:r w:rsidR="00EB3E0A">
        <w:rPr>
          <w:lang w:val="en-GB"/>
        </w:rPr>
        <w:noBreakHyphen/>
      </w:r>
      <w:r w:rsidR="00042D23">
        <w:rPr>
          <w:lang w:val="en-GB"/>
        </w:rPr>
        <w:t>86)</w:t>
      </w:r>
      <w:r w:rsidR="00E460FC">
        <w:rPr>
          <w:lang w:val="en-GB"/>
        </w:rPr>
        <w:t xml:space="preserve">.  </w:t>
      </w:r>
      <w:r>
        <w:rPr>
          <w:lang w:val="en-GB"/>
        </w:rPr>
        <w:t xml:space="preserve">One is a statutory declaration which </w:t>
      </w:r>
      <w:r w:rsidR="000B633E">
        <w:rPr>
          <w:lang w:val="en-GB"/>
        </w:rPr>
        <w:t>Dr </w:t>
      </w:r>
      <w:r>
        <w:rPr>
          <w:lang w:val="en-GB"/>
        </w:rPr>
        <w:t xml:space="preserve">Prout sent to </w:t>
      </w:r>
      <w:r w:rsidR="002E5330">
        <w:rPr>
          <w:lang w:val="en-GB"/>
        </w:rPr>
        <w:t>Professor </w:t>
      </w:r>
      <w:r w:rsidRPr="00B60355">
        <w:rPr>
          <w:lang w:val="en-GB"/>
        </w:rPr>
        <w:t>Winn</w:t>
      </w:r>
      <w:r>
        <w:rPr>
          <w:lang w:val="en-GB"/>
        </w:rPr>
        <w:t>, copied to the Vice</w:t>
      </w:r>
      <w:r w:rsidR="002761A2">
        <w:rPr>
          <w:lang w:val="en-GB"/>
        </w:rPr>
        <w:noBreakHyphen/>
      </w:r>
      <w:r>
        <w:rPr>
          <w:lang w:val="en-GB"/>
        </w:rPr>
        <w:t>Chancellor of ECU, Steve Chapman, on 14 October 2021</w:t>
      </w:r>
      <w:r w:rsidR="00E460FC">
        <w:rPr>
          <w:lang w:val="en-GB"/>
        </w:rPr>
        <w:t xml:space="preserve">.  </w:t>
      </w:r>
      <w:r>
        <w:rPr>
          <w:lang w:val="en-GB"/>
        </w:rPr>
        <w:t xml:space="preserve">Another is a letter </w:t>
      </w:r>
      <w:r w:rsidR="000B633E">
        <w:rPr>
          <w:lang w:val="en-GB"/>
        </w:rPr>
        <w:t>Dr </w:t>
      </w:r>
      <w:r>
        <w:rPr>
          <w:lang w:val="en-GB"/>
        </w:rPr>
        <w:t xml:space="preserve">Prout sent to </w:t>
      </w:r>
      <w:r w:rsidR="002E5330">
        <w:rPr>
          <w:lang w:val="en-GB"/>
        </w:rPr>
        <w:t>Professor </w:t>
      </w:r>
      <w:r w:rsidRPr="00147C6E">
        <w:rPr>
          <w:lang w:val="en-GB"/>
        </w:rPr>
        <w:t>Winn</w:t>
      </w:r>
      <w:r>
        <w:rPr>
          <w:lang w:val="en-GB"/>
        </w:rPr>
        <w:t xml:space="preserve"> in early 2022 which substantially reiterated the concerns expressed on the October 2021 statutory declaration</w:t>
      </w:r>
      <w:r w:rsidR="00E460FC">
        <w:rPr>
          <w:lang w:val="en-GB"/>
        </w:rPr>
        <w:t xml:space="preserve">.  </w:t>
      </w:r>
      <w:r>
        <w:rPr>
          <w:lang w:val="en-GB"/>
        </w:rPr>
        <w:t xml:space="preserve">It is pleaded that </w:t>
      </w:r>
      <w:r w:rsidR="002E5330">
        <w:rPr>
          <w:lang w:val="en-GB"/>
        </w:rPr>
        <w:t>Professor </w:t>
      </w:r>
      <w:r w:rsidRPr="00B60355">
        <w:rPr>
          <w:lang w:val="en-GB"/>
        </w:rPr>
        <w:t>Winn</w:t>
      </w:r>
      <w:r>
        <w:rPr>
          <w:lang w:val="en-GB"/>
        </w:rPr>
        <w:t xml:space="preserve"> had not responded to the 14 October communication</w:t>
      </w:r>
      <w:r w:rsidR="00E460FC">
        <w:rPr>
          <w:lang w:val="en-GB"/>
        </w:rPr>
        <w:t xml:space="preserve">.  </w:t>
      </w:r>
      <w:r>
        <w:rPr>
          <w:lang w:val="en-GB"/>
        </w:rPr>
        <w:t>Another</w:t>
      </w:r>
      <w:r w:rsidR="00AC5D54">
        <w:rPr>
          <w:lang w:val="en-GB"/>
        </w:rPr>
        <w:t xml:space="preserve"> </w:t>
      </w:r>
      <w:r>
        <w:rPr>
          <w:lang w:val="en-GB"/>
        </w:rPr>
        <w:t xml:space="preserve">is a response </w:t>
      </w:r>
      <w:r w:rsidR="000B633E">
        <w:rPr>
          <w:lang w:val="en-GB"/>
        </w:rPr>
        <w:t>Dr </w:t>
      </w:r>
      <w:r>
        <w:rPr>
          <w:lang w:val="en-GB"/>
        </w:rPr>
        <w:t>Allen gave to an inquiry and investigation into the culture of the School of Education which</w:t>
      </w:r>
      <w:r w:rsidRPr="00C864AA">
        <w:rPr>
          <w:lang w:val="en-GB"/>
        </w:rPr>
        <w:t xml:space="preserve"> </w:t>
      </w:r>
      <w:r w:rsidR="002E5330" w:rsidRPr="00C864AA">
        <w:rPr>
          <w:lang w:val="en-GB"/>
        </w:rPr>
        <w:t>Professor </w:t>
      </w:r>
      <w:r>
        <w:rPr>
          <w:lang w:val="en-GB"/>
        </w:rPr>
        <w:t>Chapman announced in October 2021</w:t>
      </w:r>
      <w:r w:rsidR="00E460FC">
        <w:rPr>
          <w:lang w:val="en-GB"/>
        </w:rPr>
        <w:t xml:space="preserve">.  </w:t>
      </w:r>
      <w:r>
        <w:rPr>
          <w:lang w:val="en-GB"/>
        </w:rPr>
        <w:t xml:space="preserve">The </w:t>
      </w:r>
      <w:r w:rsidR="004B57AB">
        <w:rPr>
          <w:lang w:val="en-GB"/>
        </w:rPr>
        <w:t xml:space="preserve">fourth </w:t>
      </w:r>
      <w:r>
        <w:rPr>
          <w:lang w:val="en-GB"/>
        </w:rPr>
        <w:t xml:space="preserve">is a letter </w:t>
      </w:r>
      <w:r w:rsidR="00603BC7">
        <w:rPr>
          <w:lang w:val="en-GB"/>
        </w:rPr>
        <w:t xml:space="preserve">that </w:t>
      </w:r>
      <w:r>
        <w:rPr>
          <w:lang w:val="en-GB"/>
        </w:rPr>
        <w:t xml:space="preserve">the </w:t>
      </w:r>
      <w:r w:rsidRPr="00DC0485">
        <w:rPr>
          <w:lang w:val="en-GB"/>
        </w:rPr>
        <w:t>National Tertiary Education Union (</w:t>
      </w:r>
      <w:r w:rsidRPr="00DC0485">
        <w:rPr>
          <w:b/>
          <w:bCs/>
          <w:lang w:val="en-GB"/>
        </w:rPr>
        <w:t>NTEU</w:t>
      </w:r>
      <w:r w:rsidRPr="00DC0485">
        <w:rPr>
          <w:lang w:val="en-GB"/>
        </w:rPr>
        <w:t xml:space="preserve">) sent </w:t>
      </w:r>
      <w:r>
        <w:rPr>
          <w:lang w:val="en-GB"/>
        </w:rPr>
        <w:t>to ECU on 18 May 2022</w:t>
      </w:r>
      <w:bookmarkEnd w:id="29"/>
      <w:r w:rsidR="00E460FC">
        <w:rPr>
          <w:lang w:val="en-GB"/>
        </w:rPr>
        <w:t>.</w:t>
      </w:r>
    </w:p>
    <w:p w14:paraId="37B7BF99" w14:textId="0D4DDAEE" w:rsidR="00301E46" w:rsidRDefault="00301E46" w:rsidP="00301E46">
      <w:pPr>
        <w:pStyle w:val="ParaNumbering"/>
        <w:tabs>
          <w:tab w:val="num" w:pos="720"/>
        </w:tabs>
        <w:rPr>
          <w:lang w:val="en-GB"/>
        </w:rPr>
      </w:pPr>
      <w:r>
        <w:rPr>
          <w:lang w:val="en-GB"/>
        </w:rPr>
        <w:lastRenderedPageBreak/>
        <w:t>The Schedule then pleads that on 19 May 2022,</w:t>
      </w:r>
      <w:r w:rsidRPr="00E24138">
        <w:rPr>
          <w:lang w:val="en-GB"/>
        </w:rPr>
        <w:t xml:space="preserve"> </w:t>
      </w:r>
      <w:r w:rsidR="002E5330" w:rsidRPr="00E24138">
        <w:rPr>
          <w:lang w:val="en-GB"/>
        </w:rPr>
        <w:t>Professor </w:t>
      </w:r>
      <w:r w:rsidRPr="00E24138">
        <w:rPr>
          <w:lang w:val="en-GB"/>
        </w:rPr>
        <w:t>Chap</w:t>
      </w:r>
      <w:r>
        <w:rPr>
          <w:lang w:val="en-GB"/>
        </w:rPr>
        <w:t>man sent an email to all ECU staff which said:</w:t>
      </w:r>
    </w:p>
    <w:p w14:paraId="1F3E177C" w14:textId="26181CE7" w:rsidR="00301E46" w:rsidRDefault="00301E46" w:rsidP="00E24138">
      <w:pPr>
        <w:pStyle w:val="Quote1"/>
        <w:spacing w:after="360"/>
        <w:rPr>
          <w:lang w:val="en-GB"/>
        </w:rPr>
      </w:pPr>
      <w:r>
        <w:rPr>
          <w:lang w:val="en-GB"/>
        </w:rPr>
        <w:t>F</w:t>
      </w:r>
      <w:r w:rsidRPr="009B51BF">
        <w:rPr>
          <w:lang w:val="en-GB"/>
        </w:rPr>
        <w:t xml:space="preserve">ollowing a cultural review of the </w:t>
      </w:r>
      <w:proofErr w:type="gramStart"/>
      <w:r w:rsidRPr="009B51BF">
        <w:rPr>
          <w:lang w:val="en-GB"/>
        </w:rPr>
        <w:t>School</w:t>
      </w:r>
      <w:proofErr w:type="gramEnd"/>
      <w:r w:rsidRPr="009B51BF">
        <w:rPr>
          <w:lang w:val="en-GB"/>
        </w:rPr>
        <w:t>, the next step is to embark on a significant cultural improvement program</w:t>
      </w:r>
      <w:r w:rsidR="00E460FC">
        <w:rPr>
          <w:lang w:val="en-GB"/>
        </w:rPr>
        <w:t xml:space="preserve">.  </w:t>
      </w:r>
      <w:r w:rsidRPr="009B51BF">
        <w:rPr>
          <w:lang w:val="en-GB"/>
        </w:rPr>
        <w:t xml:space="preserve">Consequently, both </w:t>
      </w:r>
      <w:r w:rsidR="002E5330">
        <w:rPr>
          <w:lang w:val="en-GB"/>
        </w:rPr>
        <w:t>Professor </w:t>
      </w:r>
      <w:r w:rsidRPr="009B51BF">
        <w:rPr>
          <w:lang w:val="en-GB"/>
        </w:rPr>
        <w:t xml:space="preserve">Winn and I were in agreement that it is appropriate he pass the baton on to the next person to take the </w:t>
      </w:r>
      <w:proofErr w:type="gramStart"/>
      <w:r w:rsidRPr="009B51BF">
        <w:rPr>
          <w:lang w:val="en-GB"/>
        </w:rPr>
        <w:t>School</w:t>
      </w:r>
      <w:proofErr w:type="gramEnd"/>
      <w:r w:rsidRPr="009B51BF">
        <w:rPr>
          <w:lang w:val="en-GB"/>
        </w:rPr>
        <w:t xml:space="preserve"> forward</w:t>
      </w:r>
      <w:r w:rsidR="00E24138">
        <w:rPr>
          <w:lang w:val="en-GB"/>
        </w:rPr>
        <w:t xml:space="preserve"> </w:t>
      </w:r>
      <w:r w:rsidRPr="009B51BF">
        <w:rPr>
          <w:lang w:val="en-GB"/>
        </w:rPr>
        <w:t>…</w:t>
      </w:r>
      <w:r w:rsidR="00E24138">
        <w:rPr>
          <w:lang w:val="en-GB"/>
        </w:rPr>
        <w:t xml:space="preserve"> </w:t>
      </w:r>
      <w:r w:rsidRPr="009B51BF">
        <w:rPr>
          <w:lang w:val="en-GB"/>
        </w:rPr>
        <w:t>ECU will shortly commence the process of recruiting a new Executive Dean</w:t>
      </w:r>
      <w:r w:rsidR="002E5330">
        <w:rPr>
          <w:lang w:val="en-GB"/>
        </w:rPr>
        <w:t>.</w:t>
      </w:r>
    </w:p>
    <w:p w14:paraId="2C17BB93" w14:textId="19B3D9CC" w:rsidR="00301E46" w:rsidRDefault="00301E46" w:rsidP="00301E46">
      <w:pPr>
        <w:pStyle w:val="ParaNumbering"/>
        <w:tabs>
          <w:tab w:val="num" w:pos="720"/>
        </w:tabs>
        <w:rPr>
          <w:lang w:val="en-GB"/>
        </w:rPr>
      </w:pPr>
      <w:r>
        <w:rPr>
          <w:lang w:val="en-GB"/>
        </w:rPr>
        <w:t>At paragraph 88, it is pleaded that it '</w:t>
      </w:r>
      <w:r w:rsidRPr="009B51BF">
        <w:rPr>
          <w:lang w:val="en-GB"/>
        </w:rPr>
        <w:t>may be inferred that ECU had concluded, following its cultural review, that the Applicant was responsible for the toxic workplace culture in the School of Education</w:t>
      </w:r>
      <w:r>
        <w:rPr>
          <w:lang w:val="en-GB"/>
        </w:rPr>
        <w:t>'</w:t>
      </w:r>
      <w:r w:rsidRPr="009B51BF">
        <w:rPr>
          <w:lang w:val="en-GB"/>
        </w:rPr>
        <w:t>.</w:t>
      </w:r>
    </w:p>
    <w:p w14:paraId="2583D3D7" w14:textId="1F086E08" w:rsidR="00301E46" w:rsidRDefault="00301E46" w:rsidP="00301E46">
      <w:pPr>
        <w:pStyle w:val="ParaNumbering"/>
        <w:tabs>
          <w:tab w:val="num" w:pos="720"/>
        </w:tabs>
        <w:rPr>
          <w:lang w:val="en-GB"/>
        </w:rPr>
      </w:pPr>
      <w:r>
        <w:rPr>
          <w:lang w:val="en-GB"/>
        </w:rPr>
        <w:t>It is not necessary to repeat the allegations made in any of the four communications described</w:t>
      </w:r>
      <w:r w:rsidR="003D7228">
        <w:rPr>
          <w:lang w:val="en-GB"/>
        </w:rPr>
        <w:t xml:space="preserve"> in [</w:t>
      </w:r>
      <w:r w:rsidR="003D7228">
        <w:rPr>
          <w:lang w:val="en-GB"/>
        </w:rPr>
        <w:fldChar w:fldCharType="begin"/>
      </w:r>
      <w:r w:rsidR="003D7228">
        <w:rPr>
          <w:lang w:val="en-GB"/>
        </w:rPr>
        <w:instrText xml:space="preserve"> REF _Ref163635930 \r \h </w:instrText>
      </w:r>
      <w:r w:rsidR="003D7228">
        <w:rPr>
          <w:lang w:val="en-GB"/>
        </w:rPr>
      </w:r>
      <w:r w:rsidR="003D7228">
        <w:rPr>
          <w:lang w:val="en-GB"/>
        </w:rPr>
        <w:fldChar w:fldCharType="separate"/>
      </w:r>
      <w:r w:rsidR="005662B4">
        <w:rPr>
          <w:lang w:val="en-GB"/>
        </w:rPr>
        <w:t>46</w:t>
      </w:r>
      <w:r w:rsidR="003D7228">
        <w:rPr>
          <w:lang w:val="en-GB"/>
        </w:rPr>
        <w:fldChar w:fldCharType="end"/>
      </w:r>
      <w:r w:rsidR="003D7228">
        <w:rPr>
          <w:lang w:val="en-GB"/>
        </w:rPr>
        <w:t>] above</w:t>
      </w:r>
      <w:r w:rsidR="00E460FC">
        <w:rPr>
          <w:lang w:val="en-GB"/>
        </w:rPr>
        <w:t xml:space="preserve">.  </w:t>
      </w:r>
      <w:r w:rsidRPr="008B7317">
        <w:rPr>
          <w:lang w:val="en-GB"/>
        </w:rPr>
        <w:t xml:space="preserve">While the </w:t>
      </w:r>
      <w:r>
        <w:rPr>
          <w:lang w:val="en-GB"/>
        </w:rPr>
        <w:t>Schedule</w:t>
      </w:r>
      <w:r w:rsidRPr="008B7317">
        <w:rPr>
          <w:lang w:val="en-GB"/>
        </w:rPr>
        <w:t xml:space="preserve"> does not make this clear, </w:t>
      </w:r>
      <w:r>
        <w:rPr>
          <w:lang w:val="en-GB"/>
        </w:rPr>
        <w:t>the respondents confirmed in oral submissions</w:t>
      </w:r>
      <w:r w:rsidRPr="008B7317">
        <w:rPr>
          <w:lang w:val="en-GB"/>
        </w:rPr>
        <w:t xml:space="preserve"> that they do not seek to rely on any of the </w:t>
      </w:r>
      <w:r>
        <w:rPr>
          <w:lang w:val="en-GB"/>
        </w:rPr>
        <w:t>communications as evidence of the truth of their contents</w:t>
      </w:r>
      <w:r w:rsidR="002E5330">
        <w:rPr>
          <w:lang w:val="en-GB"/>
        </w:rPr>
        <w:t>.</w:t>
      </w:r>
    </w:p>
    <w:p w14:paraId="4D62A5FD" w14:textId="2BFD40C9" w:rsidR="00301E46" w:rsidRDefault="00301E46" w:rsidP="00301E46">
      <w:pPr>
        <w:pStyle w:val="ParaNumbering"/>
        <w:tabs>
          <w:tab w:val="num" w:pos="720"/>
        </w:tabs>
        <w:rPr>
          <w:lang w:val="en-GB"/>
        </w:rPr>
      </w:pPr>
      <w:r w:rsidRPr="2E34F682">
        <w:rPr>
          <w:lang w:val="en-GB"/>
        </w:rPr>
        <w:t xml:space="preserve">In any event, only the first </w:t>
      </w:r>
      <w:r>
        <w:rPr>
          <w:lang w:val="en-GB"/>
        </w:rPr>
        <w:t>communication</w:t>
      </w:r>
      <w:r w:rsidRPr="2E34F682">
        <w:rPr>
          <w:lang w:val="en-GB"/>
        </w:rPr>
        <w:t xml:space="preserve"> is the subject of any specific submission by </w:t>
      </w:r>
      <w:r w:rsidR="002E5330">
        <w:rPr>
          <w:lang w:val="en-GB"/>
        </w:rPr>
        <w:t>Professor </w:t>
      </w:r>
      <w:r w:rsidRPr="2E34F682">
        <w:rPr>
          <w:lang w:val="en-GB"/>
        </w:rPr>
        <w:t>Winn</w:t>
      </w:r>
      <w:r w:rsidR="00E460FC">
        <w:rPr>
          <w:lang w:val="en-GB"/>
        </w:rPr>
        <w:t xml:space="preserve">.  </w:t>
      </w:r>
      <w:r w:rsidRPr="2E34F682">
        <w:rPr>
          <w:lang w:val="en-GB"/>
        </w:rPr>
        <w:t xml:space="preserve">The submission is that not replying to </w:t>
      </w:r>
      <w:r w:rsidR="000B633E">
        <w:rPr>
          <w:lang w:val="en-GB"/>
        </w:rPr>
        <w:t>Dr </w:t>
      </w:r>
      <w:r w:rsidRPr="2E34F682">
        <w:rPr>
          <w:lang w:val="en-GB"/>
        </w:rPr>
        <w:t xml:space="preserve">Prout's 14 October 2021 communication does not disclose </w:t>
      </w:r>
      <w:r w:rsidRPr="008B7317">
        <w:t>any</w:t>
      </w:r>
      <w:r w:rsidRPr="2E34F682">
        <w:rPr>
          <w:lang w:val="en-GB"/>
        </w:rPr>
        <w:t xml:space="preserve"> bullying, intimidatory or gaslighting conduct by </w:t>
      </w:r>
      <w:r w:rsidR="002E5330">
        <w:rPr>
          <w:lang w:val="en-GB"/>
        </w:rPr>
        <w:t>Professor </w:t>
      </w:r>
      <w:r w:rsidRPr="2E34F682">
        <w:rPr>
          <w:lang w:val="en-GB"/>
        </w:rPr>
        <w:t>Winn, does not establish that he created or fostered a workplace culture of bullying and fear, raises a false issue, and discloses no reasonable defence</w:t>
      </w:r>
      <w:r w:rsidR="002E5330">
        <w:rPr>
          <w:lang w:val="en-GB"/>
        </w:rPr>
        <w:t>.</w:t>
      </w:r>
    </w:p>
    <w:p w14:paraId="5C86AE4E" w14:textId="1CE4DF45" w:rsidR="00301E46" w:rsidRDefault="00301E46" w:rsidP="00301E46">
      <w:pPr>
        <w:pStyle w:val="ParaNumbering"/>
        <w:tabs>
          <w:tab w:val="num" w:pos="720"/>
        </w:tabs>
        <w:rPr>
          <w:lang w:val="en-GB"/>
        </w:rPr>
      </w:pPr>
      <w:r>
        <w:rPr>
          <w:lang w:val="en-GB"/>
        </w:rPr>
        <w:t xml:space="preserve">More broadly, </w:t>
      </w:r>
      <w:r w:rsidR="002E5330">
        <w:rPr>
          <w:lang w:val="en-GB"/>
        </w:rPr>
        <w:t>Professor </w:t>
      </w:r>
      <w:r w:rsidRPr="00F24F0A">
        <w:rPr>
          <w:lang w:val="en-GB"/>
        </w:rPr>
        <w:t>Winn</w:t>
      </w:r>
      <w:r>
        <w:rPr>
          <w:lang w:val="en-GB"/>
        </w:rPr>
        <w:t xml:space="preserve"> complains that the statements made on each occasion are hearsay</w:t>
      </w:r>
      <w:r w:rsidR="00E460FC">
        <w:rPr>
          <w:lang w:val="en-GB"/>
        </w:rPr>
        <w:t xml:space="preserve">.  </w:t>
      </w:r>
      <w:r>
        <w:rPr>
          <w:lang w:val="en-GB"/>
        </w:rPr>
        <w:t>He also submits that the respondents have failed to particularise 'primary facts' that raise the inference in paragraph 88 'above the level of a possibility', and in oral submissions his counsel also criticised the inference as 'pure conjecture'</w:t>
      </w:r>
      <w:r w:rsidR="002E5330">
        <w:rPr>
          <w:lang w:val="en-GB"/>
        </w:rPr>
        <w:t>.</w:t>
      </w:r>
    </w:p>
    <w:p w14:paraId="35D9C68B" w14:textId="5D9F0A9C" w:rsidR="00301E46" w:rsidRDefault="00301E46" w:rsidP="00301E46">
      <w:pPr>
        <w:pStyle w:val="Heading2"/>
        <w:rPr>
          <w:lang w:val="en-GB"/>
        </w:rPr>
      </w:pPr>
      <w:r>
        <w:rPr>
          <w:lang w:val="en-GB"/>
        </w:rPr>
        <w:t xml:space="preserve">Some general submissions by </w:t>
      </w:r>
      <w:r w:rsidR="002E5330">
        <w:rPr>
          <w:lang w:val="en-GB"/>
        </w:rPr>
        <w:t>Professor </w:t>
      </w:r>
      <w:r w:rsidRPr="00E054A0">
        <w:rPr>
          <w:lang w:val="en-GB"/>
        </w:rPr>
        <w:t>Winn</w:t>
      </w:r>
    </w:p>
    <w:p w14:paraId="7EA2A506" w14:textId="28A0FA31" w:rsidR="00301E46" w:rsidRDefault="00301E46" w:rsidP="00301E46">
      <w:pPr>
        <w:pStyle w:val="ParaNumbering"/>
        <w:tabs>
          <w:tab w:val="num" w:pos="720"/>
        </w:tabs>
        <w:rPr>
          <w:lang w:val="en-GB"/>
        </w:rPr>
      </w:pPr>
      <w:r>
        <w:rPr>
          <w:lang w:val="en-GB"/>
        </w:rPr>
        <w:t xml:space="preserve">Counsel for </w:t>
      </w:r>
      <w:r w:rsidR="002E5330">
        <w:rPr>
          <w:lang w:val="en-GB"/>
        </w:rPr>
        <w:t>Professor </w:t>
      </w:r>
      <w:r w:rsidRPr="00E00DBE">
        <w:rPr>
          <w:lang w:val="en-GB"/>
        </w:rPr>
        <w:t>Winn</w:t>
      </w:r>
      <w:r>
        <w:rPr>
          <w:lang w:val="en-GB"/>
        </w:rPr>
        <w:t xml:space="preserve"> made submissions which acknowledged, correctly, that the particulars of justification given in the Schedule need to be assessed cumulatively (see below)</w:t>
      </w:r>
      <w:r w:rsidR="00E460FC">
        <w:rPr>
          <w:lang w:val="en-GB"/>
        </w:rPr>
        <w:t xml:space="preserve">.  </w:t>
      </w:r>
      <w:r>
        <w:rPr>
          <w:lang w:val="en-GB"/>
        </w:rPr>
        <w:t>He submitted that even when that is done, 'there remains nothing there'</w:t>
      </w:r>
      <w:r w:rsidR="00E460FC">
        <w:rPr>
          <w:lang w:val="en-GB"/>
        </w:rPr>
        <w:t xml:space="preserve">.  </w:t>
      </w:r>
      <w:r>
        <w:rPr>
          <w:lang w:val="en-GB"/>
        </w:rPr>
        <w:t xml:space="preserve">All that is pleaded, he submitted, is a series of management decisions which may have upset certain </w:t>
      </w:r>
      <w:proofErr w:type="gramStart"/>
      <w:r>
        <w:rPr>
          <w:lang w:val="en-GB"/>
        </w:rPr>
        <w:t>people, but</w:t>
      </w:r>
      <w:proofErr w:type="gramEnd"/>
      <w:r>
        <w:rPr>
          <w:lang w:val="en-GB"/>
        </w:rPr>
        <w:t xml:space="preserve"> display no instance of </w:t>
      </w:r>
      <w:r w:rsidR="00CD12A2">
        <w:rPr>
          <w:lang w:val="en-GB"/>
        </w:rPr>
        <w:t xml:space="preserve">certain specific </w:t>
      </w:r>
      <w:r w:rsidRPr="00395A6F">
        <w:rPr>
          <w:lang w:val="en-GB"/>
        </w:rPr>
        <w:t>conduct</w:t>
      </w:r>
      <w:r>
        <w:rPr>
          <w:lang w:val="en-GB"/>
        </w:rPr>
        <w:t xml:space="preserve"> referred to in the</w:t>
      </w:r>
      <w:r w:rsidR="00CD12A2">
        <w:rPr>
          <w:lang w:val="en-GB"/>
        </w:rPr>
        <w:t xml:space="preserve"> publication, namely</w:t>
      </w:r>
      <w:r>
        <w:rPr>
          <w:lang w:val="en-GB"/>
        </w:rPr>
        <w:t xml:space="preserve"> reducing staff to tears </w:t>
      </w:r>
      <w:r w:rsidR="00CD12A2">
        <w:rPr>
          <w:lang w:val="en-GB"/>
        </w:rPr>
        <w:t xml:space="preserve">and </w:t>
      </w:r>
      <w:r>
        <w:rPr>
          <w:lang w:val="en-GB"/>
        </w:rPr>
        <w:t>accusing them of lying</w:t>
      </w:r>
      <w:r w:rsidR="002E5330">
        <w:rPr>
          <w:lang w:val="en-GB"/>
        </w:rPr>
        <w:t>.</w:t>
      </w:r>
    </w:p>
    <w:p w14:paraId="40A1D1EA" w14:textId="60A1E424" w:rsidR="00301E46" w:rsidRPr="00760CEB" w:rsidRDefault="00301E46" w:rsidP="00301E46">
      <w:pPr>
        <w:pStyle w:val="ParaNumbering"/>
        <w:tabs>
          <w:tab w:val="num" w:pos="720"/>
        </w:tabs>
        <w:rPr>
          <w:lang w:val="en-GB"/>
        </w:rPr>
      </w:pPr>
      <w:r w:rsidRPr="00760CEB">
        <w:rPr>
          <w:lang w:val="en-GB"/>
        </w:rPr>
        <w:t xml:space="preserve">One submission </w:t>
      </w:r>
      <w:r w:rsidR="002E5330" w:rsidRPr="00760CEB">
        <w:rPr>
          <w:lang w:val="en-GB"/>
        </w:rPr>
        <w:t>Professor </w:t>
      </w:r>
      <w:r w:rsidRPr="00760CEB">
        <w:rPr>
          <w:lang w:val="en-GB"/>
        </w:rPr>
        <w:t>Winn makes about the overall structure of the Schedule is that it is in narrative form and not organised by reference to each imputation</w:t>
      </w:r>
      <w:r w:rsidR="00E460FC">
        <w:rPr>
          <w:lang w:val="en-GB"/>
        </w:rPr>
        <w:t xml:space="preserve">.  </w:t>
      </w:r>
      <w:r w:rsidRPr="00760CEB">
        <w:rPr>
          <w:lang w:val="en-GB"/>
        </w:rPr>
        <w:t xml:space="preserve">It was not clear how </w:t>
      </w:r>
      <w:r w:rsidRPr="00760CEB">
        <w:rPr>
          <w:lang w:val="en-GB"/>
        </w:rPr>
        <w:lastRenderedPageBreak/>
        <w:t xml:space="preserve">intently </w:t>
      </w:r>
      <w:r w:rsidR="002E5330" w:rsidRPr="00760CEB">
        <w:rPr>
          <w:lang w:val="en-GB"/>
        </w:rPr>
        <w:t>Professor </w:t>
      </w:r>
      <w:r w:rsidRPr="00760CEB">
        <w:rPr>
          <w:lang w:val="en-GB"/>
        </w:rPr>
        <w:t>Winn pressed that as an independent basis to refuse leave to rely on the proposed amended defence.</w:t>
      </w:r>
    </w:p>
    <w:p w14:paraId="6044D9B3" w14:textId="6C3B8845" w:rsidR="00FB0E1A" w:rsidRPr="00760CEB" w:rsidRDefault="00301E46" w:rsidP="00301E46">
      <w:pPr>
        <w:pStyle w:val="ParaNumbering"/>
        <w:tabs>
          <w:tab w:val="num" w:pos="720"/>
        </w:tabs>
        <w:rPr>
          <w:lang w:val="en-GB"/>
        </w:rPr>
      </w:pPr>
      <w:r w:rsidRPr="00760CEB">
        <w:rPr>
          <w:lang w:val="en-GB"/>
        </w:rPr>
        <w:t xml:space="preserve">Submissions were also made comparing the proposed defence to the defence of justification </w:t>
      </w:r>
      <w:r w:rsidR="00671A06">
        <w:rPr>
          <w:lang w:val="en-GB"/>
        </w:rPr>
        <w:t xml:space="preserve">that </w:t>
      </w:r>
      <w:r w:rsidRPr="00760CEB">
        <w:rPr>
          <w:lang w:val="en-GB"/>
        </w:rPr>
        <w:t xml:space="preserve">was struck out in </w:t>
      </w:r>
      <w:r w:rsidRPr="00760CEB">
        <w:rPr>
          <w:i/>
          <w:iCs/>
          <w:lang w:val="en-GB"/>
        </w:rPr>
        <w:t>Wing v The Australian Broadcasting Corporation</w:t>
      </w:r>
      <w:r w:rsidRPr="00760CEB">
        <w:rPr>
          <w:lang w:val="en-GB"/>
        </w:rPr>
        <w:t xml:space="preserve"> [2018] FCA 1340 (</w:t>
      </w:r>
      <w:r w:rsidRPr="00760CEB">
        <w:rPr>
          <w:b/>
          <w:bCs/>
          <w:i/>
          <w:iCs/>
          <w:lang w:val="en-GB"/>
        </w:rPr>
        <w:t>Wing v ABC</w:t>
      </w:r>
      <w:r w:rsidR="00EF2483" w:rsidRPr="00760CEB">
        <w:rPr>
          <w:lang w:val="en-GB"/>
        </w:rPr>
        <w:t>)</w:t>
      </w:r>
      <w:r w:rsidRPr="00760CEB">
        <w:rPr>
          <w:lang w:val="en-GB"/>
        </w:rPr>
        <w:t xml:space="preserve"> </w:t>
      </w:r>
      <w:r w:rsidR="00EF2483" w:rsidRPr="00760CEB">
        <w:rPr>
          <w:lang w:val="en-GB"/>
        </w:rPr>
        <w:t>(</w:t>
      </w:r>
      <w:r w:rsidRPr="00760CEB">
        <w:rPr>
          <w:lang w:val="en-GB"/>
        </w:rPr>
        <w:t>Rares</w:t>
      </w:r>
      <w:r w:rsidR="00EF2483" w:rsidRPr="00760CEB">
        <w:rPr>
          <w:lang w:val="en-GB"/>
        </w:rPr>
        <w:t> </w:t>
      </w:r>
      <w:r w:rsidRPr="00760CEB">
        <w:rPr>
          <w:lang w:val="en-GB"/>
        </w:rPr>
        <w:t>J)</w:t>
      </w:r>
      <w:r w:rsidR="00E460FC">
        <w:rPr>
          <w:lang w:val="en-GB"/>
        </w:rPr>
        <w:t xml:space="preserve">.  </w:t>
      </w:r>
      <w:r w:rsidR="002E5330" w:rsidRPr="00760CEB">
        <w:rPr>
          <w:lang w:val="en-GB"/>
        </w:rPr>
        <w:t>Professor </w:t>
      </w:r>
      <w:r w:rsidRPr="00760CEB">
        <w:rPr>
          <w:lang w:val="en-GB"/>
        </w:rPr>
        <w:t xml:space="preserve">Winn submitted that </w:t>
      </w:r>
      <w:r w:rsidR="00E201D7" w:rsidRPr="00760CEB">
        <w:rPr>
          <w:lang w:val="en-GB"/>
        </w:rPr>
        <w:t xml:space="preserve">in </w:t>
      </w:r>
      <w:r w:rsidRPr="00760CEB">
        <w:rPr>
          <w:lang w:val="en-GB"/>
        </w:rPr>
        <w:t xml:space="preserve">that case, </w:t>
      </w:r>
      <w:proofErr w:type="gramStart"/>
      <w:r w:rsidRPr="00760CEB">
        <w:rPr>
          <w:lang w:val="en-GB"/>
        </w:rPr>
        <w:t>and also</w:t>
      </w:r>
      <w:proofErr w:type="gramEnd"/>
      <w:r w:rsidRPr="00760CEB">
        <w:rPr>
          <w:lang w:val="en-GB"/>
        </w:rPr>
        <w:t xml:space="preserve"> in this, there were insufficient particulars of the plea of justification and insufficient links between the particulars and the conclusory pleas</w:t>
      </w:r>
      <w:r w:rsidR="00E460FC">
        <w:rPr>
          <w:lang w:val="en-GB"/>
        </w:rPr>
        <w:t xml:space="preserve">.  </w:t>
      </w:r>
      <w:r w:rsidRPr="00760CEB">
        <w:rPr>
          <w:lang w:val="en-GB"/>
        </w:rPr>
        <w:t xml:space="preserve">He also submitted that in the Full Court decision in which an appeal from </w:t>
      </w:r>
      <w:r w:rsidR="000C1A1D" w:rsidRPr="005123DE">
        <w:rPr>
          <w:i/>
          <w:iCs/>
          <w:lang w:val="en-GB"/>
        </w:rPr>
        <w:t>Wing v ABC</w:t>
      </w:r>
      <w:r w:rsidR="000C1A1D">
        <w:rPr>
          <w:lang w:val="en-GB"/>
        </w:rPr>
        <w:t xml:space="preserve"> </w:t>
      </w:r>
      <w:r w:rsidRPr="00760CEB">
        <w:rPr>
          <w:lang w:val="en-GB"/>
        </w:rPr>
        <w:t>was dismissed</w:t>
      </w:r>
      <w:r w:rsidR="00995622" w:rsidRPr="00760CEB">
        <w:rPr>
          <w:lang w:val="en-GB"/>
        </w:rPr>
        <w:t xml:space="preserve">, </w:t>
      </w:r>
      <w:r w:rsidRPr="00760CEB">
        <w:rPr>
          <w:i/>
          <w:iCs/>
          <w:lang w:val="en-GB"/>
        </w:rPr>
        <w:t>Australian Broadcasting Corp</w:t>
      </w:r>
      <w:r w:rsidR="00995622" w:rsidRPr="00760CEB">
        <w:rPr>
          <w:i/>
          <w:iCs/>
          <w:lang w:val="en-GB"/>
        </w:rPr>
        <w:t>oration</w:t>
      </w:r>
      <w:r w:rsidRPr="00760CEB">
        <w:rPr>
          <w:i/>
          <w:iCs/>
          <w:lang w:val="en-GB"/>
        </w:rPr>
        <w:t xml:space="preserve"> v </w:t>
      </w:r>
      <w:r w:rsidRPr="00760CEB">
        <w:rPr>
          <w:b/>
          <w:bCs/>
          <w:i/>
          <w:iCs/>
          <w:lang w:val="en-GB"/>
        </w:rPr>
        <w:t>Chau Chak Wing</w:t>
      </w:r>
      <w:r w:rsidRPr="00760CEB">
        <w:rPr>
          <w:lang w:val="en-GB"/>
        </w:rPr>
        <w:t xml:space="preserve"> [2019] FCAFC 125; (2019) 271 FCR 632, the Court deprecated an attempt by the appellants to broaden the definition of 'espionage', that being the substance of one of the imputations</w:t>
      </w:r>
      <w:r w:rsidR="00E460FC">
        <w:rPr>
          <w:lang w:val="en-GB"/>
        </w:rPr>
        <w:t xml:space="preserve">.  </w:t>
      </w:r>
      <w:r w:rsidRPr="00760CEB">
        <w:rPr>
          <w:lang w:val="en-GB"/>
        </w:rPr>
        <w:t xml:space="preserve">This, </w:t>
      </w:r>
      <w:r w:rsidR="002E5330" w:rsidRPr="00760CEB">
        <w:rPr>
          <w:lang w:val="en-GB"/>
        </w:rPr>
        <w:t>Professor </w:t>
      </w:r>
      <w:r w:rsidRPr="00760CEB">
        <w:rPr>
          <w:lang w:val="en-GB"/>
        </w:rPr>
        <w:t xml:space="preserve">Winn submitted, was </w:t>
      </w:r>
      <w:proofErr w:type="gramStart"/>
      <w:r w:rsidRPr="00760CEB">
        <w:rPr>
          <w:lang w:val="en-GB"/>
        </w:rPr>
        <w:t>similar to</w:t>
      </w:r>
      <w:proofErr w:type="gramEnd"/>
      <w:r w:rsidRPr="00760CEB">
        <w:rPr>
          <w:lang w:val="en-GB"/>
        </w:rPr>
        <w:t xml:space="preserve"> the attempt by the respondents to broaden the true meaning of the imputations in this case, to encompass things that do not amount to bullying, intimidation</w:t>
      </w:r>
      <w:r w:rsidR="00734CC0">
        <w:rPr>
          <w:lang w:val="en-GB"/>
        </w:rPr>
        <w:t xml:space="preserve"> or</w:t>
      </w:r>
      <w:r w:rsidRPr="00760CEB">
        <w:rPr>
          <w:lang w:val="en-GB"/>
        </w:rPr>
        <w:t xml:space="preserve"> gaslighting</w:t>
      </w:r>
      <w:r w:rsidR="00E460FC">
        <w:rPr>
          <w:lang w:val="en-GB"/>
        </w:rPr>
        <w:t xml:space="preserve">.  </w:t>
      </w:r>
      <w:r w:rsidRPr="00760CEB">
        <w:rPr>
          <w:lang w:val="en-GB"/>
        </w:rPr>
        <w:t>He submitted that the imputations that he has pleaded are precise, in that they convey that he engaged in bullying and intimidation (and</w:t>
      </w:r>
      <w:r w:rsidR="00693649">
        <w:rPr>
          <w:lang w:val="en-GB"/>
        </w:rPr>
        <w:t> </w:t>
      </w:r>
      <w:r w:rsidRPr="00760CEB">
        <w:rPr>
          <w:lang w:val="en-GB"/>
        </w:rPr>
        <w:t>gaslighting) that led staff to feel a certain way, and the respondents seek to meet that by pleading different conduct</w:t>
      </w:r>
      <w:r w:rsidR="00BA22FF" w:rsidRPr="00760CEB">
        <w:rPr>
          <w:lang w:val="en-GB"/>
        </w:rPr>
        <w:t xml:space="preserve"> that falls under a broader concept of bullying and intimidation</w:t>
      </w:r>
      <w:r w:rsidR="00E460FC">
        <w:rPr>
          <w:lang w:val="en-GB"/>
        </w:rPr>
        <w:t>.</w:t>
      </w:r>
    </w:p>
    <w:p w14:paraId="3AF9908B" w14:textId="15D35050" w:rsidR="00301E46" w:rsidRDefault="002E5330" w:rsidP="00301E46">
      <w:pPr>
        <w:pStyle w:val="ParaNumbering"/>
        <w:tabs>
          <w:tab w:val="num" w:pos="720"/>
        </w:tabs>
        <w:rPr>
          <w:lang w:val="en-GB"/>
        </w:rPr>
      </w:pPr>
      <w:r w:rsidRPr="00760CEB">
        <w:rPr>
          <w:lang w:val="en-GB"/>
        </w:rPr>
        <w:t>Professor </w:t>
      </w:r>
      <w:r w:rsidR="00301E46" w:rsidRPr="00760CEB">
        <w:rPr>
          <w:lang w:val="en-GB"/>
        </w:rPr>
        <w:t>Winn's counsel also pointed generally to the prejudice that he says his client would suffer if</w:t>
      </w:r>
      <w:r w:rsidR="00301E46">
        <w:rPr>
          <w:lang w:val="en-GB"/>
        </w:rPr>
        <w:t xml:space="preserve"> the matter were to be permitted to proceed </w:t>
      </w:r>
      <w:proofErr w:type="gramStart"/>
      <w:r w:rsidR="00301E46">
        <w:rPr>
          <w:lang w:val="en-GB"/>
        </w:rPr>
        <w:t>on the basis of</w:t>
      </w:r>
      <w:proofErr w:type="gramEnd"/>
      <w:r w:rsidR="00301E46">
        <w:rPr>
          <w:lang w:val="en-GB"/>
        </w:rPr>
        <w:t xml:space="preserve"> the Schedule</w:t>
      </w:r>
      <w:r w:rsidR="00E460FC">
        <w:rPr>
          <w:lang w:val="en-GB"/>
        </w:rPr>
        <w:t xml:space="preserve">.  </w:t>
      </w:r>
      <w:r>
        <w:rPr>
          <w:lang w:val="en-GB"/>
        </w:rPr>
        <w:t>Professor </w:t>
      </w:r>
      <w:r w:rsidR="00301E46" w:rsidRPr="00103A9D">
        <w:rPr>
          <w:lang w:val="en-GB"/>
        </w:rPr>
        <w:t>Winn</w:t>
      </w:r>
      <w:r w:rsidR="00301E46">
        <w:rPr>
          <w:lang w:val="en-GB"/>
        </w:rPr>
        <w:t xml:space="preserve">'s affidavit contains evidence to the effect that his physical and mental health has suffered </w:t>
      </w:r>
      <w:proofErr w:type="gramStart"/>
      <w:r w:rsidR="00301E46">
        <w:rPr>
          <w:lang w:val="en-GB"/>
        </w:rPr>
        <w:t>as a result of</w:t>
      </w:r>
      <w:proofErr w:type="gramEnd"/>
      <w:r w:rsidR="00301E46">
        <w:rPr>
          <w:lang w:val="en-GB"/>
        </w:rPr>
        <w:t xml:space="preserve"> the publication, and </w:t>
      </w:r>
      <w:r w:rsidR="008D308A">
        <w:rPr>
          <w:lang w:val="en-GB"/>
        </w:rPr>
        <w:t xml:space="preserve">that it </w:t>
      </w:r>
      <w:r w:rsidR="00301E46">
        <w:rPr>
          <w:lang w:val="en-GB"/>
        </w:rPr>
        <w:t>has caused him to be effectively unemployable</w:t>
      </w:r>
      <w:r w:rsidR="00E460FC">
        <w:rPr>
          <w:lang w:val="en-GB"/>
        </w:rPr>
        <w:t xml:space="preserve">.  </w:t>
      </w:r>
      <w:r w:rsidR="00301E46">
        <w:rPr>
          <w:lang w:val="en-GB"/>
        </w:rPr>
        <w:t>To require him to devote time</w:t>
      </w:r>
      <w:r w:rsidR="00CB12D2">
        <w:rPr>
          <w:lang w:val="en-GB"/>
        </w:rPr>
        <w:t xml:space="preserve">, </w:t>
      </w:r>
      <w:proofErr w:type="gramStart"/>
      <w:r w:rsidR="00CB12D2">
        <w:rPr>
          <w:lang w:val="en-GB"/>
        </w:rPr>
        <w:t>effort</w:t>
      </w:r>
      <w:proofErr w:type="gramEnd"/>
      <w:r w:rsidR="00CB12D2">
        <w:rPr>
          <w:lang w:val="en-GB"/>
        </w:rPr>
        <w:t xml:space="preserve"> </w:t>
      </w:r>
      <w:r w:rsidR="00301E46">
        <w:rPr>
          <w:lang w:val="en-GB"/>
        </w:rPr>
        <w:t>and resources to answering such imprecise allegations would cause further prejudice</w:t>
      </w:r>
      <w:r>
        <w:rPr>
          <w:lang w:val="en-GB"/>
        </w:rPr>
        <w:t>.</w:t>
      </w:r>
    </w:p>
    <w:p w14:paraId="132AF57F" w14:textId="44F73A1D" w:rsidR="00301E46" w:rsidRDefault="008056DC" w:rsidP="00301E46">
      <w:pPr>
        <w:pStyle w:val="ParaNumbering"/>
        <w:tabs>
          <w:tab w:val="num" w:pos="720"/>
        </w:tabs>
        <w:rPr>
          <w:lang w:val="en-GB"/>
        </w:rPr>
      </w:pPr>
      <w:bookmarkStart w:id="30" w:name="_Ref163654414"/>
      <w:r>
        <w:rPr>
          <w:lang w:val="en-GB"/>
        </w:rPr>
        <w:t xml:space="preserve">It is not entirely clear whether </w:t>
      </w:r>
      <w:r w:rsidR="002E5330" w:rsidRPr="004B456F">
        <w:rPr>
          <w:lang w:val="en-GB"/>
        </w:rPr>
        <w:t>Professor </w:t>
      </w:r>
      <w:r w:rsidR="00301E46" w:rsidRPr="004B456F">
        <w:rPr>
          <w:lang w:val="en-GB"/>
        </w:rPr>
        <w:t xml:space="preserve">Winn </w:t>
      </w:r>
      <w:r w:rsidRPr="004B456F">
        <w:rPr>
          <w:lang w:val="en-GB"/>
        </w:rPr>
        <w:t>oppose</w:t>
      </w:r>
      <w:r w:rsidR="008D308A">
        <w:rPr>
          <w:lang w:val="en-GB"/>
        </w:rPr>
        <w:t>s</w:t>
      </w:r>
      <w:r w:rsidRPr="004B456F">
        <w:rPr>
          <w:lang w:val="en-GB"/>
        </w:rPr>
        <w:t xml:space="preserve"> </w:t>
      </w:r>
      <w:r w:rsidR="00301E46" w:rsidRPr="004B456F">
        <w:rPr>
          <w:lang w:val="en-GB"/>
        </w:rPr>
        <w:t>the respondents having leave to replead</w:t>
      </w:r>
      <w:r w:rsidR="00E460FC">
        <w:rPr>
          <w:lang w:val="en-GB"/>
        </w:rPr>
        <w:t xml:space="preserve">.  </w:t>
      </w:r>
      <w:r w:rsidR="00301E46">
        <w:rPr>
          <w:lang w:val="en-GB"/>
        </w:rPr>
        <w:t xml:space="preserve">He submits that the logical explanation for the respondents' failure to plead 'primary facts' as to bullying, gaslighting and intimidating </w:t>
      </w:r>
      <w:r w:rsidR="00301E46" w:rsidRPr="003812E7">
        <w:rPr>
          <w:lang w:val="en-GB"/>
        </w:rPr>
        <w:t>conduct</w:t>
      </w:r>
      <w:r w:rsidR="00301E46">
        <w:rPr>
          <w:lang w:val="en-GB"/>
        </w:rPr>
        <w:t xml:space="preserve"> is that, despite having had nine months to come up with sufficient evidence, they have been unable to do so</w:t>
      </w:r>
      <w:r w:rsidR="00E460FC">
        <w:rPr>
          <w:lang w:val="en-GB"/>
        </w:rPr>
        <w:t xml:space="preserve">.  </w:t>
      </w:r>
      <w:r>
        <w:rPr>
          <w:lang w:val="en-GB"/>
        </w:rPr>
        <w:t xml:space="preserve">If that were true, it might follow that they should not </w:t>
      </w:r>
      <w:r w:rsidR="00794E29">
        <w:rPr>
          <w:lang w:val="en-GB"/>
        </w:rPr>
        <w:t>be permitted to</w:t>
      </w:r>
      <w:r>
        <w:rPr>
          <w:lang w:val="en-GB"/>
        </w:rPr>
        <w:t xml:space="preserve"> </w:t>
      </w:r>
      <w:r w:rsidR="00794E29">
        <w:rPr>
          <w:lang w:val="en-GB"/>
        </w:rPr>
        <w:t>try again</w:t>
      </w:r>
      <w:r w:rsidR="00E460FC">
        <w:rPr>
          <w:lang w:val="en-GB"/>
        </w:rPr>
        <w:t xml:space="preserve">.  </w:t>
      </w:r>
      <w:r w:rsidR="00794E29">
        <w:rPr>
          <w:lang w:val="en-GB"/>
        </w:rPr>
        <w:t>I will consider leave to replead below.</w:t>
      </w:r>
      <w:bookmarkEnd w:id="30"/>
    </w:p>
    <w:p w14:paraId="7218CA2C" w14:textId="77777777" w:rsidR="00301E46" w:rsidRDefault="00301E46" w:rsidP="00301E46">
      <w:pPr>
        <w:pStyle w:val="Heading2"/>
        <w:rPr>
          <w:lang w:val="en-GB"/>
        </w:rPr>
      </w:pPr>
      <w:r>
        <w:rPr>
          <w:lang w:val="en-GB"/>
        </w:rPr>
        <w:t>Principles</w:t>
      </w:r>
    </w:p>
    <w:p w14:paraId="3C10ED4D" w14:textId="2F9A5F5E" w:rsidR="00301E46" w:rsidRDefault="00301E46" w:rsidP="004647F0">
      <w:pPr>
        <w:pStyle w:val="ParaNumbering"/>
        <w:tabs>
          <w:tab w:val="num" w:pos="720"/>
        </w:tabs>
        <w:rPr>
          <w:lang w:val="en-GB"/>
        </w:rPr>
      </w:pPr>
      <w:bookmarkStart w:id="31" w:name="_Ref163563044"/>
      <w:r>
        <w:rPr>
          <w:lang w:val="en-GB"/>
        </w:rPr>
        <w:t>Although in form this is an application for leave to rely on a minute of proposed pleading, it is no different in substance from a strike out application</w:t>
      </w:r>
      <w:r w:rsidR="00E460FC">
        <w:rPr>
          <w:lang w:val="en-GB"/>
        </w:rPr>
        <w:t xml:space="preserve">.  </w:t>
      </w:r>
      <w:r>
        <w:rPr>
          <w:lang w:val="en-GB"/>
        </w:rPr>
        <w:t xml:space="preserve">The parties agreed that the principles that govern such an application are </w:t>
      </w:r>
      <w:r>
        <w:t>as discussed</w:t>
      </w:r>
      <w:r>
        <w:rPr>
          <w:lang w:val="en-GB"/>
        </w:rPr>
        <w:t xml:space="preserve"> in the judgment of </w:t>
      </w:r>
      <w:proofErr w:type="spellStart"/>
      <w:r>
        <w:rPr>
          <w:lang w:val="en-GB"/>
        </w:rPr>
        <w:t>Wigney</w:t>
      </w:r>
      <w:proofErr w:type="spellEnd"/>
      <w:r>
        <w:rPr>
          <w:lang w:val="en-GB"/>
        </w:rPr>
        <w:t xml:space="preserve"> J in </w:t>
      </w:r>
      <w:r w:rsidRPr="009E3ADD">
        <w:rPr>
          <w:i/>
          <w:iCs/>
          <w:lang w:val="en-GB"/>
        </w:rPr>
        <w:t>Rush</w:t>
      </w:r>
      <w:r w:rsidR="009E3ADD">
        <w:rPr>
          <w:i/>
          <w:iCs/>
          <w:lang w:val="en-GB"/>
        </w:rPr>
        <w:t xml:space="preserve"> </w:t>
      </w:r>
      <w:r>
        <w:rPr>
          <w:lang w:val="en-GB"/>
        </w:rPr>
        <w:t>at</w:t>
      </w:r>
      <w:r w:rsidR="009E3ADD">
        <w:rPr>
          <w:lang w:val="en-GB"/>
        </w:rPr>
        <w:t> </w:t>
      </w:r>
      <w:r>
        <w:rPr>
          <w:lang w:val="en-GB"/>
        </w:rPr>
        <w:t>[</w:t>
      </w:r>
      <w:proofErr w:type="gramStart"/>
      <w:r>
        <w:rPr>
          <w:lang w:val="en-GB"/>
        </w:rPr>
        <w:t>42]</w:t>
      </w:r>
      <w:r w:rsidR="009E3ADD">
        <w:rPr>
          <w:lang w:val="en-GB"/>
        </w:rPr>
        <w:noBreakHyphen/>
      </w:r>
      <w:proofErr w:type="gramEnd"/>
      <w:r>
        <w:rPr>
          <w:lang w:val="en-GB"/>
        </w:rPr>
        <w:t>[54]</w:t>
      </w:r>
      <w:r w:rsidR="00E460FC">
        <w:rPr>
          <w:lang w:val="en-GB"/>
        </w:rPr>
        <w:t xml:space="preserve">.  </w:t>
      </w:r>
      <w:r w:rsidRPr="00E71F70">
        <w:rPr>
          <w:lang w:val="en-GB"/>
        </w:rPr>
        <w:t xml:space="preserve">I respectfully adopt his Honour's discussion, noting that it has been approved by </w:t>
      </w:r>
      <w:r w:rsidR="00E71F70" w:rsidRPr="00E71F70">
        <w:rPr>
          <w:lang w:val="en-GB"/>
        </w:rPr>
        <w:lastRenderedPageBreak/>
        <w:t xml:space="preserve">the </w:t>
      </w:r>
      <w:r w:rsidRPr="004647F0">
        <w:rPr>
          <w:lang w:val="en-GB"/>
        </w:rPr>
        <w:t>Full Court</w:t>
      </w:r>
      <w:r w:rsidR="00E71F70" w:rsidRPr="004647F0">
        <w:rPr>
          <w:lang w:val="en-GB"/>
        </w:rPr>
        <w:t xml:space="preserve"> </w:t>
      </w:r>
      <w:r w:rsidRPr="00E71F70">
        <w:rPr>
          <w:lang w:val="en-GB"/>
        </w:rPr>
        <w:t xml:space="preserve">in </w:t>
      </w:r>
      <w:r w:rsidRPr="00E71F70">
        <w:rPr>
          <w:i/>
          <w:iCs/>
          <w:lang w:val="en-GB"/>
        </w:rPr>
        <w:t xml:space="preserve">Chau Chak Wing </w:t>
      </w:r>
      <w:r w:rsidRPr="00E71F70">
        <w:rPr>
          <w:lang w:val="en-GB"/>
        </w:rPr>
        <w:t>at [132]</w:t>
      </w:r>
      <w:r w:rsidR="00E460FC">
        <w:rPr>
          <w:lang w:val="en-GB"/>
        </w:rPr>
        <w:t xml:space="preserve">.  </w:t>
      </w:r>
      <w:r w:rsidRPr="00E71F70">
        <w:rPr>
          <w:lang w:val="en-GB"/>
        </w:rPr>
        <w:t xml:space="preserve">It is not necessary to set the passage from </w:t>
      </w:r>
      <w:r w:rsidRPr="00E71F70">
        <w:rPr>
          <w:i/>
          <w:iCs/>
          <w:lang w:val="en-GB"/>
        </w:rPr>
        <w:t>Rush</w:t>
      </w:r>
      <w:r>
        <w:rPr>
          <w:lang w:val="en-GB"/>
        </w:rPr>
        <w:t xml:space="preserve"> out in full; it is enough to note the following points of </w:t>
      </w:r>
      <w:proofErr w:type="gramStart"/>
      <w:r>
        <w:rPr>
          <w:lang w:val="en-GB"/>
        </w:rPr>
        <w:t>particular relevance</w:t>
      </w:r>
      <w:proofErr w:type="gramEnd"/>
      <w:r>
        <w:rPr>
          <w:lang w:val="en-GB"/>
        </w:rPr>
        <w:t xml:space="preserve"> to this application:</w:t>
      </w:r>
      <w:bookmarkEnd w:id="31"/>
    </w:p>
    <w:p w14:paraId="706C6B6D" w14:textId="71222485" w:rsidR="00301E46" w:rsidRDefault="00301E46" w:rsidP="00301E46">
      <w:pPr>
        <w:pStyle w:val="ListNo1"/>
        <w:rPr>
          <w:lang w:val="en-GB"/>
        </w:rPr>
      </w:pPr>
      <w:bookmarkStart w:id="32" w:name="_Ref163563019"/>
      <w:r>
        <w:rPr>
          <w:lang w:val="en-GB"/>
        </w:rPr>
        <w:t>The power to strike out pleadings is discretionary and is only to be employed in a clear case</w:t>
      </w:r>
      <w:r w:rsidR="00E460FC">
        <w:rPr>
          <w:lang w:val="en-GB"/>
        </w:rPr>
        <w:t xml:space="preserve">.  </w:t>
      </w:r>
      <w:r>
        <w:rPr>
          <w:lang w:val="en-GB"/>
        </w:rPr>
        <w:t>There needs to be a high degree of certainty about what would happen if the proceeding were permitted to go to trial in the ordinary way</w:t>
      </w:r>
      <w:r w:rsidR="002E5330">
        <w:rPr>
          <w:lang w:val="en-GB"/>
        </w:rPr>
        <w:t xml:space="preserve">:  </w:t>
      </w:r>
      <w:r w:rsidRPr="007316A7">
        <w:rPr>
          <w:i/>
          <w:iCs/>
          <w:lang w:val="en-GB"/>
        </w:rPr>
        <w:t>Rush</w:t>
      </w:r>
      <w:r>
        <w:rPr>
          <w:lang w:val="en-GB"/>
        </w:rPr>
        <w:t xml:space="preserve"> at [42]-[43]</w:t>
      </w:r>
      <w:bookmarkEnd w:id="32"/>
      <w:r w:rsidR="00E460FC">
        <w:rPr>
          <w:lang w:val="en-GB"/>
        </w:rPr>
        <w:t>.</w:t>
      </w:r>
    </w:p>
    <w:p w14:paraId="0A62273E" w14:textId="697BD4E6" w:rsidR="00301E46" w:rsidRDefault="00301E46" w:rsidP="00301E46">
      <w:pPr>
        <w:pStyle w:val="ListNo1"/>
        <w:rPr>
          <w:lang w:val="en-GB"/>
        </w:rPr>
      </w:pPr>
      <w:bookmarkStart w:id="33" w:name="_Ref163563024"/>
      <w:r>
        <w:rPr>
          <w:lang w:val="en-GB"/>
        </w:rPr>
        <w:t>The need for caution arises because</w:t>
      </w:r>
      <w:r w:rsidR="00F027BD">
        <w:rPr>
          <w:lang w:val="en-GB"/>
        </w:rPr>
        <w:t>,</w:t>
      </w:r>
      <w:r>
        <w:rPr>
          <w:lang w:val="en-GB"/>
        </w:rPr>
        <w:t xml:space="preserve"> in determining a strike out application</w:t>
      </w:r>
      <w:r w:rsidR="00F027BD">
        <w:rPr>
          <w:lang w:val="en-GB"/>
        </w:rPr>
        <w:t>,</w:t>
      </w:r>
      <w:r>
        <w:rPr>
          <w:lang w:val="en-GB"/>
        </w:rPr>
        <w:t xml:space="preserve"> it is necessary to make factual evaluations that are difficult to make within the context of an interlocutory hearing pitched at the low evaluative threshold of showing 'respectable </w:t>
      </w:r>
      <w:proofErr w:type="spellStart"/>
      <w:r>
        <w:rPr>
          <w:lang w:val="en-GB"/>
        </w:rPr>
        <w:t>arguability</w:t>
      </w:r>
      <w:proofErr w:type="spellEnd"/>
      <w:r>
        <w:rPr>
          <w:lang w:val="en-GB"/>
        </w:rPr>
        <w:t>'</w:t>
      </w:r>
      <w:r w:rsidR="002E5330">
        <w:rPr>
          <w:lang w:val="en-GB"/>
        </w:rPr>
        <w:t xml:space="preserve">:  </w:t>
      </w:r>
      <w:r w:rsidRPr="00856291">
        <w:rPr>
          <w:i/>
          <w:iCs/>
          <w:lang w:val="en-GB"/>
        </w:rPr>
        <w:t>Rush</w:t>
      </w:r>
      <w:r>
        <w:rPr>
          <w:lang w:val="en-GB"/>
        </w:rPr>
        <w:t xml:space="preserve"> at [48]</w:t>
      </w:r>
      <w:r w:rsidR="000A36AE">
        <w:rPr>
          <w:lang w:val="en-GB"/>
        </w:rPr>
        <w:t xml:space="preserve">, citing </w:t>
      </w:r>
      <w:r w:rsidRPr="00936266">
        <w:rPr>
          <w:b/>
          <w:bCs/>
          <w:i/>
          <w:iCs/>
          <w:lang w:val="en-GB"/>
        </w:rPr>
        <w:t>Gallagher</w:t>
      </w:r>
      <w:r w:rsidRPr="00FB237E">
        <w:rPr>
          <w:i/>
          <w:iCs/>
          <w:lang w:val="en-GB"/>
        </w:rPr>
        <w:t xml:space="preserve"> v Destiny Publications Pty Ltd </w:t>
      </w:r>
      <w:r w:rsidR="00C74FBF" w:rsidRPr="00FB237E">
        <w:rPr>
          <w:i/>
          <w:iCs/>
          <w:lang w:val="en-GB"/>
        </w:rPr>
        <w:t>[</w:t>
      </w:r>
      <w:r w:rsidRPr="00FB237E">
        <w:rPr>
          <w:i/>
          <w:iCs/>
          <w:lang w:val="en-GB"/>
        </w:rPr>
        <w:t>No</w:t>
      </w:r>
      <w:r w:rsidR="00C74FBF" w:rsidRPr="00FB237E">
        <w:rPr>
          <w:i/>
          <w:iCs/>
          <w:lang w:val="en-GB"/>
        </w:rPr>
        <w:t> </w:t>
      </w:r>
      <w:r w:rsidRPr="00FB237E">
        <w:rPr>
          <w:i/>
          <w:iCs/>
          <w:lang w:val="en-GB"/>
        </w:rPr>
        <w:t>2</w:t>
      </w:r>
      <w:r w:rsidR="00C74FBF" w:rsidRPr="00FB237E">
        <w:rPr>
          <w:i/>
          <w:iCs/>
          <w:lang w:val="en-GB"/>
        </w:rPr>
        <w:t>]</w:t>
      </w:r>
      <w:r w:rsidRPr="00FB237E">
        <w:rPr>
          <w:lang w:val="en-GB"/>
        </w:rPr>
        <w:t xml:space="preserve"> [2015] WASC 475</w:t>
      </w:r>
      <w:r>
        <w:rPr>
          <w:lang w:val="en-GB"/>
        </w:rPr>
        <w:t xml:space="preserve"> at</w:t>
      </w:r>
      <w:r w:rsidR="007B228B">
        <w:rPr>
          <w:lang w:val="en-GB"/>
        </w:rPr>
        <w:t> </w:t>
      </w:r>
      <w:r>
        <w:rPr>
          <w:lang w:val="en-GB"/>
        </w:rPr>
        <w:t>[33] (Kenneth Martin J).</w:t>
      </w:r>
      <w:bookmarkEnd w:id="33"/>
    </w:p>
    <w:p w14:paraId="728825B3" w14:textId="0ADD0E98" w:rsidR="00301E46" w:rsidRDefault="00301E46" w:rsidP="00301E46">
      <w:pPr>
        <w:pStyle w:val="ListNo1"/>
        <w:rPr>
          <w:lang w:val="en-GB"/>
        </w:rPr>
      </w:pPr>
      <w:r>
        <w:rPr>
          <w:lang w:val="en-GB"/>
        </w:rPr>
        <w:t>The need for caution also arises (</w:t>
      </w:r>
      <w:r w:rsidRPr="00856291">
        <w:rPr>
          <w:i/>
          <w:iCs/>
          <w:lang w:val="en-GB"/>
        </w:rPr>
        <w:t>Rush</w:t>
      </w:r>
      <w:r>
        <w:rPr>
          <w:lang w:val="en-GB"/>
        </w:rPr>
        <w:t xml:space="preserve"> at [49]-[50]) because, as Hodgson</w:t>
      </w:r>
      <w:r w:rsidR="00F557CC">
        <w:rPr>
          <w:lang w:val="en-GB"/>
        </w:rPr>
        <w:t> </w:t>
      </w:r>
      <w:r>
        <w:rPr>
          <w:lang w:val="en-GB"/>
        </w:rPr>
        <w:t xml:space="preserve">JA said in </w:t>
      </w:r>
      <w:r w:rsidRPr="00FB237E">
        <w:rPr>
          <w:i/>
          <w:iCs/>
          <w:lang w:val="en-GB"/>
        </w:rPr>
        <w:t>Hayson v John Fairfax Publications Pty Ltd</w:t>
      </w:r>
      <w:r w:rsidRPr="00FB237E">
        <w:rPr>
          <w:lang w:val="en-GB"/>
        </w:rPr>
        <w:t xml:space="preserve"> [2007] NSWCA 376</w:t>
      </w:r>
      <w:r>
        <w:rPr>
          <w:lang w:val="en-GB"/>
        </w:rPr>
        <w:t xml:space="preserve"> at</w:t>
      </w:r>
      <w:r w:rsidR="00F557CC">
        <w:rPr>
          <w:lang w:val="en-GB"/>
        </w:rPr>
        <w:t> </w:t>
      </w:r>
      <w:r>
        <w:rPr>
          <w:lang w:val="en-GB"/>
        </w:rPr>
        <w:t>[20]</w:t>
      </w:r>
      <w:r w:rsidR="006C27CC">
        <w:rPr>
          <w:lang w:val="en-GB"/>
        </w:rPr>
        <w:t xml:space="preserve"> (Santow and Tobias JJA agreeing)</w:t>
      </w:r>
      <w:r>
        <w:rPr>
          <w:lang w:val="en-GB"/>
        </w:rPr>
        <w:t>:</w:t>
      </w:r>
    </w:p>
    <w:p w14:paraId="6C1B3C5C" w14:textId="7F494A55" w:rsidR="00301E46" w:rsidRPr="00856291" w:rsidRDefault="00301E46" w:rsidP="007B228B">
      <w:pPr>
        <w:pStyle w:val="Quote2"/>
        <w:spacing w:after="240"/>
        <w:ind w:left="1134"/>
        <w:rPr>
          <w:lang w:val="en-GB"/>
        </w:rPr>
      </w:pPr>
      <w:r w:rsidRPr="00856291">
        <w:rPr>
          <w:lang w:val="en-GB"/>
        </w:rPr>
        <w:t>For my part I would accept that there could be circumstances where particulars fall so far short of being capable of supporting the truth of imputations that it could be justified to strike out imputations</w:t>
      </w:r>
      <w:r w:rsidR="00E460FC">
        <w:rPr>
          <w:lang w:val="en-GB"/>
        </w:rPr>
        <w:t xml:space="preserve">.  </w:t>
      </w:r>
      <w:r w:rsidRPr="00856291">
        <w:rPr>
          <w:lang w:val="en-GB"/>
        </w:rPr>
        <w:t>However, the particulars do not themselves indicate the outer limits of what may be proved</w:t>
      </w:r>
      <w:r w:rsidR="00E460FC">
        <w:rPr>
          <w:lang w:val="en-GB"/>
        </w:rPr>
        <w:t xml:space="preserve">.  </w:t>
      </w:r>
      <w:r w:rsidRPr="00856291">
        <w:rPr>
          <w:lang w:val="en-GB"/>
        </w:rPr>
        <w:t>They indicate, in effect, topics on which evidence may be led</w:t>
      </w:r>
      <w:r w:rsidR="00E460FC">
        <w:rPr>
          <w:lang w:val="en-GB"/>
        </w:rPr>
        <w:t xml:space="preserve">.  </w:t>
      </w:r>
      <w:r w:rsidRPr="00856291">
        <w:rPr>
          <w:lang w:val="en-GB"/>
        </w:rPr>
        <w:t>But the full effect of evidence led within the particulars may be greater than what the bare particulars themselves indicate.</w:t>
      </w:r>
    </w:p>
    <w:p w14:paraId="6BE78AD5" w14:textId="06010D43" w:rsidR="00301E46" w:rsidRPr="009E088A" w:rsidRDefault="00301E46" w:rsidP="00301E46">
      <w:pPr>
        <w:pStyle w:val="ListNo1"/>
        <w:rPr>
          <w:lang w:val="en-GB"/>
        </w:rPr>
      </w:pPr>
      <w:bookmarkStart w:id="34" w:name="_Ref163653953"/>
      <w:r>
        <w:rPr>
          <w:lang w:val="en-GB"/>
        </w:rPr>
        <w:t>Also, it is necessary to assess the cumulative effect of the particulars</w:t>
      </w:r>
      <w:r w:rsidR="00E460FC">
        <w:rPr>
          <w:lang w:val="en-GB"/>
        </w:rPr>
        <w:t xml:space="preserve">.  </w:t>
      </w:r>
      <w:r>
        <w:rPr>
          <w:lang w:val="en-GB"/>
        </w:rPr>
        <w:t xml:space="preserve">It would be a mistake to consider each, one by one, and find that they do not disclose a reasonable defence, when in truth that needs to be assessed </w:t>
      </w:r>
      <w:proofErr w:type="gramStart"/>
      <w:r>
        <w:rPr>
          <w:lang w:val="en-GB"/>
        </w:rPr>
        <w:t>on the basis of</w:t>
      </w:r>
      <w:proofErr w:type="gramEnd"/>
      <w:r>
        <w:rPr>
          <w:lang w:val="en-GB"/>
        </w:rPr>
        <w:t xml:space="preserve"> the defence as a whole</w:t>
      </w:r>
      <w:r w:rsidR="002E5330">
        <w:rPr>
          <w:lang w:val="en-GB"/>
        </w:rPr>
        <w:t xml:space="preserve">:  </w:t>
      </w:r>
      <w:r w:rsidRPr="00551438">
        <w:rPr>
          <w:i/>
          <w:iCs/>
          <w:lang w:val="en-GB"/>
        </w:rPr>
        <w:t>Rush</w:t>
      </w:r>
      <w:r>
        <w:rPr>
          <w:lang w:val="en-GB"/>
        </w:rPr>
        <w:t xml:space="preserve"> at [51]</w:t>
      </w:r>
      <w:r w:rsidR="00936266">
        <w:rPr>
          <w:lang w:val="en-GB"/>
        </w:rPr>
        <w:t xml:space="preserve">, citing </w:t>
      </w:r>
      <w:r w:rsidR="00936266" w:rsidRPr="00936266">
        <w:rPr>
          <w:i/>
          <w:iCs/>
          <w:lang w:val="en-GB"/>
        </w:rPr>
        <w:t>Gallagher</w:t>
      </w:r>
      <w:r w:rsidR="00936266" w:rsidRPr="00FB237E">
        <w:rPr>
          <w:i/>
          <w:iCs/>
          <w:lang w:val="en-GB"/>
        </w:rPr>
        <w:t xml:space="preserve"> </w:t>
      </w:r>
      <w:r w:rsidR="00936266">
        <w:rPr>
          <w:lang w:val="en-GB"/>
        </w:rPr>
        <w:t>at [</w:t>
      </w:r>
      <w:r w:rsidR="00DC1F30">
        <w:rPr>
          <w:lang w:val="en-GB"/>
        </w:rPr>
        <w:t>54</w:t>
      </w:r>
      <w:r w:rsidR="00936266">
        <w:rPr>
          <w:lang w:val="en-GB"/>
        </w:rPr>
        <w:t>]</w:t>
      </w:r>
      <w:r w:rsidR="00F557CC">
        <w:rPr>
          <w:lang w:val="en-GB"/>
        </w:rPr>
        <w:t>;</w:t>
      </w:r>
      <w:r>
        <w:rPr>
          <w:lang w:val="en-GB"/>
        </w:rPr>
        <w:t xml:space="preserve"> </w:t>
      </w:r>
      <w:r w:rsidRPr="009E088A">
        <w:rPr>
          <w:i/>
          <w:iCs/>
          <w:lang w:val="en-GB"/>
        </w:rPr>
        <w:t xml:space="preserve">Chau Chak Wing </w:t>
      </w:r>
      <w:r w:rsidRPr="009E088A">
        <w:rPr>
          <w:lang w:val="en-GB"/>
        </w:rPr>
        <w:t>at [135]</w:t>
      </w:r>
      <w:r>
        <w:rPr>
          <w:lang w:val="en-GB"/>
        </w:rPr>
        <w:t>.</w:t>
      </w:r>
      <w:bookmarkEnd w:id="34"/>
    </w:p>
    <w:p w14:paraId="2CC5FF7F" w14:textId="77777777" w:rsidR="00301E46" w:rsidRDefault="00301E46" w:rsidP="00301E46">
      <w:pPr>
        <w:pStyle w:val="ListNo1"/>
        <w:rPr>
          <w:lang w:val="en-GB"/>
        </w:rPr>
      </w:pPr>
      <w:r>
        <w:rPr>
          <w:lang w:val="en-GB"/>
        </w:rPr>
        <w:t xml:space="preserve">In </w:t>
      </w:r>
      <w:r w:rsidRPr="00856291">
        <w:rPr>
          <w:i/>
          <w:iCs/>
          <w:lang w:val="en-GB"/>
        </w:rPr>
        <w:t>Rush</w:t>
      </w:r>
      <w:r>
        <w:rPr>
          <w:lang w:val="en-GB"/>
        </w:rPr>
        <w:t xml:space="preserve"> at [46], </w:t>
      </w:r>
      <w:proofErr w:type="spellStart"/>
      <w:r>
        <w:rPr>
          <w:lang w:val="en-GB"/>
        </w:rPr>
        <w:t>Wigney</w:t>
      </w:r>
      <w:proofErr w:type="spellEnd"/>
      <w:r>
        <w:rPr>
          <w:lang w:val="en-GB"/>
        </w:rPr>
        <w:t xml:space="preserve"> J summarised the criteria by which particulars of justification are to be judged as follows:</w:t>
      </w:r>
    </w:p>
    <w:p w14:paraId="42E77730" w14:textId="6A3764C3" w:rsidR="00301E46" w:rsidRDefault="00301E46" w:rsidP="00CD6E5F">
      <w:pPr>
        <w:pStyle w:val="Quote2"/>
        <w:spacing w:after="240"/>
        <w:ind w:left="1134"/>
        <w:rPr>
          <w:lang w:val="en-GB"/>
        </w:rPr>
      </w:pPr>
      <w:proofErr w:type="gramStart"/>
      <w:r w:rsidRPr="007316A7">
        <w:rPr>
          <w:lang w:val="en-GB"/>
        </w:rPr>
        <w:t>Particulars provided</w:t>
      </w:r>
      <w:proofErr w:type="gramEnd"/>
      <w:r w:rsidRPr="007316A7">
        <w:rPr>
          <w:lang w:val="en-GB"/>
        </w:rPr>
        <w:t xml:space="preserve"> in support of a defence of justification must generally satisfy two requirements</w:t>
      </w:r>
      <w:r w:rsidR="00E460FC">
        <w:rPr>
          <w:lang w:val="en-GB"/>
        </w:rPr>
        <w:t xml:space="preserve">.  </w:t>
      </w:r>
      <w:r w:rsidRPr="007316A7">
        <w:rPr>
          <w:lang w:val="en-GB"/>
        </w:rPr>
        <w:t>First, they must be shown to be capable of proving the truth of the defamatory meaning sought to be justified</w:t>
      </w:r>
      <w:r w:rsidR="00E460FC">
        <w:rPr>
          <w:lang w:val="en-GB"/>
        </w:rPr>
        <w:t xml:space="preserve">.  </w:t>
      </w:r>
      <w:r w:rsidRPr="007316A7">
        <w:rPr>
          <w:lang w:val="en-GB"/>
        </w:rPr>
        <w:t>Second, they must be sufficiently specific and precise to enable a claimant to know the case they are required to meet.</w:t>
      </w:r>
    </w:p>
    <w:p w14:paraId="44D4544A" w14:textId="3E4C3530" w:rsidR="00301E46" w:rsidRDefault="00301E46" w:rsidP="00301E46">
      <w:pPr>
        <w:pStyle w:val="ListNo1"/>
        <w:rPr>
          <w:lang w:val="en-GB"/>
        </w:rPr>
      </w:pPr>
      <w:r>
        <w:rPr>
          <w:lang w:val="en-GB"/>
        </w:rPr>
        <w:t>As to the second of these requirements, the need for precision in a defamation case where</w:t>
      </w:r>
      <w:r w:rsidR="008D308A">
        <w:rPr>
          <w:lang w:val="en-GB"/>
        </w:rPr>
        <w:t xml:space="preserve"> the defence of justification is raised </w:t>
      </w:r>
      <w:r>
        <w:rPr>
          <w:lang w:val="en-GB"/>
        </w:rPr>
        <w:t>is perhaps even more acute than usual</w:t>
      </w:r>
      <w:r w:rsidR="00E460FC">
        <w:rPr>
          <w:lang w:val="en-GB"/>
        </w:rPr>
        <w:t xml:space="preserve">.  </w:t>
      </w:r>
      <w:r w:rsidR="007729CA">
        <w:rPr>
          <w:lang w:val="en-GB"/>
        </w:rPr>
        <w:t xml:space="preserve">The </w:t>
      </w:r>
      <w:r>
        <w:rPr>
          <w:lang w:val="en-GB"/>
        </w:rPr>
        <w:t xml:space="preserve">plaintiff's case will typically go </w:t>
      </w:r>
      <w:proofErr w:type="gramStart"/>
      <w:r>
        <w:rPr>
          <w:lang w:val="en-GB"/>
        </w:rPr>
        <w:t>first</w:t>
      </w:r>
      <w:proofErr w:type="gramEnd"/>
      <w:r>
        <w:rPr>
          <w:lang w:val="en-GB"/>
        </w:rPr>
        <w:t xml:space="preserve"> and </w:t>
      </w:r>
      <w:r w:rsidR="00B65F59">
        <w:rPr>
          <w:lang w:val="en-GB"/>
        </w:rPr>
        <w:t>they</w:t>
      </w:r>
      <w:r>
        <w:rPr>
          <w:lang w:val="en-GB"/>
        </w:rPr>
        <w:t xml:space="preserve"> need to be fully on notice at that time of the case to be met</w:t>
      </w:r>
      <w:r w:rsidR="002E5330">
        <w:rPr>
          <w:lang w:val="en-GB"/>
        </w:rPr>
        <w:t xml:space="preserve">:  </w:t>
      </w:r>
      <w:r>
        <w:rPr>
          <w:lang w:val="en-GB"/>
        </w:rPr>
        <w:t xml:space="preserve">see </w:t>
      </w:r>
      <w:r w:rsidRPr="009E487A">
        <w:rPr>
          <w:i/>
          <w:iCs/>
          <w:lang w:val="en-GB"/>
        </w:rPr>
        <w:t>Rush</w:t>
      </w:r>
      <w:r>
        <w:rPr>
          <w:lang w:val="en-GB"/>
        </w:rPr>
        <w:t xml:space="preserve"> at [53]</w:t>
      </w:r>
      <w:r w:rsidR="00E460FC">
        <w:rPr>
          <w:lang w:val="en-GB"/>
        </w:rPr>
        <w:t>.</w:t>
      </w:r>
    </w:p>
    <w:p w14:paraId="20B26B48" w14:textId="46D36B78" w:rsidR="00301E46" w:rsidRDefault="002E5330" w:rsidP="00301E46">
      <w:pPr>
        <w:pStyle w:val="ParaNumbering"/>
        <w:tabs>
          <w:tab w:val="num" w:pos="720"/>
        </w:tabs>
        <w:rPr>
          <w:lang w:val="en-GB"/>
        </w:rPr>
      </w:pPr>
      <w:r>
        <w:rPr>
          <w:lang w:val="en-GB"/>
        </w:rPr>
        <w:lastRenderedPageBreak/>
        <w:t>Professor </w:t>
      </w:r>
      <w:r w:rsidR="00301E46" w:rsidRPr="009E487A">
        <w:rPr>
          <w:lang w:val="en-GB"/>
        </w:rPr>
        <w:t>Winn</w:t>
      </w:r>
      <w:r w:rsidR="00301E46">
        <w:rPr>
          <w:lang w:val="en-GB"/>
        </w:rPr>
        <w:t xml:space="preserve"> relied on McCallum J's statement in </w:t>
      </w:r>
      <w:r w:rsidR="00301E46" w:rsidRPr="00FB237E">
        <w:rPr>
          <w:b/>
          <w:bCs/>
          <w:i/>
          <w:iCs/>
          <w:lang w:val="en-GB"/>
        </w:rPr>
        <w:t>Brooks</w:t>
      </w:r>
      <w:r w:rsidR="00301E46" w:rsidRPr="00FB237E">
        <w:rPr>
          <w:i/>
          <w:iCs/>
          <w:lang w:val="en-GB"/>
        </w:rPr>
        <w:t xml:space="preserve"> v Fairfax Media Publications Pty Ltd (No 2)</w:t>
      </w:r>
      <w:r w:rsidR="00301E46" w:rsidRPr="00FB237E">
        <w:rPr>
          <w:lang w:val="en-GB"/>
        </w:rPr>
        <w:t xml:space="preserve"> [2015] NSWSC 1331</w:t>
      </w:r>
      <w:r w:rsidR="00301E46">
        <w:rPr>
          <w:lang w:val="en-GB"/>
        </w:rPr>
        <w:t xml:space="preserve"> at [11] that a defendant in a defamation case must specify the particulars relied upon with the same precision as in an indictment</w:t>
      </w:r>
      <w:r w:rsidR="00E460FC">
        <w:rPr>
          <w:lang w:val="en-GB"/>
        </w:rPr>
        <w:t xml:space="preserve">.  </w:t>
      </w:r>
      <w:proofErr w:type="gramStart"/>
      <w:r w:rsidR="00301E46">
        <w:rPr>
          <w:lang w:val="en-GB"/>
        </w:rPr>
        <w:t>However</w:t>
      </w:r>
      <w:proofErr w:type="gramEnd"/>
      <w:r w:rsidR="00301E46">
        <w:rPr>
          <w:lang w:val="en-GB"/>
        </w:rPr>
        <w:t xml:space="preserve"> that proposition is to be understood in light of what her Honour went on to say at [12]:</w:t>
      </w:r>
    </w:p>
    <w:p w14:paraId="77CA7F2C" w14:textId="0B0FB4EC" w:rsidR="00301E46" w:rsidRDefault="00301E46" w:rsidP="00367AE0">
      <w:pPr>
        <w:pStyle w:val="Quote1"/>
        <w:spacing w:after="360"/>
        <w:rPr>
          <w:lang w:val="en-GB"/>
        </w:rPr>
      </w:pPr>
      <w:r w:rsidRPr="009E487A">
        <w:rPr>
          <w:lang w:val="en-GB"/>
        </w:rPr>
        <w:t>That expression (</w:t>
      </w:r>
      <w:r w:rsidR="00367AE0">
        <w:rPr>
          <w:lang w:val="en-GB"/>
        </w:rPr>
        <w:t>'</w:t>
      </w:r>
      <w:r w:rsidRPr="009E487A">
        <w:rPr>
          <w:lang w:val="en-GB"/>
        </w:rPr>
        <w:t>with the same precision as in an indictment</w:t>
      </w:r>
      <w:r w:rsidR="00367AE0">
        <w:rPr>
          <w:lang w:val="en-GB"/>
        </w:rPr>
        <w:t>'</w:t>
      </w:r>
      <w:r w:rsidRPr="009E487A">
        <w:rPr>
          <w:lang w:val="en-GB"/>
        </w:rPr>
        <w:t>) is one which is capable of being misunderstood</w:t>
      </w:r>
      <w:r w:rsidR="00E460FC">
        <w:rPr>
          <w:lang w:val="en-GB"/>
        </w:rPr>
        <w:t xml:space="preserve">.  </w:t>
      </w:r>
      <w:r w:rsidRPr="009E487A">
        <w:rPr>
          <w:lang w:val="en-GB"/>
        </w:rPr>
        <w:t>It is a requirement of specificity rather than one going to the amount of information to be provided</w:t>
      </w:r>
      <w:r w:rsidR="00E460FC">
        <w:rPr>
          <w:lang w:val="en-GB"/>
        </w:rPr>
        <w:t xml:space="preserve">.  </w:t>
      </w:r>
      <w:r w:rsidRPr="009E487A">
        <w:rPr>
          <w:lang w:val="en-GB"/>
        </w:rPr>
        <w:t>As I observed during argument, the amount of detail in an indictment is often spare but the specificity provided should be such as to put an accused person on notice of the Crown case as to each element of the offence with which he or she is charged.</w:t>
      </w:r>
    </w:p>
    <w:p w14:paraId="2E7DA8E8" w14:textId="603F4472" w:rsidR="00301E46" w:rsidRDefault="00301E46" w:rsidP="00301E46">
      <w:pPr>
        <w:pStyle w:val="ParaNumbering"/>
        <w:tabs>
          <w:tab w:val="num" w:pos="720"/>
        </w:tabs>
        <w:rPr>
          <w:lang w:val="en-GB"/>
        </w:rPr>
      </w:pPr>
      <w:r>
        <w:rPr>
          <w:lang w:val="en-GB"/>
        </w:rPr>
        <w:t xml:space="preserve">That is consistent with Dixon J's statement in </w:t>
      </w:r>
      <w:r w:rsidRPr="00FB237E">
        <w:rPr>
          <w:i/>
          <w:iCs/>
          <w:lang w:val="en-GB"/>
        </w:rPr>
        <w:t>Johnson v Miller</w:t>
      </w:r>
      <w:r w:rsidRPr="00FB237E">
        <w:rPr>
          <w:lang w:val="en-GB"/>
        </w:rPr>
        <w:t xml:space="preserve"> (1937) 59 CLR 467</w:t>
      </w:r>
      <w:r w:rsidRPr="00376CA4">
        <w:rPr>
          <w:lang w:val="en-GB"/>
        </w:rPr>
        <w:t xml:space="preserve"> at</w:t>
      </w:r>
      <w:r w:rsidR="001D74B5">
        <w:rPr>
          <w:lang w:val="en-GB"/>
        </w:rPr>
        <w:t> </w:t>
      </w:r>
      <w:r w:rsidRPr="00376CA4">
        <w:rPr>
          <w:lang w:val="en-GB"/>
        </w:rPr>
        <w:t xml:space="preserve">489 </w:t>
      </w:r>
      <w:r>
        <w:rPr>
          <w:lang w:val="en-GB"/>
        </w:rPr>
        <w:t>that '</w:t>
      </w:r>
      <w:r w:rsidRPr="00376CA4">
        <w:rPr>
          <w:lang w:val="en-GB"/>
        </w:rPr>
        <w:t>a defendant is entitled to be apprised not only of the legal nature of the offence with which he is charged but also of the particular act, matter or thing alleged as the foundation of the charge</w:t>
      </w:r>
      <w:r>
        <w:rPr>
          <w:lang w:val="en-GB"/>
        </w:rPr>
        <w:t>'</w:t>
      </w:r>
      <w:r w:rsidRPr="00376CA4">
        <w:rPr>
          <w:lang w:val="en-GB"/>
        </w:rPr>
        <w:t>.</w:t>
      </w:r>
    </w:p>
    <w:p w14:paraId="25C591BE" w14:textId="1A098DB5" w:rsidR="00301E46" w:rsidRDefault="00301E46" w:rsidP="00301E46">
      <w:pPr>
        <w:pStyle w:val="ParaNumbering"/>
        <w:tabs>
          <w:tab w:val="num" w:pos="720"/>
        </w:tabs>
        <w:rPr>
          <w:lang w:val="en-GB"/>
        </w:rPr>
      </w:pPr>
      <w:r>
        <w:rPr>
          <w:lang w:val="en-GB"/>
        </w:rPr>
        <w:t>To the above principles should be added the observation of Le</w:t>
      </w:r>
      <w:r w:rsidR="001D74B5">
        <w:rPr>
          <w:lang w:val="en-GB"/>
        </w:rPr>
        <w:t> </w:t>
      </w:r>
      <w:proofErr w:type="spellStart"/>
      <w:r>
        <w:rPr>
          <w:lang w:val="en-GB"/>
        </w:rPr>
        <w:t>Miere</w:t>
      </w:r>
      <w:proofErr w:type="spellEnd"/>
      <w:r w:rsidR="001D74B5">
        <w:rPr>
          <w:lang w:val="en-GB"/>
        </w:rPr>
        <w:t> </w:t>
      </w:r>
      <w:r>
        <w:rPr>
          <w:lang w:val="en-GB"/>
        </w:rPr>
        <w:t xml:space="preserve">J in </w:t>
      </w:r>
      <w:r w:rsidRPr="00FB237E">
        <w:rPr>
          <w:i/>
          <w:iCs/>
          <w:lang w:val="en-GB"/>
        </w:rPr>
        <w:t xml:space="preserve">Khan v Fairfax Media Publications Pty </w:t>
      </w:r>
      <w:r w:rsidR="005533CE" w:rsidRPr="00FB237E">
        <w:rPr>
          <w:i/>
          <w:iCs/>
          <w:lang w:val="en-GB"/>
        </w:rPr>
        <w:t>L</w:t>
      </w:r>
      <w:r w:rsidR="005533CE">
        <w:rPr>
          <w:i/>
          <w:iCs/>
          <w:lang w:val="en-GB"/>
        </w:rPr>
        <w:t>t</w:t>
      </w:r>
      <w:r w:rsidR="005533CE" w:rsidRPr="00FB237E">
        <w:rPr>
          <w:i/>
          <w:iCs/>
          <w:lang w:val="en-GB"/>
        </w:rPr>
        <w:t xml:space="preserve">d </w:t>
      </w:r>
      <w:r w:rsidR="002449E2">
        <w:rPr>
          <w:i/>
          <w:iCs/>
          <w:lang w:val="en-GB"/>
        </w:rPr>
        <w:t>[</w:t>
      </w:r>
      <w:r w:rsidRPr="00FB237E">
        <w:rPr>
          <w:i/>
          <w:iCs/>
          <w:lang w:val="en-GB"/>
        </w:rPr>
        <w:t>No 3</w:t>
      </w:r>
      <w:r w:rsidR="002449E2">
        <w:rPr>
          <w:i/>
          <w:iCs/>
          <w:lang w:val="en-GB"/>
        </w:rPr>
        <w:t>]</w:t>
      </w:r>
      <w:r w:rsidR="00414640" w:rsidRPr="00FB237E">
        <w:rPr>
          <w:i/>
          <w:iCs/>
          <w:lang w:val="en-GB"/>
        </w:rPr>
        <w:t xml:space="preserve"> </w:t>
      </w:r>
      <w:r w:rsidRPr="00FB237E">
        <w:rPr>
          <w:lang w:val="en-GB"/>
        </w:rPr>
        <w:t>[2015] WASC 400</w:t>
      </w:r>
      <w:r>
        <w:rPr>
          <w:lang w:val="en-GB"/>
        </w:rPr>
        <w:t xml:space="preserve"> at</w:t>
      </w:r>
      <w:r w:rsidR="001D74B5">
        <w:rPr>
          <w:lang w:val="en-GB"/>
        </w:rPr>
        <w:t> </w:t>
      </w:r>
      <w:r>
        <w:rPr>
          <w:lang w:val="en-GB"/>
        </w:rPr>
        <w:t>[20] that any plea</w:t>
      </w:r>
      <w:r w:rsidR="00E4429F">
        <w:rPr>
          <w:lang w:val="en-GB"/>
        </w:rPr>
        <w:t>ding of a defence</w:t>
      </w:r>
      <w:r>
        <w:rPr>
          <w:lang w:val="en-GB"/>
        </w:rPr>
        <w:t xml:space="preserve"> of justification:</w:t>
      </w:r>
    </w:p>
    <w:p w14:paraId="2774E81D" w14:textId="2BB8953A" w:rsidR="00301E46" w:rsidRDefault="00301E46" w:rsidP="001D74B5">
      <w:pPr>
        <w:pStyle w:val="Quote1"/>
        <w:spacing w:after="360"/>
        <w:rPr>
          <w:lang w:val="en-GB"/>
        </w:rPr>
      </w:pPr>
      <w:r w:rsidRPr="003C75AE">
        <w:rPr>
          <w:lang w:val="en-GB"/>
        </w:rPr>
        <w:t>must be directed at one or more defamatory meanings, which are clearly identified, and must be based on or supported by particulars which are not only clear but also both relevant to, and sufficient to support, each meaning</w:t>
      </w:r>
      <w:r w:rsidR="00E460FC">
        <w:rPr>
          <w:lang w:val="en-GB"/>
        </w:rPr>
        <w:t xml:space="preserve">.  </w:t>
      </w:r>
      <w:r w:rsidRPr="003C75AE">
        <w:rPr>
          <w:lang w:val="en-GB"/>
        </w:rPr>
        <w:t>It is not sufficient that the particulars merely identify some 'topic' about which some evidence might emerge which would justify the imputation</w:t>
      </w:r>
      <w:r w:rsidR="00E460FC">
        <w:rPr>
          <w:lang w:val="en-GB"/>
        </w:rPr>
        <w:t xml:space="preserve">.  </w:t>
      </w:r>
      <w:r w:rsidRPr="003C75AE">
        <w:rPr>
          <w:lang w:val="en-GB"/>
        </w:rPr>
        <w:t>That is akin to Mr Micawber's faith that 'something will turn up'</w:t>
      </w:r>
      <w:r w:rsidR="00E460FC">
        <w:rPr>
          <w:lang w:val="en-GB"/>
        </w:rPr>
        <w:t xml:space="preserve">.  </w:t>
      </w:r>
      <w:r w:rsidRPr="003C75AE">
        <w:rPr>
          <w:lang w:val="en-GB"/>
        </w:rPr>
        <w:t>It is not a sufficient basis for a plea of justification.</w:t>
      </w:r>
    </w:p>
    <w:p w14:paraId="4AF95BF4" w14:textId="2682EF4E" w:rsidR="00301E46" w:rsidRDefault="00301E46" w:rsidP="00301E46">
      <w:pPr>
        <w:pStyle w:val="ParaNumbering"/>
        <w:tabs>
          <w:tab w:val="num" w:pos="720"/>
        </w:tabs>
        <w:rPr>
          <w:lang w:val="en-GB"/>
        </w:rPr>
      </w:pPr>
      <w:r>
        <w:rPr>
          <w:lang w:val="en-GB"/>
        </w:rPr>
        <w:t xml:space="preserve">As Eady J said in </w:t>
      </w:r>
      <w:r w:rsidRPr="00FB237E">
        <w:rPr>
          <w:i/>
          <w:iCs/>
          <w:lang w:val="en-GB"/>
        </w:rPr>
        <w:t>Hunt v Times Newspapers Ltd</w:t>
      </w:r>
      <w:r w:rsidRPr="00FB237E">
        <w:rPr>
          <w:lang w:val="en-GB"/>
        </w:rPr>
        <w:t xml:space="preserve"> [2012] EWHC 110 (QB)</w:t>
      </w:r>
      <w:r w:rsidRPr="003C75AE">
        <w:rPr>
          <w:lang w:val="en-GB"/>
        </w:rPr>
        <w:t xml:space="preserve"> </w:t>
      </w:r>
      <w:r>
        <w:rPr>
          <w:lang w:val="en-GB"/>
        </w:rPr>
        <w:t>at</w:t>
      </w:r>
      <w:r w:rsidR="00CA4453">
        <w:rPr>
          <w:lang w:val="en-GB"/>
        </w:rPr>
        <w:t> </w:t>
      </w:r>
      <w:r>
        <w:rPr>
          <w:lang w:val="en-GB"/>
        </w:rPr>
        <w:t>[24]</w:t>
      </w:r>
      <w:r w:rsidRPr="003C75AE">
        <w:rPr>
          <w:lang w:val="en-GB"/>
        </w:rPr>
        <w:t>:</w:t>
      </w:r>
    </w:p>
    <w:p w14:paraId="5B497B0D" w14:textId="28B51F1E" w:rsidR="00301E46" w:rsidRDefault="00301E46" w:rsidP="00BE740F">
      <w:pPr>
        <w:pStyle w:val="Quote1"/>
        <w:spacing w:after="360"/>
        <w:rPr>
          <w:lang w:val="en-GB"/>
        </w:rPr>
      </w:pPr>
      <w:r w:rsidRPr="003C75AE">
        <w:rPr>
          <w:lang w:val="en-GB"/>
        </w:rPr>
        <w:t>Moreover, each sub-paragraph of particulars of justification should be relevant to and supportive of one or more of the defamatory meanings sought to be justified</w:t>
      </w:r>
      <w:r w:rsidR="00E460FC">
        <w:rPr>
          <w:lang w:val="en-GB"/>
        </w:rPr>
        <w:t xml:space="preserve">.  </w:t>
      </w:r>
      <w:r w:rsidRPr="003C75AE">
        <w:rPr>
          <w:lang w:val="en-GB"/>
        </w:rPr>
        <w:t>Of course, it is right that some material may appear as necessary background, but it must genuinely form part of the narrative for the purpose of achieving that ultimate objective</w:t>
      </w:r>
      <w:r w:rsidR="00E460FC">
        <w:rPr>
          <w:lang w:val="en-GB"/>
        </w:rPr>
        <w:t xml:space="preserve">.  </w:t>
      </w:r>
      <w:r w:rsidRPr="003C75AE">
        <w:rPr>
          <w:lang w:val="en-GB"/>
        </w:rPr>
        <w:t>It is obviously not appropriate to include allegations merely with a view to creating a climate of prejudice</w:t>
      </w:r>
      <w:r>
        <w:rPr>
          <w:lang w:val="en-GB"/>
        </w:rPr>
        <w:t>.</w:t>
      </w:r>
    </w:p>
    <w:p w14:paraId="2D0292A4" w14:textId="3A363C10" w:rsidR="00301E46" w:rsidRPr="00895B4C" w:rsidRDefault="00301E46" w:rsidP="00301E46">
      <w:pPr>
        <w:pStyle w:val="ParaNumbering"/>
        <w:tabs>
          <w:tab w:val="num" w:pos="720"/>
        </w:tabs>
        <w:rPr>
          <w:lang w:val="en-GB"/>
        </w:rPr>
      </w:pPr>
      <w:r w:rsidRPr="00895B4C">
        <w:rPr>
          <w:lang w:val="en-GB"/>
        </w:rPr>
        <w:t>It is these principles that I will apply to the assessment of the submission mentioned above</w:t>
      </w:r>
      <w:r w:rsidR="00B80408">
        <w:rPr>
          <w:lang w:val="en-GB"/>
        </w:rPr>
        <w:t>, namely,</w:t>
      </w:r>
      <w:r w:rsidRPr="00895B4C">
        <w:rPr>
          <w:lang w:val="en-GB"/>
        </w:rPr>
        <w:t xml:space="preserve"> that the narrative structure of the Schedule is itself prejudicial because it does not proceed by reference to each imputation</w:t>
      </w:r>
      <w:r w:rsidR="00E460FC">
        <w:rPr>
          <w:lang w:val="en-GB"/>
        </w:rPr>
        <w:t xml:space="preserve">.  </w:t>
      </w:r>
      <w:r w:rsidRPr="00895B4C">
        <w:rPr>
          <w:lang w:val="en-GB"/>
        </w:rPr>
        <w:t xml:space="preserve">For myself, </w:t>
      </w:r>
      <w:r w:rsidR="00B80408">
        <w:rPr>
          <w:lang w:val="en-GB"/>
        </w:rPr>
        <w:t xml:space="preserve">I </w:t>
      </w:r>
      <w:r w:rsidRPr="00895B4C">
        <w:rPr>
          <w:lang w:val="en-GB"/>
        </w:rPr>
        <w:t xml:space="preserve">do not consider that the narrative structure of </w:t>
      </w:r>
      <w:r w:rsidR="00431EB9">
        <w:rPr>
          <w:lang w:val="en-GB"/>
        </w:rPr>
        <w:t xml:space="preserve">the </w:t>
      </w:r>
      <w:r w:rsidRPr="00895B4C">
        <w:rPr>
          <w:lang w:val="en-GB"/>
        </w:rPr>
        <w:t>particulars of justification is</w:t>
      </w:r>
      <w:proofErr w:type="gramStart"/>
      <w:r w:rsidRPr="00895B4C">
        <w:rPr>
          <w:lang w:val="en-GB"/>
        </w:rPr>
        <w:t>, in itself, deficient</w:t>
      </w:r>
      <w:proofErr w:type="gramEnd"/>
      <w:r w:rsidR="002E5330">
        <w:rPr>
          <w:lang w:val="en-GB"/>
        </w:rPr>
        <w:t xml:space="preserve">:  </w:t>
      </w:r>
      <w:r w:rsidR="00A123A1">
        <w:rPr>
          <w:lang w:val="en-GB"/>
        </w:rPr>
        <w:t xml:space="preserve">see </w:t>
      </w:r>
      <w:r w:rsidR="001C3EA9" w:rsidRPr="001C3EA9">
        <w:rPr>
          <w:i/>
          <w:iCs/>
          <w:lang w:val="en-GB"/>
        </w:rPr>
        <w:t>Gair v Greenwood</w:t>
      </w:r>
      <w:r w:rsidR="001C3EA9" w:rsidRPr="001C3EA9">
        <w:rPr>
          <w:lang w:val="en-GB"/>
        </w:rPr>
        <w:t xml:space="preserve"> [2017] NSWSC 1652</w:t>
      </w:r>
      <w:r w:rsidR="00A834A0">
        <w:rPr>
          <w:lang w:val="en-GB"/>
        </w:rPr>
        <w:t xml:space="preserve"> </w:t>
      </w:r>
      <w:r w:rsidR="00A123A1">
        <w:rPr>
          <w:lang w:val="en-GB"/>
        </w:rPr>
        <w:t xml:space="preserve">at </w:t>
      </w:r>
      <w:r w:rsidR="00A834A0">
        <w:rPr>
          <w:lang w:val="en-GB"/>
        </w:rPr>
        <w:t>[6]-[</w:t>
      </w:r>
      <w:r w:rsidR="00A123A1">
        <w:rPr>
          <w:lang w:val="en-GB"/>
        </w:rPr>
        <w:t>7</w:t>
      </w:r>
      <w:r w:rsidR="00A834A0">
        <w:rPr>
          <w:lang w:val="en-GB"/>
        </w:rPr>
        <w:t>]</w:t>
      </w:r>
      <w:r w:rsidR="00E460FC">
        <w:rPr>
          <w:lang w:val="en-GB"/>
        </w:rPr>
        <w:t xml:space="preserve">.  </w:t>
      </w:r>
      <w:r w:rsidRPr="00895B4C">
        <w:rPr>
          <w:lang w:val="en-GB"/>
        </w:rPr>
        <w:t>The true question is</w:t>
      </w:r>
      <w:r w:rsidR="002E5330">
        <w:rPr>
          <w:lang w:val="en-GB"/>
        </w:rPr>
        <w:t xml:space="preserve">:  </w:t>
      </w:r>
      <w:r w:rsidRPr="00895B4C">
        <w:rPr>
          <w:lang w:val="en-GB"/>
        </w:rPr>
        <w:t>is it clear which particulars relate to which imputation?</w:t>
      </w:r>
    </w:p>
    <w:p w14:paraId="56C06D27" w14:textId="6CEA2657" w:rsidR="00301E46" w:rsidRPr="00376CA4" w:rsidRDefault="00301E46" w:rsidP="00301E46">
      <w:pPr>
        <w:pStyle w:val="Heading2"/>
        <w:rPr>
          <w:lang w:val="en-GB"/>
        </w:rPr>
      </w:pPr>
      <w:r>
        <w:rPr>
          <w:lang w:val="en-GB"/>
        </w:rPr>
        <w:lastRenderedPageBreak/>
        <w:t>Is a reasonable defence disclosed?</w:t>
      </w:r>
    </w:p>
    <w:p w14:paraId="2F284743" w14:textId="5516551D" w:rsidR="00301E46" w:rsidRDefault="00301E46" w:rsidP="00301E46">
      <w:pPr>
        <w:pStyle w:val="ParaNumbering"/>
        <w:tabs>
          <w:tab w:val="num" w:pos="720"/>
        </w:tabs>
        <w:rPr>
          <w:lang w:val="en-GB"/>
        </w:rPr>
      </w:pPr>
      <w:r>
        <w:rPr>
          <w:lang w:val="en-GB"/>
        </w:rPr>
        <w:t>As has been said, it is necessary to consider the Schedule as a whole</w:t>
      </w:r>
      <w:r w:rsidR="00E460FC">
        <w:rPr>
          <w:lang w:val="en-GB"/>
        </w:rPr>
        <w:t xml:space="preserve">.  </w:t>
      </w:r>
      <w:r>
        <w:rPr>
          <w:lang w:val="en-GB"/>
        </w:rPr>
        <w:t xml:space="preserve">That is especially germane to </w:t>
      </w:r>
      <w:r w:rsidR="002E5330">
        <w:rPr>
          <w:lang w:val="en-GB"/>
        </w:rPr>
        <w:t>Professor </w:t>
      </w:r>
      <w:r w:rsidRPr="00096E21">
        <w:rPr>
          <w:lang w:val="en-GB"/>
        </w:rPr>
        <w:t>Winn</w:t>
      </w:r>
      <w:r>
        <w:rPr>
          <w:lang w:val="en-GB"/>
        </w:rPr>
        <w:t>'s submissions that it fails to disclose a reasonable defence</w:t>
      </w:r>
      <w:r w:rsidR="00E460FC">
        <w:rPr>
          <w:lang w:val="en-GB"/>
        </w:rPr>
        <w:t xml:space="preserve">.  </w:t>
      </w:r>
      <w:r>
        <w:rPr>
          <w:lang w:val="en-GB"/>
        </w:rPr>
        <w:t>Before addressing his specific complaints one by one, therefore, it is helpful to assess the case the Schedule puts in overview</w:t>
      </w:r>
      <w:r w:rsidR="00E460FC">
        <w:rPr>
          <w:lang w:val="en-GB"/>
        </w:rPr>
        <w:t xml:space="preserve">.  </w:t>
      </w:r>
      <w:r>
        <w:rPr>
          <w:lang w:val="en-GB"/>
        </w:rPr>
        <w:t xml:space="preserve">In doing so, I agree with the tenor of </w:t>
      </w:r>
      <w:r w:rsidR="002E5330">
        <w:rPr>
          <w:lang w:val="en-GB"/>
        </w:rPr>
        <w:t>Professor </w:t>
      </w:r>
      <w:r w:rsidRPr="00096E21">
        <w:rPr>
          <w:lang w:val="en-GB"/>
        </w:rPr>
        <w:t>Winn</w:t>
      </w:r>
      <w:r>
        <w:rPr>
          <w:lang w:val="en-GB"/>
        </w:rPr>
        <w:t>'s submissions that it is necessary to focus on the allegations of specific conduct in which he is alleged to have engaged and, perhaps, the reactions of others to that conduct, rather than inferences or conclusions said to arise from those facts</w:t>
      </w:r>
      <w:r w:rsidR="00E460FC">
        <w:rPr>
          <w:lang w:val="en-GB"/>
        </w:rPr>
        <w:t xml:space="preserve">.  </w:t>
      </w:r>
      <w:r>
        <w:rPr>
          <w:lang w:val="en-GB"/>
        </w:rPr>
        <w:t xml:space="preserve">The imputations, inevitably, concern things </w:t>
      </w:r>
      <w:r w:rsidR="002E5330">
        <w:rPr>
          <w:lang w:val="en-GB"/>
        </w:rPr>
        <w:t>Professor </w:t>
      </w:r>
      <w:r w:rsidRPr="00F800BB">
        <w:rPr>
          <w:lang w:val="en-GB"/>
        </w:rPr>
        <w:t>Winn</w:t>
      </w:r>
      <w:r>
        <w:rPr>
          <w:lang w:val="en-GB"/>
        </w:rPr>
        <w:t xml:space="preserve"> is said to have done and, in one case, concern his character (as 'a bully')</w:t>
      </w:r>
      <w:r w:rsidR="002E5330">
        <w:rPr>
          <w:lang w:val="en-GB"/>
        </w:rPr>
        <w:t>.</w:t>
      </w:r>
    </w:p>
    <w:p w14:paraId="3742A3DE" w14:textId="1486A621" w:rsidR="00301E46" w:rsidRDefault="00301E46" w:rsidP="00301E46">
      <w:pPr>
        <w:pStyle w:val="ParaNumbering"/>
        <w:tabs>
          <w:tab w:val="num" w:pos="720"/>
        </w:tabs>
        <w:rPr>
          <w:lang w:val="en-GB"/>
        </w:rPr>
      </w:pPr>
      <w:bookmarkStart w:id="35" w:name="_Ref163731358"/>
      <w:r>
        <w:rPr>
          <w:lang w:val="en-GB"/>
        </w:rPr>
        <w:t xml:space="preserve">With that focus, the relevant particulars, </w:t>
      </w:r>
      <w:r w:rsidRPr="00EF4893">
        <w:rPr>
          <w:i/>
          <w:iCs/>
          <w:lang w:val="en-GB"/>
        </w:rPr>
        <w:t>if established</w:t>
      </w:r>
      <w:r>
        <w:rPr>
          <w:lang w:val="en-GB"/>
        </w:rPr>
        <w:t xml:space="preserve"> at trial, and taken </w:t>
      </w:r>
      <w:r w:rsidRPr="00EF4893">
        <w:rPr>
          <w:i/>
          <w:iCs/>
          <w:lang w:val="en-GB"/>
        </w:rPr>
        <w:t>at their highest</w:t>
      </w:r>
      <w:r>
        <w:rPr>
          <w:lang w:val="en-GB"/>
        </w:rPr>
        <w:t>, would lead to the following primary findings of fact:</w:t>
      </w:r>
      <w:bookmarkEnd w:id="35"/>
    </w:p>
    <w:p w14:paraId="12953CEA" w14:textId="38BB3EC6" w:rsidR="00301E46" w:rsidRPr="006B6684" w:rsidRDefault="002E5330" w:rsidP="006B6684">
      <w:pPr>
        <w:pStyle w:val="ListNo1"/>
        <w:numPr>
          <w:ilvl w:val="0"/>
          <w:numId w:val="34"/>
        </w:numPr>
        <w:rPr>
          <w:lang w:val="en-GB"/>
        </w:rPr>
      </w:pPr>
      <w:bookmarkStart w:id="36" w:name="_Ref163124788"/>
      <w:r w:rsidRPr="006B6684">
        <w:rPr>
          <w:lang w:val="en-GB"/>
        </w:rPr>
        <w:t>Professor </w:t>
      </w:r>
      <w:r w:rsidR="00301E46" w:rsidRPr="006B6684">
        <w:rPr>
          <w:lang w:val="en-GB"/>
        </w:rPr>
        <w:t>Winn refused to communicate with staff members under the level of Associate Professor</w:t>
      </w:r>
      <w:r w:rsidR="00E460FC">
        <w:rPr>
          <w:lang w:val="en-GB"/>
        </w:rPr>
        <w:t xml:space="preserve">.  </w:t>
      </w:r>
      <w:r w:rsidR="00301E46" w:rsidRPr="006B6684">
        <w:rPr>
          <w:lang w:val="en-GB"/>
        </w:rPr>
        <w:t>That made staff members feel undervalued and alienated</w:t>
      </w:r>
      <w:r w:rsidR="00E460FC">
        <w:rPr>
          <w:lang w:val="en-GB"/>
        </w:rPr>
        <w:t xml:space="preserve">.  </w:t>
      </w:r>
      <w:r w:rsidR="00301E46" w:rsidRPr="006B6684">
        <w:rPr>
          <w:lang w:val="en-GB"/>
        </w:rPr>
        <w:t>It required Associate Deans to have to reluctantly deliver bad news</w:t>
      </w:r>
      <w:r w:rsidR="00E460FC">
        <w:rPr>
          <w:lang w:val="en-GB"/>
        </w:rPr>
        <w:t xml:space="preserve">.  </w:t>
      </w:r>
      <w:r w:rsidR="00844CBA" w:rsidRPr="006B6684">
        <w:rPr>
          <w:lang w:val="en-GB"/>
        </w:rPr>
        <w:t xml:space="preserve">Professor Winn </w:t>
      </w:r>
      <w:r w:rsidR="00301E46" w:rsidRPr="006B6684">
        <w:rPr>
          <w:lang w:val="en-GB"/>
        </w:rPr>
        <w:t>did not reply to certain emails, two of which were directed to him specifically, and one of which was sent to all colleagues in relation to the culture of the School of Education</w:t>
      </w:r>
      <w:r w:rsidR="00E460FC">
        <w:rPr>
          <w:lang w:val="en-GB"/>
        </w:rPr>
        <w:t xml:space="preserve">.  </w:t>
      </w:r>
      <w:r w:rsidR="00301E46" w:rsidRPr="006B6684">
        <w:rPr>
          <w:lang w:val="en-GB"/>
        </w:rPr>
        <w:t>All this behaviour led staff members to consider him to be distant and unapproachable</w:t>
      </w:r>
      <w:bookmarkEnd w:id="36"/>
      <w:r w:rsidR="00E460FC">
        <w:rPr>
          <w:lang w:val="en-GB"/>
        </w:rPr>
        <w:t>.</w:t>
      </w:r>
    </w:p>
    <w:p w14:paraId="024E9881" w14:textId="028055F5" w:rsidR="00301E46" w:rsidRPr="006861E4" w:rsidRDefault="002E5330" w:rsidP="006861E4">
      <w:pPr>
        <w:pStyle w:val="ListNo1"/>
        <w:numPr>
          <w:ilvl w:val="0"/>
          <w:numId w:val="34"/>
        </w:numPr>
        <w:rPr>
          <w:lang w:val="en-GB"/>
        </w:rPr>
      </w:pPr>
      <w:bookmarkStart w:id="37" w:name="_Ref163134635"/>
      <w:r w:rsidRPr="006861E4">
        <w:rPr>
          <w:lang w:val="en-GB"/>
        </w:rPr>
        <w:t>Professor </w:t>
      </w:r>
      <w:r w:rsidR="00301E46" w:rsidRPr="006861E4">
        <w:rPr>
          <w:lang w:val="en-GB"/>
        </w:rPr>
        <w:t xml:space="preserve">Winn reported </w:t>
      </w:r>
      <w:r w:rsidR="000B633E" w:rsidRPr="006861E4">
        <w:rPr>
          <w:lang w:val="en-GB"/>
        </w:rPr>
        <w:t>Dr </w:t>
      </w:r>
      <w:r w:rsidR="00301E46" w:rsidRPr="006861E4">
        <w:rPr>
          <w:lang w:val="en-GB"/>
        </w:rPr>
        <w:t xml:space="preserve">Lowe to the ECU Office of Integrity regarding a $1,000 honorarium, without speaking to </w:t>
      </w:r>
      <w:r w:rsidR="000B633E" w:rsidRPr="006861E4">
        <w:rPr>
          <w:lang w:val="en-GB"/>
        </w:rPr>
        <w:t>Dr </w:t>
      </w:r>
      <w:r w:rsidR="00301E46" w:rsidRPr="006861E4">
        <w:rPr>
          <w:lang w:val="en-GB"/>
        </w:rPr>
        <w:t>Lowe about any concerns first</w:t>
      </w:r>
      <w:r w:rsidR="00E460FC" w:rsidRPr="006861E4">
        <w:rPr>
          <w:lang w:val="en-GB"/>
        </w:rPr>
        <w:t xml:space="preserve">.  </w:t>
      </w:r>
      <w:r w:rsidR="00301E46" w:rsidRPr="006861E4">
        <w:rPr>
          <w:lang w:val="en-GB"/>
        </w:rPr>
        <w:t xml:space="preserve">During the investigation, </w:t>
      </w:r>
      <w:r w:rsidR="000B633E" w:rsidRPr="006861E4">
        <w:rPr>
          <w:lang w:val="en-GB"/>
        </w:rPr>
        <w:t>Dr </w:t>
      </w:r>
      <w:r w:rsidR="00301E46" w:rsidRPr="006861E4">
        <w:rPr>
          <w:lang w:val="en-GB"/>
        </w:rPr>
        <w:t xml:space="preserve">Lowe felt intimidated, </w:t>
      </w:r>
      <w:proofErr w:type="gramStart"/>
      <w:r w:rsidR="00301E46" w:rsidRPr="006861E4">
        <w:rPr>
          <w:lang w:val="en-GB"/>
        </w:rPr>
        <w:t>shocked</w:t>
      </w:r>
      <w:proofErr w:type="gramEnd"/>
      <w:r w:rsidR="00301E46" w:rsidRPr="006861E4">
        <w:rPr>
          <w:lang w:val="en-GB"/>
        </w:rPr>
        <w:t xml:space="preserve"> and afraid that he would lose his job</w:t>
      </w:r>
      <w:r w:rsidR="00E460FC" w:rsidRPr="006861E4">
        <w:rPr>
          <w:lang w:val="en-GB"/>
        </w:rPr>
        <w:t xml:space="preserve">.  </w:t>
      </w:r>
      <w:r w:rsidRPr="006861E4">
        <w:rPr>
          <w:lang w:val="en-GB"/>
        </w:rPr>
        <w:t>Professor </w:t>
      </w:r>
      <w:r w:rsidR="00301E46" w:rsidRPr="006861E4">
        <w:rPr>
          <w:lang w:val="en-GB"/>
        </w:rPr>
        <w:t>Winn offered him no support and showed no concern for him during the investigation</w:t>
      </w:r>
      <w:r w:rsidR="00E460FC" w:rsidRPr="006861E4">
        <w:rPr>
          <w:lang w:val="en-GB"/>
        </w:rPr>
        <w:t xml:space="preserve">.  </w:t>
      </w:r>
      <w:r w:rsidR="00301E46" w:rsidRPr="006861E4">
        <w:rPr>
          <w:lang w:val="en-GB"/>
        </w:rPr>
        <w:t xml:space="preserve">After </w:t>
      </w:r>
      <w:r w:rsidR="000B633E" w:rsidRPr="006861E4">
        <w:rPr>
          <w:lang w:val="en-GB"/>
        </w:rPr>
        <w:t>Dr </w:t>
      </w:r>
      <w:r w:rsidR="00301E46" w:rsidRPr="006861E4">
        <w:rPr>
          <w:lang w:val="en-GB"/>
        </w:rPr>
        <w:t xml:space="preserve">Lowe was cleared of any wrongdoing, </w:t>
      </w:r>
      <w:r w:rsidRPr="006861E4">
        <w:rPr>
          <w:lang w:val="en-GB"/>
        </w:rPr>
        <w:t>Professor </w:t>
      </w:r>
      <w:r w:rsidR="00301E46" w:rsidRPr="006861E4">
        <w:rPr>
          <w:lang w:val="en-GB"/>
        </w:rPr>
        <w:t xml:space="preserve">Winn caused a letter to be sent to him stating that </w:t>
      </w:r>
      <w:r w:rsidR="000B633E" w:rsidRPr="006861E4">
        <w:rPr>
          <w:lang w:val="en-GB"/>
        </w:rPr>
        <w:t>Dr </w:t>
      </w:r>
      <w:r w:rsidR="00301E46" w:rsidRPr="006861E4">
        <w:rPr>
          <w:lang w:val="en-GB"/>
        </w:rPr>
        <w:t xml:space="preserve">Lowe had brought ECU into </w:t>
      </w:r>
      <w:proofErr w:type="gramStart"/>
      <w:r w:rsidR="00301E46" w:rsidRPr="006861E4">
        <w:rPr>
          <w:lang w:val="en-GB"/>
        </w:rPr>
        <w:t>disrepute, and</w:t>
      </w:r>
      <w:proofErr w:type="gramEnd"/>
      <w:r w:rsidR="00301E46" w:rsidRPr="006861E4">
        <w:rPr>
          <w:lang w:val="en-GB"/>
        </w:rPr>
        <w:t xml:space="preserve"> suggesting that he was unprofessional</w:t>
      </w:r>
      <w:r w:rsidR="00E460FC" w:rsidRPr="006861E4">
        <w:rPr>
          <w:lang w:val="en-GB"/>
        </w:rPr>
        <w:t xml:space="preserve">.  </w:t>
      </w:r>
      <w:r w:rsidR="000B633E" w:rsidRPr="006861E4">
        <w:rPr>
          <w:lang w:val="en-GB"/>
        </w:rPr>
        <w:t>Dr </w:t>
      </w:r>
      <w:r w:rsidR="00301E46" w:rsidRPr="006861E4">
        <w:rPr>
          <w:lang w:val="en-GB"/>
        </w:rPr>
        <w:t xml:space="preserve">Lowe felt intimidated by </w:t>
      </w:r>
      <w:r w:rsidRPr="006861E4">
        <w:rPr>
          <w:lang w:val="en-GB"/>
        </w:rPr>
        <w:t>Professor </w:t>
      </w:r>
      <w:r w:rsidR="00301E46" w:rsidRPr="006861E4">
        <w:rPr>
          <w:lang w:val="en-GB"/>
        </w:rPr>
        <w:t>Winn</w:t>
      </w:r>
      <w:bookmarkEnd w:id="37"/>
      <w:r w:rsidRPr="006861E4">
        <w:rPr>
          <w:lang w:val="en-GB"/>
        </w:rPr>
        <w:t>.</w:t>
      </w:r>
    </w:p>
    <w:p w14:paraId="1C3D48E2" w14:textId="72A33807" w:rsidR="00301E46" w:rsidRDefault="002E5330" w:rsidP="006861E4">
      <w:pPr>
        <w:pStyle w:val="ListNo1"/>
        <w:numPr>
          <w:ilvl w:val="0"/>
          <w:numId w:val="34"/>
        </w:numPr>
        <w:rPr>
          <w:lang w:val="en-GB"/>
        </w:rPr>
      </w:pPr>
      <w:bookmarkStart w:id="38" w:name="_Ref163134636"/>
      <w:r>
        <w:rPr>
          <w:lang w:val="en-GB"/>
        </w:rPr>
        <w:t>Professor </w:t>
      </w:r>
      <w:r w:rsidR="00301E46" w:rsidRPr="00DE201D">
        <w:rPr>
          <w:lang w:val="en-GB"/>
        </w:rPr>
        <w:t>Winn</w:t>
      </w:r>
      <w:r w:rsidR="00301E46">
        <w:rPr>
          <w:lang w:val="en-GB"/>
        </w:rPr>
        <w:t xml:space="preserve"> disputed </w:t>
      </w:r>
      <w:r w:rsidR="000B633E">
        <w:rPr>
          <w:lang w:val="en-GB"/>
        </w:rPr>
        <w:t>Dr </w:t>
      </w:r>
      <w:r w:rsidR="00301E46">
        <w:rPr>
          <w:lang w:val="en-GB"/>
        </w:rPr>
        <w:t>Allen's control over the DFAT funding</w:t>
      </w:r>
      <w:r w:rsidR="00C86D73">
        <w:rPr>
          <w:lang w:val="en-GB"/>
        </w:rPr>
        <w:t xml:space="preserve">, </w:t>
      </w:r>
      <w:r w:rsidR="00301E46">
        <w:rPr>
          <w:lang w:val="en-GB"/>
        </w:rPr>
        <w:t xml:space="preserve">then amounting to </w:t>
      </w:r>
      <w:r w:rsidR="00FD1CDD">
        <w:rPr>
          <w:lang w:val="en-GB"/>
        </w:rPr>
        <w:t xml:space="preserve">approximately </w:t>
      </w:r>
      <w:proofErr w:type="gramStart"/>
      <w:r w:rsidR="00301E46">
        <w:rPr>
          <w:lang w:val="en-GB"/>
        </w:rPr>
        <w:t>$4,000</w:t>
      </w:r>
      <w:r w:rsidR="008D461B">
        <w:rPr>
          <w:lang w:val="en-GB"/>
        </w:rPr>
        <w:t>, and</w:t>
      </w:r>
      <w:proofErr w:type="gramEnd"/>
      <w:r w:rsidR="008D461B">
        <w:rPr>
          <w:lang w:val="en-GB"/>
        </w:rPr>
        <w:t xml:space="preserve"> was informed that he could not confiscate</w:t>
      </w:r>
      <w:r w:rsidR="00744146">
        <w:rPr>
          <w:lang w:val="en-GB"/>
        </w:rPr>
        <w:t xml:space="preserve"> those funds</w:t>
      </w:r>
      <w:r w:rsidR="00E460FC">
        <w:rPr>
          <w:lang w:val="en-GB"/>
        </w:rPr>
        <w:t xml:space="preserve">.  </w:t>
      </w:r>
      <w:r w:rsidR="003721BA">
        <w:rPr>
          <w:lang w:val="en-GB"/>
        </w:rPr>
        <w:t>Subsequently, i</w:t>
      </w:r>
      <w:r w:rsidR="00301E46">
        <w:rPr>
          <w:lang w:val="en-GB"/>
        </w:rPr>
        <w:t>n late 2019</w:t>
      </w:r>
      <w:r w:rsidR="003721BA">
        <w:rPr>
          <w:lang w:val="en-GB"/>
        </w:rPr>
        <w:t>,</w:t>
      </w:r>
      <w:r w:rsidR="00301E46">
        <w:rPr>
          <w:lang w:val="en-GB"/>
        </w:rPr>
        <w:t xml:space="preserve"> he told </w:t>
      </w:r>
      <w:r w:rsidR="000B633E">
        <w:rPr>
          <w:lang w:val="en-GB"/>
        </w:rPr>
        <w:t>Dr </w:t>
      </w:r>
      <w:r w:rsidR="00301E46">
        <w:rPr>
          <w:lang w:val="en-GB"/>
        </w:rPr>
        <w:t>Allen to spend the funding by the end of 2020</w:t>
      </w:r>
      <w:r w:rsidR="00E460FC">
        <w:rPr>
          <w:lang w:val="en-GB"/>
        </w:rPr>
        <w:t xml:space="preserve">.  </w:t>
      </w:r>
      <w:r w:rsidR="00301E46">
        <w:rPr>
          <w:lang w:val="en-GB"/>
        </w:rPr>
        <w:t xml:space="preserve">He refused an application from </w:t>
      </w:r>
      <w:r w:rsidR="000B633E">
        <w:rPr>
          <w:lang w:val="en-GB"/>
        </w:rPr>
        <w:t>Dr </w:t>
      </w:r>
      <w:r w:rsidR="00301E46">
        <w:rPr>
          <w:lang w:val="en-GB"/>
        </w:rPr>
        <w:t>Allen to use the funds in January 2020 and gave a false (meaning incorrect) reason for doing so</w:t>
      </w:r>
      <w:bookmarkEnd w:id="38"/>
      <w:r>
        <w:rPr>
          <w:lang w:val="en-GB"/>
        </w:rPr>
        <w:t>.</w:t>
      </w:r>
    </w:p>
    <w:p w14:paraId="7621CC89" w14:textId="4FCFC207" w:rsidR="00301E46" w:rsidRDefault="002E5330" w:rsidP="006861E4">
      <w:pPr>
        <w:pStyle w:val="ListNo1"/>
        <w:numPr>
          <w:ilvl w:val="0"/>
          <w:numId w:val="34"/>
        </w:numPr>
        <w:rPr>
          <w:lang w:val="en-GB"/>
        </w:rPr>
      </w:pPr>
      <w:bookmarkStart w:id="39" w:name="_Ref163134638"/>
      <w:bookmarkStart w:id="40" w:name="_Ref163731362"/>
      <w:r>
        <w:rPr>
          <w:lang w:val="en-GB"/>
        </w:rPr>
        <w:t>Professor </w:t>
      </w:r>
      <w:r w:rsidR="00301E46" w:rsidRPr="00DE201D">
        <w:rPr>
          <w:lang w:val="en-GB"/>
        </w:rPr>
        <w:t>Winn</w:t>
      </w:r>
      <w:r w:rsidR="00301E46">
        <w:rPr>
          <w:lang w:val="en-GB"/>
        </w:rPr>
        <w:t xml:space="preserve"> did not reply to </w:t>
      </w:r>
      <w:r w:rsidR="000B633E">
        <w:rPr>
          <w:lang w:val="en-GB"/>
        </w:rPr>
        <w:t>Dr </w:t>
      </w:r>
      <w:r w:rsidR="00301E46">
        <w:rPr>
          <w:lang w:val="en-GB"/>
        </w:rPr>
        <w:t>Prout's circular email of 4 December 2019 (note</w:t>
      </w:r>
      <w:r w:rsidR="00744146">
        <w:rPr>
          <w:lang w:val="en-GB"/>
        </w:rPr>
        <w:t xml:space="preserve"> that</w:t>
      </w:r>
      <w:r w:rsidR="00301E46">
        <w:rPr>
          <w:lang w:val="en-GB"/>
        </w:rPr>
        <w:t xml:space="preserve"> this is one of the emails referred to in </w:t>
      </w:r>
      <w:r w:rsidR="00301E46">
        <w:rPr>
          <w:lang w:val="en-GB"/>
        </w:rPr>
        <w:fldChar w:fldCharType="begin"/>
      </w:r>
      <w:r w:rsidR="00301E46">
        <w:rPr>
          <w:lang w:val="en-GB"/>
        </w:rPr>
        <w:instrText xml:space="preserve"> REF _Ref163124788 \r \h </w:instrText>
      </w:r>
      <w:r w:rsidR="00301E46">
        <w:rPr>
          <w:lang w:val="en-GB"/>
        </w:rPr>
      </w:r>
      <w:r w:rsidR="00301E46">
        <w:rPr>
          <w:lang w:val="en-GB"/>
        </w:rPr>
        <w:fldChar w:fldCharType="separate"/>
      </w:r>
      <w:r w:rsidR="005662B4">
        <w:rPr>
          <w:lang w:val="en-GB"/>
        </w:rPr>
        <w:t>(1)</w:t>
      </w:r>
      <w:r w:rsidR="00301E46">
        <w:rPr>
          <w:lang w:val="en-GB"/>
        </w:rPr>
        <w:fldChar w:fldCharType="end"/>
      </w:r>
      <w:r w:rsidR="00301E46">
        <w:rPr>
          <w:lang w:val="en-GB"/>
        </w:rPr>
        <w:t xml:space="preserve"> above) expressing concern about the culture of the workplace</w:t>
      </w:r>
      <w:r w:rsidR="00510CD5">
        <w:rPr>
          <w:lang w:val="en-GB"/>
        </w:rPr>
        <w:t xml:space="preserve"> </w:t>
      </w:r>
      <w:r w:rsidR="00301E46">
        <w:rPr>
          <w:lang w:val="en-GB"/>
        </w:rPr>
        <w:t xml:space="preserve">at the School of Education, assuring colleagues of his support and </w:t>
      </w:r>
      <w:r w:rsidR="00301E46">
        <w:rPr>
          <w:lang w:val="en-GB"/>
        </w:rPr>
        <w:lastRenderedPageBreak/>
        <w:t>care, and encouraging them not to despair but to treat each other with care and mutual respect</w:t>
      </w:r>
      <w:r w:rsidR="00E460FC">
        <w:rPr>
          <w:lang w:val="en-GB"/>
        </w:rPr>
        <w:t xml:space="preserve">.  </w:t>
      </w:r>
      <w:r>
        <w:rPr>
          <w:lang w:val="en-GB"/>
        </w:rPr>
        <w:t>Professor </w:t>
      </w:r>
      <w:r w:rsidR="00301E46" w:rsidRPr="00917C47">
        <w:rPr>
          <w:lang w:val="en-GB"/>
        </w:rPr>
        <w:t>Winn</w:t>
      </w:r>
      <w:r w:rsidR="00301E46">
        <w:rPr>
          <w:lang w:val="en-GB"/>
        </w:rPr>
        <w:t xml:space="preserve"> did not otherwise contact staff about the email or offer support to staff</w:t>
      </w:r>
      <w:r w:rsidR="00E460FC">
        <w:rPr>
          <w:lang w:val="en-GB"/>
        </w:rPr>
        <w:t xml:space="preserve">.  </w:t>
      </w:r>
      <w:r w:rsidR="00301E46">
        <w:rPr>
          <w:lang w:val="en-GB"/>
        </w:rPr>
        <w:t xml:space="preserve">He did not respond to </w:t>
      </w:r>
      <w:r w:rsidR="000B633E">
        <w:rPr>
          <w:lang w:val="en-GB"/>
        </w:rPr>
        <w:t>Dr </w:t>
      </w:r>
      <w:r w:rsidR="00301E46">
        <w:rPr>
          <w:lang w:val="en-GB"/>
        </w:rPr>
        <w:t>Prout's subsequent request for a meeting</w:t>
      </w:r>
      <w:r w:rsidR="009B6DF9">
        <w:rPr>
          <w:lang w:val="en-GB"/>
        </w:rPr>
        <w:t xml:space="preserve"> (note that this is also one of the emails referred to in </w:t>
      </w:r>
      <w:r w:rsidR="009B6DF9">
        <w:rPr>
          <w:lang w:val="en-GB"/>
        </w:rPr>
        <w:fldChar w:fldCharType="begin"/>
      </w:r>
      <w:r w:rsidR="009B6DF9">
        <w:rPr>
          <w:lang w:val="en-GB"/>
        </w:rPr>
        <w:instrText xml:space="preserve"> REF _Ref163124788 \r \h </w:instrText>
      </w:r>
      <w:r w:rsidR="009B6DF9">
        <w:rPr>
          <w:lang w:val="en-GB"/>
        </w:rPr>
      </w:r>
      <w:r w:rsidR="009B6DF9">
        <w:rPr>
          <w:lang w:val="en-GB"/>
        </w:rPr>
        <w:fldChar w:fldCharType="separate"/>
      </w:r>
      <w:r w:rsidR="005662B4">
        <w:rPr>
          <w:lang w:val="en-GB"/>
        </w:rPr>
        <w:t>(1)</w:t>
      </w:r>
      <w:r w:rsidR="009B6DF9">
        <w:rPr>
          <w:lang w:val="en-GB"/>
        </w:rPr>
        <w:fldChar w:fldCharType="end"/>
      </w:r>
      <w:r w:rsidR="009B6DF9">
        <w:rPr>
          <w:lang w:val="en-GB"/>
        </w:rPr>
        <w:t xml:space="preserve"> above)</w:t>
      </w:r>
      <w:r w:rsidR="00E460FC">
        <w:rPr>
          <w:lang w:val="en-GB"/>
        </w:rPr>
        <w:t xml:space="preserve">.  </w:t>
      </w:r>
      <w:r w:rsidR="005F6B34">
        <w:rPr>
          <w:lang w:val="en-GB"/>
        </w:rPr>
        <w:t>A few</w:t>
      </w:r>
      <w:r w:rsidR="00301E46">
        <w:rPr>
          <w:lang w:val="en-GB"/>
        </w:rPr>
        <w:t xml:space="preserve"> months </w:t>
      </w:r>
      <w:r w:rsidR="00BB73FB">
        <w:rPr>
          <w:lang w:val="en-GB"/>
        </w:rPr>
        <w:t xml:space="preserve">after </w:t>
      </w:r>
      <w:r w:rsidR="00C86DFA">
        <w:rPr>
          <w:lang w:val="en-GB"/>
        </w:rPr>
        <w:t>Dr</w:t>
      </w:r>
      <w:r w:rsidR="00231313">
        <w:rPr>
          <w:lang w:val="en-GB"/>
        </w:rPr>
        <w:t> </w:t>
      </w:r>
      <w:r w:rsidR="00C86DFA">
        <w:rPr>
          <w:lang w:val="en-GB"/>
        </w:rPr>
        <w:t xml:space="preserve">Prout sent his </w:t>
      </w:r>
      <w:r w:rsidR="00266755">
        <w:rPr>
          <w:lang w:val="en-GB"/>
        </w:rPr>
        <w:t xml:space="preserve">first, </w:t>
      </w:r>
      <w:r w:rsidR="00C86DFA">
        <w:rPr>
          <w:lang w:val="en-GB"/>
        </w:rPr>
        <w:t xml:space="preserve">circular </w:t>
      </w:r>
      <w:r w:rsidR="00BB73FB">
        <w:rPr>
          <w:lang w:val="en-GB"/>
        </w:rPr>
        <w:t>email</w:t>
      </w:r>
      <w:r w:rsidR="00301E46">
        <w:rPr>
          <w:lang w:val="en-GB"/>
        </w:rPr>
        <w:t xml:space="preserve">, </w:t>
      </w:r>
      <w:r>
        <w:rPr>
          <w:lang w:val="en-GB"/>
        </w:rPr>
        <w:t>Professor </w:t>
      </w:r>
      <w:r w:rsidR="00301E46" w:rsidRPr="00917C47">
        <w:rPr>
          <w:lang w:val="en-GB"/>
        </w:rPr>
        <w:t>Winn</w:t>
      </w:r>
      <w:r w:rsidR="00301E46">
        <w:rPr>
          <w:lang w:val="en-GB"/>
        </w:rPr>
        <w:t xml:space="preserve"> refused permission for </w:t>
      </w:r>
      <w:r w:rsidR="000B633E">
        <w:rPr>
          <w:lang w:val="en-GB"/>
        </w:rPr>
        <w:t>Dr </w:t>
      </w:r>
      <w:r w:rsidR="00301E46">
        <w:rPr>
          <w:lang w:val="en-GB"/>
        </w:rPr>
        <w:t>Prout to tutor a unit which he had tutored in previous years</w:t>
      </w:r>
      <w:bookmarkEnd w:id="39"/>
      <w:r>
        <w:rPr>
          <w:lang w:val="en-GB"/>
        </w:rPr>
        <w:t>.</w:t>
      </w:r>
      <w:bookmarkEnd w:id="40"/>
    </w:p>
    <w:p w14:paraId="54C6A4DC" w14:textId="7CCF4F7A" w:rsidR="00301E46" w:rsidRPr="000000CE" w:rsidRDefault="00301E46" w:rsidP="006861E4">
      <w:pPr>
        <w:pStyle w:val="ListNo1"/>
        <w:numPr>
          <w:ilvl w:val="0"/>
          <w:numId w:val="34"/>
        </w:numPr>
        <w:rPr>
          <w:lang w:val="en-GB"/>
        </w:rPr>
      </w:pPr>
      <w:r w:rsidRPr="000000CE">
        <w:rPr>
          <w:lang w:val="en-GB"/>
        </w:rPr>
        <w:t xml:space="preserve">A decline in staff satisfaction measures occurred during </w:t>
      </w:r>
      <w:r w:rsidR="002E5330" w:rsidRPr="000000CE">
        <w:rPr>
          <w:lang w:val="en-GB"/>
        </w:rPr>
        <w:t>Professor </w:t>
      </w:r>
      <w:r w:rsidRPr="000000CE">
        <w:rPr>
          <w:lang w:val="en-GB"/>
        </w:rPr>
        <w:t>Winn's tenure as Executive Dean, as measured by comparing staff survey results in September 2020 to a similar survey in 2018</w:t>
      </w:r>
      <w:r w:rsidR="00E460FC">
        <w:rPr>
          <w:lang w:val="en-GB"/>
        </w:rPr>
        <w:t xml:space="preserve">.  </w:t>
      </w:r>
      <w:r w:rsidR="002E5330" w:rsidRPr="000000CE">
        <w:rPr>
          <w:lang w:val="en-GB"/>
        </w:rPr>
        <w:t>Professor </w:t>
      </w:r>
      <w:r w:rsidRPr="000000CE">
        <w:rPr>
          <w:lang w:val="en-GB"/>
        </w:rPr>
        <w:t>Winn was silent and unapproachable at a staff meeting called to discuss the survey results</w:t>
      </w:r>
      <w:r w:rsidR="002E5330" w:rsidRPr="000000CE">
        <w:rPr>
          <w:lang w:val="en-GB"/>
        </w:rPr>
        <w:t>.</w:t>
      </w:r>
    </w:p>
    <w:p w14:paraId="63AF7AF7" w14:textId="2B6BB924" w:rsidR="00301E46" w:rsidRDefault="002E5330" w:rsidP="006861E4">
      <w:pPr>
        <w:pStyle w:val="ListNo1"/>
        <w:numPr>
          <w:ilvl w:val="0"/>
          <w:numId w:val="34"/>
        </w:numPr>
        <w:rPr>
          <w:lang w:val="en-GB"/>
        </w:rPr>
      </w:pPr>
      <w:bookmarkStart w:id="41" w:name="_Ref163134639"/>
      <w:r>
        <w:rPr>
          <w:lang w:val="en-GB"/>
        </w:rPr>
        <w:t>Professor </w:t>
      </w:r>
      <w:r w:rsidR="00301E46" w:rsidRPr="00B47375">
        <w:rPr>
          <w:lang w:val="en-GB"/>
        </w:rPr>
        <w:t>Winn</w:t>
      </w:r>
      <w:r w:rsidR="00301E46">
        <w:rPr>
          <w:lang w:val="en-GB"/>
        </w:rPr>
        <w:t>:</w:t>
      </w:r>
      <w:bookmarkEnd w:id="41"/>
    </w:p>
    <w:p w14:paraId="5E0D36E9" w14:textId="2E6C0A91" w:rsidR="00301E46" w:rsidRDefault="00301E46" w:rsidP="00301E46">
      <w:pPr>
        <w:pStyle w:val="ListNo2"/>
        <w:numPr>
          <w:ilvl w:val="1"/>
          <w:numId w:val="31"/>
        </w:numPr>
        <w:rPr>
          <w:lang w:val="en-GB"/>
        </w:rPr>
      </w:pPr>
      <w:r>
        <w:rPr>
          <w:lang w:val="en-GB"/>
        </w:rPr>
        <w:t xml:space="preserve">refused, for a spurious reason, to approve the appointment of a particular person as a tutor to teach an IT class, upsetting the teacher of the </w:t>
      </w:r>
      <w:proofErr w:type="gramStart"/>
      <w:r>
        <w:rPr>
          <w:lang w:val="en-GB"/>
        </w:rPr>
        <w:t>class;</w:t>
      </w:r>
      <w:proofErr w:type="gramEnd"/>
    </w:p>
    <w:p w14:paraId="3C00790A" w14:textId="5FEA0623" w:rsidR="00301E46" w:rsidRDefault="00301E46" w:rsidP="00301E46">
      <w:pPr>
        <w:pStyle w:val="ListNo2"/>
        <w:numPr>
          <w:ilvl w:val="1"/>
          <w:numId w:val="31"/>
        </w:numPr>
        <w:rPr>
          <w:lang w:val="en-GB"/>
        </w:rPr>
      </w:pPr>
      <w:r>
        <w:rPr>
          <w:lang w:val="en-GB"/>
        </w:rPr>
        <w:t>approved the act of another person to convert fail marks of some 30 to 40 foreign students that had been based on their lack of proficiency in the English language, to pass marks, upsetting the teacher of the relevant program;</w:t>
      </w:r>
      <w:r w:rsidR="00E923A5">
        <w:rPr>
          <w:lang w:val="en-GB"/>
        </w:rPr>
        <w:t xml:space="preserve"> and</w:t>
      </w:r>
    </w:p>
    <w:p w14:paraId="793039CA" w14:textId="2FFA67E7" w:rsidR="00301E46" w:rsidRDefault="00301E46" w:rsidP="00301E46">
      <w:pPr>
        <w:pStyle w:val="ListNo2"/>
        <w:numPr>
          <w:ilvl w:val="1"/>
          <w:numId w:val="31"/>
        </w:numPr>
        <w:rPr>
          <w:lang w:val="en-GB"/>
        </w:rPr>
      </w:pPr>
      <w:r>
        <w:rPr>
          <w:lang w:val="en-GB"/>
        </w:rPr>
        <w:t xml:space="preserve">contrary to previous practice, did not give a salary increase or promotion to Associate </w:t>
      </w:r>
      <w:r w:rsidR="002E5330">
        <w:rPr>
          <w:lang w:val="en-GB"/>
        </w:rPr>
        <w:t>Professor </w:t>
      </w:r>
      <w:r>
        <w:rPr>
          <w:lang w:val="en-GB"/>
        </w:rPr>
        <w:t xml:space="preserve">to a person who had been promoted to the position of </w:t>
      </w:r>
      <w:r w:rsidRPr="00B47375">
        <w:rPr>
          <w:lang w:val="en-GB"/>
        </w:rPr>
        <w:t>Assistant to Associate Dean</w:t>
      </w:r>
      <w:r>
        <w:rPr>
          <w:lang w:val="en-GB"/>
        </w:rPr>
        <w:t>, which upset that person</w:t>
      </w:r>
      <w:r w:rsidR="002E5330">
        <w:rPr>
          <w:lang w:val="en-GB"/>
        </w:rPr>
        <w:t>.</w:t>
      </w:r>
    </w:p>
    <w:p w14:paraId="4A25ED53" w14:textId="16ADBC5C" w:rsidR="00301E46" w:rsidRDefault="00301E46" w:rsidP="006861E4">
      <w:pPr>
        <w:pStyle w:val="ListNo1"/>
        <w:numPr>
          <w:ilvl w:val="0"/>
          <w:numId w:val="34"/>
        </w:numPr>
        <w:rPr>
          <w:lang w:val="en-GB"/>
        </w:rPr>
      </w:pPr>
      <w:r w:rsidRPr="00AC5D54">
        <w:rPr>
          <w:lang w:val="en-GB"/>
        </w:rPr>
        <w:t xml:space="preserve">In around October 2021 </w:t>
      </w:r>
      <w:r w:rsidRPr="00AC5D54">
        <w:t>the</w:t>
      </w:r>
      <w:r w:rsidRPr="00AC5D54">
        <w:rPr>
          <w:lang w:val="en-GB"/>
        </w:rPr>
        <w:t xml:space="preserve"> Vice</w:t>
      </w:r>
      <w:r w:rsidR="00FB237E" w:rsidRPr="00AC5D54">
        <w:rPr>
          <w:lang w:val="en-GB"/>
        </w:rPr>
        <w:noBreakHyphen/>
      </w:r>
      <w:r w:rsidRPr="00AC5D54">
        <w:rPr>
          <w:lang w:val="en-GB"/>
        </w:rPr>
        <w:t>Chancellor of ECU announced an inquiry and investigation into the culture of the School of Education</w:t>
      </w:r>
      <w:r w:rsidR="00E460FC">
        <w:rPr>
          <w:lang w:val="en-GB"/>
        </w:rPr>
        <w:t xml:space="preserve">.  </w:t>
      </w:r>
      <w:r>
        <w:rPr>
          <w:lang w:val="en-GB"/>
        </w:rPr>
        <w:t xml:space="preserve">On 19 May 2022 he sent an email to all </w:t>
      </w:r>
      <w:r w:rsidR="002F5728">
        <w:rPr>
          <w:lang w:val="en-GB"/>
        </w:rPr>
        <w:t xml:space="preserve">ECU </w:t>
      </w:r>
      <w:r>
        <w:rPr>
          <w:lang w:val="en-GB"/>
        </w:rPr>
        <w:t>staff which said that</w:t>
      </w:r>
      <w:r w:rsidR="00E23AA4">
        <w:rPr>
          <w:lang w:val="en-GB"/>
        </w:rPr>
        <w:t>,</w:t>
      </w:r>
      <w:r>
        <w:rPr>
          <w:lang w:val="en-GB"/>
        </w:rPr>
        <w:t xml:space="preserve"> following that investigation, a 'significant cultural improvement program' would be undertaken and consequently </w:t>
      </w:r>
      <w:r w:rsidR="002E5330">
        <w:rPr>
          <w:lang w:val="en-GB"/>
        </w:rPr>
        <w:t>Professor </w:t>
      </w:r>
      <w:r w:rsidRPr="00B47375">
        <w:rPr>
          <w:lang w:val="en-GB"/>
        </w:rPr>
        <w:t>Winn</w:t>
      </w:r>
      <w:r>
        <w:rPr>
          <w:lang w:val="en-GB"/>
        </w:rPr>
        <w:t xml:space="preserve"> would be stepping down from the position of Executive Dean</w:t>
      </w:r>
      <w:r w:rsidR="002E5330">
        <w:rPr>
          <w:lang w:val="en-GB"/>
        </w:rPr>
        <w:t>.</w:t>
      </w:r>
    </w:p>
    <w:p w14:paraId="2C0E5535" w14:textId="7F2D0CC1" w:rsidR="00301E46" w:rsidRPr="00C04FED" w:rsidRDefault="00301E46" w:rsidP="00301E46">
      <w:pPr>
        <w:pStyle w:val="ParaNumbering"/>
        <w:tabs>
          <w:tab w:val="num" w:pos="720"/>
        </w:tabs>
        <w:rPr>
          <w:lang w:val="en-GB"/>
        </w:rPr>
      </w:pPr>
      <w:r>
        <w:rPr>
          <w:lang w:val="en-GB"/>
        </w:rPr>
        <w:t xml:space="preserve">A further relevant background fact which is the subject of one of the particulars is that </w:t>
      </w:r>
      <w:r w:rsidR="002E5330">
        <w:rPr>
          <w:lang w:val="en-GB"/>
        </w:rPr>
        <w:t>Professor </w:t>
      </w:r>
      <w:r w:rsidRPr="00C04FED">
        <w:rPr>
          <w:lang w:val="en-GB"/>
        </w:rPr>
        <w:t>Winn</w:t>
      </w:r>
      <w:r>
        <w:rPr>
          <w:lang w:val="en-GB"/>
        </w:rPr>
        <w:t xml:space="preserve">'s predecessor established </w:t>
      </w:r>
      <w:r w:rsidRPr="00C04FED">
        <w:rPr>
          <w:lang w:val="en-GB"/>
        </w:rPr>
        <w:t xml:space="preserve">a culture of collegiality, </w:t>
      </w:r>
      <w:proofErr w:type="gramStart"/>
      <w:r w:rsidRPr="00C04FED">
        <w:rPr>
          <w:lang w:val="en-GB"/>
        </w:rPr>
        <w:t>honesty</w:t>
      </w:r>
      <w:proofErr w:type="gramEnd"/>
      <w:r w:rsidRPr="00C04FED">
        <w:rPr>
          <w:lang w:val="en-GB"/>
        </w:rPr>
        <w:t xml:space="preserve"> and open communication amongst staff at the School of Education</w:t>
      </w:r>
      <w:r w:rsidR="006F61FC">
        <w:rPr>
          <w:lang w:val="en-GB"/>
        </w:rPr>
        <w:t xml:space="preserve"> (para 10)</w:t>
      </w:r>
      <w:r w:rsidR="00E460FC">
        <w:rPr>
          <w:lang w:val="en-GB"/>
        </w:rPr>
        <w:t xml:space="preserve">.  </w:t>
      </w:r>
      <w:r>
        <w:rPr>
          <w:lang w:val="en-GB"/>
        </w:rPr>
        <w:t>The breadth of that allegation makes it problematic, as discussed below, but for present purposes it may be assumed that it is established</w:t>
      </w:r>
      <w:r w:rsidR="00E460FC">
        <w:rPr>
          <w:lang w:val="en-GB"/>
        </w:rPr>
        <w:t xml:space="preserve">.  </w:t>
      </w:r>
      <w:r>
        <w:rPr>
          <w:lang w:val="en-GB"/>
        </w:rPr>
        <w:t xml:space="preserve">It is relevant to the question of a reasonable defence because, as </w:t>
      </w:r>
      <w:r w:rsidR="002E5330">
        <w:rPr>
          <w:lang w:val="en-GB"/>
        </w:rPr>
        <w:t>Professor </w:t>
      </w:r>
      <w:r w:rsidRPr="00C04FED">
        <w:rPr>
          <w:lang w:val="en-GB"/>
        </w:rPr>
        <w:t>Winn</w:t>
      </w:r>
      <w:r>
        <w:rPr>
          <w:lang w:val="en-GB"/>
        </w:rPr>
        <w:t>'s submissions point out, the imputation that he created a toxic workplace culture of bullying and fear implies that the culture was not of that kind before he made it so</w:t>
      </w:r>
      <w:r w:rsidR="002E5330">
        <w:rPr>
          <w:lang w:val="en-GB"/>
        </w:rPr>
        <w:t>.</w:t>
      </w:r>
    </w:p>
    <w:p w14:paraId="3CE793BE" w14:textId="6945B9C7" w:rsidR="00301E46" w:rsidRDefault="00301E46" w:rsidP="00301E46">
      <w:pPr>
        <w:pStyle w:val="ParaNumbering"/>
        <w:tabs>
          <w:tab w:val="num" w:pos="720"/>
        </w:tabs>
        <w:rPr>
          <w:lang w:val="en-GB"/>
        </w:rPr>
      </w:pPr>
      <w:r>
        <w:rPr>
          <w:lang w:val="en-GB"/>
        </w:rPr>
        <w:lastRenderedPageBreak/>
        <w:t xml:space="preserve">With hesitation, I conclude that some of the allegations summarised above, when taken together, and after proven by evidence, will be capable, taken at their highest, of establishing the substantial truth of most of the imputations pleaded by </w:t>
      </w:r>
      <w:r w:rsidR="002E5330">
        <w:rPr>
          <w:lang w:val="en-GB"/>
        </w:rPr>
        <w:t>Professor </w:t>
      </w:r>
      <w:r w:rsidRPr="00A404C4">
        <w:rPr>
          <w:lang w:val="en-GB"/>
        </w:rPr>
        <w:t>Winn</w:t>
      </w:r>
      <w:r w:rsidR="002E5330">
        <w:rPr>
          <w:lang w:val="en-GB"/>
        </w:rPr>
        <w:t>.</w:t>
      </w:r>
    </w:p>
    <w:p w14:paraId="1B1BB06D" w14:textId="5982DF28" w:rsidR="00301E46" w:rsidRDefault="00301E46" w:rsidP="00301E46">
      <w:pPr>
        <w:pStyle w:val="ParaNumbering"/>
        <w:tabs>
          <w:tab w:val="num" w:pos="720"/>
        </w:tabs>
        <w:rPr>
          <w:lang w:val="en-GB"/>
        </w:rPr>
      </w:pPr>
      <w:r>
        <w:rPr>
          <w:lang w:val="en-GB"/>
        </w:rPr>
        <w:t>The hesitation arises because it cannot be said that the particulars (assuming them to be proven) present a strong case that the imputations are true</w:t>
      </w:r>
      <w:r w:rsidR="00E460FC">
        <w:rPr>
          <w:lang w:val="en-GB"/>
        </w:rPr>
        <w:t xml:space="preserve">.  </w:t>
      </w:r>
      <w:r>
        <w:rPr>
          <w:lang w:val="en-GB"/>
        </w:rPr>
        <w:t xml:space="preserve">The imputations are strong; they present </w:t>
      </w:r>
      <w:r w:rsidR="002E5330">
        <w:rPr>
          <w:lang w:val="en-GB"/>
        </w:rPr>
        <w:t>Professor </w:t>
      </w:r>
      <w:r w:rsidRPr="00A404C4">
        <w:rPr>
          <w:lang w:val="en-GB"/>
        </w:rPr>
        <w:t>Winn</w:t>
      </w:r>
      <w:r>
        <w:rPr>
          <w:lang w:val="en-GB"/>
        </w:rPr>
        <w:t>'s behaviour as reprehensible, involving serious misconduct such as bullying</w:t>
      </w:r>
      <w:r w:rsidR="00485A25">
        <w:rPr>
          <w:lang w:val="en-GB"/>
        </w:rPr>
        <w:t>,</w:t>
      </w:r>
      <w:r>
        <w:rPr>
          <w:lang w:val="en-GB"/>
        </w:rPr>
        <w:t xml:space="preserve"> intimidation, and the creation or fostering of a toxic workplace culture</w:t>
      </w:r>
      <w:r w:rsidR="00E460FC">
        <w:rPr>
          <w:lang w:val="en-GB"/>
        </w:rPr>
        <w:t xml:space="preserve">.  </w:t>
      </w:r>
      <w:r>
        <w:rPr>
          <w:lang w:val="en-GB"/>
        </w:rPr>
        <w:t>The particulars, if established, may not rise to be so strong</w:t>
      </w:r>
      <w:r w:rsidR="002E5330">
        <w:rPr>
          <w:lang w:val="en-GB"/>
        </w:rPr>
        <w:t>.</w:t>
      </w:r>
    </w:p>
    <w:p w14:paraId="104BF541" w14:textId="049B5ADC" w:rsidR="00301E46" w:rsidRDefault="00301E46" w:rsidP="00301E46">
      <w:pPr>
        <w:pStyle w:val="ParaNumbering"/>
        <w:tabs>
          <w:tab w:val="num" w:pos="720"/>
        </w:tabs>
        <w:rPr>
          <w:lang w:val="en-GB"/>
        </w:rPr>
      </w:pPr>
      <w:r>
        <w:rPr>
          <w:lang w:val="en-GB"/>
        </w:rPr>
        <w:t>However, I am conscious of the need for caution in strike out applications (which this substantially is), especially those based on no reasonable defence having been disclosed</w:t>
      </w:r>
      <w:r w:rsidR="00E460FC">
        <w:rPr>
          <w:lang w:val="en-GB"/>
        </w:rPr>
        <w:t xml:space="preserve">.  </w:t>
      </w:r>
      <w:r>
        <w:rPr>
          <w:lang w:val="en-GB"/>
        </w:rPr>
        <w:t>And I am also conscious that, as explained above, particulars are not evidence; ultimately it is the evidence, with its full context and texture, that must be adjudged as requiring, or not, a characterisation of what occurred as bullying or intimidation</w:t>
      </w:r>
      <w:r w:rsidR="002E5330">
        <w:rPr>
          <w:lang w:val="en-GB"/>
        </w:rPr>
        <w:t>.</w:t>
      </w:r>
    </w:p>
    <w:p w14:paraId="4D0C862B" w14:textId="6DE2B429" w:rsidR="00301E46" w:rsidRDefault="00301E46" w:rsidP="00301E46">
      <w:pPr>
        <w:pStyle w:val="ParaNumbering"/>
        <w:tabs>
          <w:tab w:val="num" w:pos="720"/>
        </w:tabs>
        <w:rPr>
          <w:lang w:val="en-GB"/>
        </w:rPr>
      </w:pPr>
      <w:r>
        <w:rPr>
          <w:lang w:val="en-GB"/>
        </w:rPr>
        <w:t>In that regard, there were few submissions made about the meaning of 'bullying'</w:t>
      </w:r>
      <w:r w:rsidR="00E460FC">
        <w:rPr>
          <w:lang w:val="en-GB"/>
        </w:rPr>
        <w:t xml:space="preserve">.  </w:t>
      </w:r>
      <w:r>
        <w:rPr>
          <w:lang w:val="en-GB"/>
        </w:rPr>
        <w:t>Senior counsel for the respondents submitted that it could extend to acting in a way where a staff member is not able to approach the Executive Dean in a workplace where such communication would otherwise be expected or required</w:t>
      </w:r>
      <w:r w:rsidR="00E460FC">
        <w:rPr>
          <w:lang w:val="en-GB"/>
        </w:rPr>
        <w:t xml:space="preserve">.  </w:t>
      </w:r>
      <w:r>
        <w:rPr>
          <w:lang w:val="en-GB"/>
        </w:rPr>
        <w:t>She also submitted that it could extend to omitting to take acts to deal with genuine staff concerns</w:t>
      </w:r>
      <w:r w:rsidR="00E460FC">
        <w:rPr>
          <w:lang w:val="en-GB"/>
        </w:rPr>
        <w:t xml:space="preserve">.  </w:t>
      </w:r>
      <w:r>
        <w:rPr>
          <w:lang w:val="en-GB"/>
        </w:rPr>
        <w:t>I do not accept that either of those concepts by themselves amount to bullying</w:t>
      </w:r>
      <w:r w:rsidR="00E460FC">
        <w:rPr>
          <w:lang w:val="en-GB"/>
        </w:rPr>
        <w:t xml:space="preserve">.  </w:t>
      </w:r>
      <w:r>
        <w:rPr>
          <w:lang w:val="en-GB"/>
        </w:rPr>
        <w:t xml:space="preserve">In the absence of full </w:t>
      </w:r>
      <w:proofErr w:type="gramStart"/>
      <w:r>
        <w:rPr>
          <w:lang w:val="en-GB"/>
        </w:rPr>
        <w:t>submissions</w:t>
      </w:r>
      <w:proofErr w:type="gramEnd"/>
      <w:r>
        <w:rPr>
          <w:lang w:val="en-GB"/>
        </w:rPr>
        <w:t xml:space="preserve"> it would not be appropriate to make a finding at this point about what the term does mean</w:t>
      </w:r>
      <w:r w:rsidR="00E460FC">
        <w:rPr>
          <w:lang w:val="en-GB"/>
        </w:rPr>
        <w:t xml:space="preserve">.  </w:t>
      </w:r>
      <w:r>
        <w:rPr>
          <w:lang w:val="en-GB"/>
        </w:rPr>
        <w:t>It is enough to say that it is likely to involve physical or emotional aggression with a view to inflicting fear or physical or psychological harm, or at least with reckless disregard of such consequences</w:t>
      </w:r>
      <w:r w:rsidR="002E5330">
        <w:rPr>
          <w:lang w:val="en-GB"/>
        </w:rPr>
        <w:t>.</w:t>
      </w:r>
    </w:p>
    <w:p w14:paraId="74840B5D" w14:textId="5C9AE53C" w:rsidR="00301E46" w:rsidRDefault="00301E46" w:rsidP="00301E46">
      <w:pPr>
        <w:pStyle w:val="ParaNumbering"/>
        <w:tabs>
          <w:tab w:val="num" w:pos="720"/>
        </w:tabs>
        <w:rPr>
          <w:lang w:val="en-GB"/>
        </w:rPr>
      </w:pPr>
      <w:bookmarkStart w:id="42" w:name="_Ref163631179"/>
      <w:r w:rsidRPr="00036F6D">
        <w:rPr>
          <w:lang w:val="en-GB"/>
        </w:rPr>
        <w:t xml:space="preserve">When the story about the investigation of </w:t>
      </w:r>
      <w:r w:rsidR="000B633E">
        <w:rPr>
          <w:lang w:val="en-GB"/>
        </w:rPr>
        <w:t>Dr </w:t>
      </w:r>
      <w:r w:rsidRPr="00036F6D">
        <w:rPr>
          <w:lang w:val="en-GB"/>
        </w:rPr>
        <w:t xml:space="preserve">Lowe </w:t>
      </w:r>
      <w:r w:rsidR="005662B4">
        <w:rPr>
          <w:lang w:val="en-GB"/>
        </w:rPr>
        <w:t xml:space="preserve">(paras 24-32) </w:t>
      </w:r>
      <w:r w:rsidRPr="00036F6D">
        <w:rPr>
          <w:lang w:val="en-GB"/>
        </w:rPr>
        <w:t xml:space="preserve">that </w:t>
      </w:r>
      <w:r w:rsidR="00CD58F1">
        <w:rPr>
          <w:lang w:val="en-GB"/>
        </w:rPr>
        <w:t xml:space="preserve">is told in bare terms in </w:t>
      </w:r>
      <w:r w:rsidRPr="00036F6D">
        <w:rPr>
          <w:lang w:val="en-GB"/>
        </w:rPr>
        <w:t>the particulars becomes the subject of evidence, it may deserve such a characterisation</w:t>
      </w:r>
      <w:r w:rsidR="00E460FC">
        <w:rPr>
          <w:lang w:val="en-GB"/>
        </w:rPr>
        <w:t xml:space="preserve">.  </w:t>
      </w:r>
      <w:r w:rsidRPr="00036F6D">
        <w:rPr>
          <w:lang w:val="en-GB"/>
        </w:rPr>
        <w:t xml:space="preserve">It may be found to have been a distressing attack on </w:t>
      </w:r>
      <w:r w:rsidR="000B633E">
        <w:rPr>
          <w:lang w:val="en-GB"/>
        </w:rPr>
        <w:t>Dr </w:t>
      </w:r>
      <w:r w:rsidRPr="00036F6D">
        <w:rPr>
          <w:lang w:val="en-GB"/>
        </w:rPr>
        <w:t>Lowe's integrity for no good reason</w:t>
      </w:r>
      <w:r w:rsidR="00E460FC">
        <w:rPr>
          <w:lang w:val="en-GB"/>
        </w:rPr>
        <w:t xml:space="preserve">.  </w:t>
      </w:r>
      <w:r w:rsidRPr="00036F6D">
        <w:rPr>
          <w:lang w:val="en-GB"/>
        </w:rPr>
        <w:t xml:space="preserve">The same may be said, albeit with less confidence, of the conduct in relation to </w:t>
      </w:r>
      <w:r w:rsidR="000B633E">
        <w:rPr>
          <w:lang w:val="en-GB"/>
        </w:rPr>
        <w:t>Dr </w:t>
      </w:r>
      <w:r w:rsidRPr="00036F6D">
        <w:rPr>
          <w:lang w:val="en-GB"/>
        </w:rPr>
        <w:t>Allen's honorarium</w:t>
      </w:r>
      <w:r w:rsidR="005662B4">
        <w:rPr>
          <w:lang w:val="en-GB"/>
        </w:rPr>
        <w:t xml:space="preserve"> (paras 38-50)</w:t>
      </w:r>
      <w:r w:rsidR="00E460FC">
        <w:rPr>
          <w:lang w:val="en-GB"/>
        </w:rPr>
        <w:t xml:space="preserve">.  </w:t>
      </w:r>
      <w:r w:rsidRPr="00036F6D">
        <w:rPr>
          <w:lang w:val="en-GB"/>
        </w:rPr>
        <w:t xml:space="preserve">It may be found that </w:t>
      </w:r>
      <w:r w:rsidR="002E5330">
        <w:rPr>
          <w:lang w:val="en-GB"/>
        </w:rPr>
        <w:t>Professor </w:t>
      </w:r>
      <w:r w:rsidRPr="00036F6D">
        <w:rPr>
          <w:lang w:val="en-GB"/>
        </w:rPr>
        <w:t xml:space="preserve">Winn sought to meddle with the DFAT funds and vindictively withheld approval for their use </w:t>
      </w:r>
      <w:proofErr w:type="gramStart"/>
      <w:r w:rsidRPr="00036F6D">
        <w:rPr>
          <w:lang w:val="en-GB"/>
        </w:rPr>
        <w:t>on the basis of</w:t>
      </w:r>
      <w:proofErr w:type="gramEnd"/>
      <w:r w:rsidRPr="00036F6D">
        <w:rPr>
          <w:lang w:val="en-GB"/>
        </w:rPr>
        <w:t xml:space="preserve"> a false reason</w:t>
      </w:r>
      <w:r w:rsidR="00E460FC">
        <w:rPr>
          <w:lang w:val="en-GB"/>
        </w:rPr>
        <w:t xml:space="preserve">.  </w:t>
      </w:r>
      <w:r w:rsidRPr="00036F6D">
        <w:rPr>
          <w:lang w:val="en-GB"/>
        </w:rPr>
        <w:t xml:space="preserve">And, again with less confidence, it may be said </w:t>
      </w:r>
      <w:r w:rsidR="00992F9C">
        <w:rPr>
          <w:lang w:val="en-GB"/>
        </w:rPr>
        <w:t>that</w:t>
      </w:r>
      <w:r w:rsidR="001B5FF2">
        <w:rPr>
          <w:lang w:val="en-GB"/>
        </w:rPr>
        <w:t xml:space="preserve"> </w:t>
      </w:r>
      <w:r w:rsidR="002E5330">
        <w:rPr>
          <w:lang w:val="en-GB"/>
        </w:rPr>
        <w:t>Professor </w:t>
      </w:r>
      <w:r w:rsidRPr="00036F6D">
        <w:rPr>
          <w:lang w:val="en-GB"/>
        </w:rPr>
        <w:t>Winn</w:t>
      </w:r>
      <w:r w:rsidR="00E460FC">
        <w:rPr>
          <w:lang w:val="en-GB"/>
        </w:rPr>
        <w:t>'</w:t>
      </w:r>
      <w:r w:rsidR="001B5FF2">
        <w:rPr>
          <w:lang w:val="en-GB"/>
        </w:rPr>
        <w:t>s</w:t>
      </w:r>
      <w:r w:rsidRPr="00036F6D">
        <w:rPr>
          <w:lang w:val="en-GB"/>
        </w:rPr>
        <w:t xml:space="preserve"> refus</w:t>
      </w:r>
      <w:r w:rsidR="001B5FF2">
        <w:rPr>
          <w:lang w:val="en-GB"/>
        </w:rPr>
        <w:t>al</w:t>
      </w:r>
      <w:r w:rsidRPr="00036F6D">
        <w:rPr>
          <w:lang w:val="en-GB"/>
        </w:rPr>
        <w:t xml:space="preserve"> to permit </w:t>
      </w:r>
      <w:r w:rsidR="000B633E">
        <w:rPr>
          <w:lang w:val="en-GB"/>
        </w:rPr>
        <w:t>Dr </w:t>
      </w:r>
      <w:r w:rsidRPr="00036F6D">
        <w:rPr>
          <w:lang w:val="en-GB"/>
        </w:rPr>
        <w:t>Prout to tutor</w:t>
      </w:r>
      <w:r w:rsidR="006B366F">
        <w:rPr>
          <w:lang w:val="en-GB"/>
        </w:rPr>
        <w:t>,</w:t>
      </w:r>
      <w:r w:rsidR="002E5330">
        <w:rPr>
          <w:lang w:val="en-GB"/>
        </w:rPr>
        <w:t xml:space="preserve"> </w:t>
      </w:r>
      <w:r w:rsidR="006B366F">
        <w:rPr>
          <w:lang w:val="en-GB"/>
        </w:rPr>
        <w:t>a</w:t>
      </w:r>
      <w:r w:rsidRPr="00036F6D">
        <w:rPr>
          <w:lang w:val="en-GB"/>
        </w:rPr>
        <w:t xml:space="preserve">nd </w:t>
      </w:r>
      <w:r w:rsidR="006B366F">
        <w:rPr>
          <w:lang w:val="en-GB"/>
        </w:rPr>
        <w:t>his</w:t>
      </w:r>
      <w:r w:rsidRPr="00036F6D">
        <w:rPr>
          <w:lang w:val="en-GB"/>
        </w:rPr>
        <w:t xml:space="preserve"> conduct at </w:t>
      </w:r>
      <w:r w:rsidR="00B64A9E" w:rsidRPr="00036F6D">
        <w:rPr>
          <w:lang w:val="en-GB"/>
        </w:rPr>
        <w:t>paragraphs</w:t>
      </w:r>
      <w:r w:rsidR="00B64A9E">
        <w:rPr>
          <w:lang w:val="en-GB"/>
        </w:rPr>
        <w:t xml:space="preserve"> </w:t>
      </w:r>
      <w:r w:rsidRPr="00036F6D">
        <w:rPr>
          <w:lang w:val="en-GB"/>
        </w:rPr>
        <w:t>72</w:t>
      </w:r>
      <w:r w:rsidR="00FB237E">
        <w:rPr>
          <w:lang w:val="en-GB"/>
        </w:rPr>
        <w:t xml:space="preserve"> to </w:t>
      </w:r>
      <w:r w:rsidRPr="00036F6D">
        <w:rPr>
          <w:lang w:val="en-GB"/>
        </w:rPr>
        <w:t>74 of the Schedule (</w:t>
      </w:r>
      <w:r w:rsidR="006B366F">
        <w:rPr>
          <w:lang w:val="en-GB"/>
        </w:rPr>
        <w:t>described at</w:t>
      </w:r>
      <w:r w:rsidRPr="00036F6D">
        <w:rPr>
          <w:lang w:val="en-GB"/>
        </w:rPr>
        <w:t xml:space="preserve"> [</w:t>
      </w:r>
      <w:r w:rsidRPr="00036F6D">
        <w:rPr>
          <w:lang w:val="en-GB"/>
        </w:rPr>
        <w:fldChar w:fldCharType="begin"/>
      </w:r>
      <w:r w:rsidRPr="00036F6D">
        <w:rPr>
          <w:lang w:val="en-GB"/>
        </w:rPr>
        <w:instrText xml:space="preserve"> REF _Ref163132763 \r \h </w:instrText>
      </w:r>
      <w:r w:rsidRPr="00036F6D">
        <w:rPr>
          <w:lang w:val="en-GB"/>
        </w:rPr>
      </w:r>
      <w:r w:rsidRPr="00036F6D">
        <w:rPr>
          <w:lang w:val="en-GB"/>
        </w:rPr>
        <w:fldChar w:fldCharType="separate"/>
      </w:r>
      <w:r w:rsidR="005662B4">
        <w:rPr>
          <w:lang w:val="en-GB"/>
        </w:rPr>
        <w:t>43</w:t>
      </w:r>
      <w:r w:rsidRPr="00036F6D">
        <w:rPr>
          <w:lang w:val="en-GB"/>
        </w:rPr>
        <w:fldChar w:fldCharType="end"/>
      </w:r>
      <w:r w:rsidRPr="00036F6D">
        <w:rPr>
          <w:lang w:val="en-GB"/>
        </w:rPr>
        <w:t>] above</w:t>
      </w:r>
      <w:r w:rsidR="00F95FDA">
        <w:rPr>
          <w:lang w:val="en-GB"/>
        </w:rPr>
        <w:t>)</w:t>
      </w:r>
      <w:r w:rsidR="006B366F">
        <w:rPr>
          <w:lang w:val="en-GB"/>
        </w:rPr>
        <w:t>,</w:t>
      </w:r>
      <w:r w:rsidR="003A79BF">
        <w:rPr>
          <w:lang w:val="en-GB"/>
        </w:rPr>
        <w:t xml:space="preserve"> also deserve such a characterisation</w:t>
      </w:r>
      <w:r w:rsidR="00E460FC">
        <w:rPr>
          <w:lang w:val="en-GB"/>
        </w:rPr>
        <w:t xml:space="preserve">.  </w:t>
      </w:r>
      <w:r w:rsidRPr="00036F6D">
        <w:rPr>
          <w:lang w:val="en-GB"/>
        </w:rPr>
        <w:t xml:space="preserve">All of that is in the context where </w:t>
      </w:r>
      <w:r w:rsidR="002E5330">
        <w:rPr>
          <w:lang w:val="en-GB"/>
        </w:rPr>
        <w:t>Professor </w:t>
      </w:r>
      <w:r w:rsidRPr="00036F6D">
        <w:rPr>
          <w:lang w:val="en-GB"/>
        </w:rPr>
        <w:t xml:space="preserve">Winn was the Executive Dean </w:t>
      </w:r>
      <w:r w:rsidRPr="00036F6D">
        <w:rPr>
          <w:lang w:val="en-GB"/>
        </w:rPr>
        <w:lastRenderedPageBreak/>
        <w:t xml:space="preserve">of the School </w:t>
      </w:r>
      <w:r w:rsidR="005534A2">
        <w:rPr>
          <w:lang w:val="en-GB"/>
        </w:rPr>
        <w:t xml:space="preserve">of Education </w:t>
      </w:r>
      <w:r w:rsidRPr="00036F6D">
        <w:rPr>
          <w:lang w:val="en-GB"/>
        </w:rPr>
        <w:t>and therefore in a position where it was open to him to abuse his authority</w:t>
      </w:r>
      <w:r w:rsidR="002E5330">
        <w:rPr>
          <w:lang w:val="en-GB"/>
        </w:rPr>
        <w:t>.</w:t>
      </w:r>
      <w:bookmarkEnd w:id="42"/>
    </w:p>
    <w:p w14:paraId="08B4F6A2" w14:textId="4D6FCCC4" w:rsidR="00301E46" w:rsidRDefault="00301E46" w:rsidP="00301E46">
      <w:pPr>
        <w:pStyle w:val="ParaNumbering"/>
        <w:tabs>
          <w:tab w:val="num" w:pos="720"/>
        </w:tabs>
        <w:rPr>
          <w:lang w:val="en-GB"/>
        </w:rPr>
      </w:pPr>
      <w:r w:rsidRPr="00036F6D">
        <w:rPr>
          <w:lang w:val="en-GB"/>
        </w:rPr>
        <w:t>In that context, and taken together, it is reasonably possible that the conduct alleged, if established, was bullying and intimidatory</w:t>
      </w:r>
      <w:r w:rsidR="00E460FC">
        <w:rPr>
          <w:lang w:val="en-GB"/>
        </w:rPr>
        <w:t xml:space="preserve">.  </w:t>
      </w:r>
      <w:r w:rsidRPr="00036F6D">
        <w:rPr>
          <w:lang w:val="en-GB"/>
        </w:rPr>
        <w:t>And having been repeated, it may thus be the conduct of a bully</w:t>
      </w:r>
      <w:r w:rsidR="00E460FC">
        <w:rPr>
          <w:lang w:val="en-GB"/>
        </w:rPr>
        <w:t xml:space="preserve">.  </w:t>
      </w:r>
      <w:r w:rsidRPr="00036F6D">
        <w:rPr>
          <w:lang w:val="en-GB"/>
        </w:rPr>
        <w:t xml:space="preserve">It would further follow, if that conclusion were to be reached at trial, that it would be reasonably possible for that conduct, as conduct of the head of the School of Education, to be found to have created or fostered a toxic workplace culture of bullying and fear within the </w:t>
      </w:r>
      <w:proofErr w:type="gramStart"/>
      <w:r w:rsidRPr="00036F6D">
        <w:rPr>
          <w:lang w:val="en-GB"/>
        </w:rPr>
        <w:t>School</w:t>
      </w:r>
      <w:proofErr w:type="gramEnd"/>
      <w:r w:rsidR="002E5330">
        <w:rPr>
          <w:lang w:val="en-GB"/>
        </w:rPr>
        <w:t>.</w:t>
      </w:r>
    </w:p>
    <w:p w14:paraId="21666478" w14:textId="4801FB62" w:rsidR="00301E46" w:rsidRPr="00036F6D" w:rsidRDefault="00301E46" w:rsidP="00301E46">
      <w:pPr>
        <w:pStyle w:val="ParaNumbering"/>
        <w:tabs>
          <w:tab w:val="num" w:pos="720"/>
        </w:tabs>
        <w:rPr>
          <w:lang w:val="en-GB"/>
        </w:rPr>
      </w:pPr>
      <w:r w:rsidRPr="00036F6D">
        <w:rPr>
          <w:lang w:val="en-GB"/>
        </w:rPr>
        <w:t xml:space="preserve">I therefore accept (with hesitation) that the </w:t>
      </w:r>
      <w:r>
        <w:rPr>
          <w:lang w:val="en-GB"/>
        </w:rPr>
        <w:t>Schedule</w:t>
      </w:r>
      <w:r w:rsidRPr="00036F6D">
        <w:rPr>
          <w:lang w:val="en-GB"/>
        </w:rPr>
        <w:t xml:space="preserve"> discloses a reasonable case as to the substantial truth of the imputations pleaded at paragraphs 7.1, 7.2 and 7.4 of the statement of claim</w:t>
      </w:r>
      <w:r w:rsidR="00E460FC">
        <w:rPr>
          <w:lang w:val="en-GB"/>
        </w:rPr>
        <w:t xml:space="preserve">.  </w:t>
      </w:r>
      <w:r w:rsidRPr="00036F6D">
        <w:rPr>
          <w:lang w:val="en-GB"/>
        </w:rPr>
        <w:t>The particulars do not fall so far short</w:t>
      </w:r>
      <w:r w:rsidR="00DA372D">
        <w:rPr>
          <w:lang w:val="en-GB"/>
        </w:rPr>
        <w:t xml:space="preserve"> </w:t>
      </w:r>
      <w:r w:rsidRPr="00036F6D">
        <w:rPr>
          <w:lang w:val="en-GB"/>
        </w:rPr>
        <w:t>of being capable of supporting the truth of those imputations that it is justified to refuse leave to rely on them.</w:t>
      </w:r>
    </w:p>
    <w:p w14:paraId="70290B3C" w14:textId="4D0F39F5" w:rsidR="00301E46" w:rsidRPr="005748F5" w:rsidRDefault="00301E46" w:rsidP="00301E46">
      <w:pPr>
        <w:pStyle w:val="ParaNumbering"/>
        <w:tabs>
          <w:tab w:val="num" w:pos="720"/>
        </w:tabs>
        <w:rPr>
          <w:lang w:val="en-GB"/>
        </w:rPr>
      </w:pPr>
      <w:r>
        <w:rPr>
          <w:lang w:val="en-GB"/>
        </w:rPr>
        <w:t xml:space="preserve">That reasoning also explains why I conclude that </w:t>
      </w:r>
      <w:r w:rsidRPr="00A50B86">
        <w:rPr>
          <w:i/>
          <w:iCs/>
          <w:lang w:val="en-GB"/>
        </w:rPr>
        <w:t>some</w:t>
      </w:r>
      <w:r>
        <w:rPr>
          <w:lang w:val="en-GB"/>
        </w:rPr>
        <w:t xml:space="preserve"> of the allegations disclose a reasonable defence</w:t>
      </w:r>
      <w:r w:rsidR="00E460FC">
        <w:rPr>
          <w:lang w:val="en-GB"/>
        </w:rPr>
        <w:t xml:space="preserve">.  </w:t>
      </w:r>
      <w:r>
        <w:rPr>
          <w:lang w:val="en-GB"/>
        </w:rPr>
        <w:t xml:space="preserve">The </w:t>
      </w:r>
      <w:r w:rsidRPr="00A50B86">
        <w:rPr>
          <w:lang w:val="en-GB"/>
        </w:rPr>
        <w:t>conduct</w:t>
      </w:r>
      <w:r>
        <w:rPr>
          <w:lang w:val="en-GB"/>
        </w:rPr>
        <w:t xml:space="preserve"> actually attributed to </w:t>
      </w:r>
      <w:r w:rsidR="002E5330">
        <w:rPr>
          <w:lang w:val="en-GB"/>
        </w:rPr>
        <w:t>Professor </w:t>
      </w:r>
      <w:r w:rsidRPr="00A50B86">
        <w:rPr>
          <w:lang w:val="en-GB"/>
        </w:rPr>
        <w:t>Winn</w:t>
      </w:r>
      <w:r>
        <w:rPr>
          <w:lang w:val="en-GB"/>
        </w:rPr>
        <w:t xml:space="preserve"> that may rise to that level is the </w:t>
      </w:r>
      <w:r w:rsidRPr="00A50B86">
        <w:rPr>
          <w:lang w:val="en-GB"/>
        </w:rPr>
        <w:t>conduct</w:t>
      </w:r>
      <w:r>
        <w:rPr>
          <w:lang w:val="en-GB"/>
        </w:rPr>
        <w:t xml:space="preserve"> summarised at </w:t>
      </w:r>
      <w:r>
        <w:rPr>
          <w:lang w:val="en-GB"/>
        </w:rPr>
        <w:fldChar w:fldCharType="begin"/>
      </w:r>
      <w:r>
        <w:rPr>
          <w:lang w:val="en-GB"/>
        </w:rPr>
        <w:instrText xml:space="preserve"> REF _Ref163134635 \r \h </w:instrText>
      </w:r>
      <w:r>
        <w:rPr>
          <w:lang w:val="en-GB"/>
        </w:rPr>
      </w:r>
      <w:r>
        <w:rPr>
          <w:lang w:val="en-GB"/>
        </w:rPr>
        <w:fldChar w:fldCharType="separate"/>
      </w:r>
      <w:r w:rsidR="005662B4">
        <w:rPr>
          <w:lang w:val="en-GB"/>
        </w:rPr>
        <w:t>(2)</w:t>
      </w:r>
      <w:r>
        <w:rPr>
          <w:lang w:val="en-GB"/>
        </w:rPr>
        <w:fldChar w:fldCharType="end"/>
      </w:r>
      <w:r>
        <w:rPr>
          <w:lang w:val="en-GB"/>
        </w:rPr>
        <w:t xml:space="preserve">, </w:t>
      </w:r>
      <w:r>
        <w:rPr>
          <w:lang w:val="en-GB"/>
        </w:rPr>
        <w:fldChar w:fldCharType="begin"/>
      </w:r>
      <w:r>
        <w:rPr>
          <w:lang w:val="en-GB"/>
        </w:rPr>
        <w:instrText xml:space="preserve"> REF _Ref163134636 \r \h </w:instrText>
      </w:r>
      <w:r>
        <w:rPr>
          <w:lang w:val="en-GB"/>
        </w:rPr>
      </w:r>
      <w:r>
        <w:rPr>
          <w:lang w:val="en-GB"/>
        </w:rPr>
        <w:fldChar w:fldCharType="separate"/>
      </w:r>
      <w:r w:rsidR="005662B4">
        <w:rPr>
          <w:lang w:val="en-GB"/>
        </w:rPr>
        <w:t>(3)</w:t>
      </w:r>
      <w:r>
        <w:rPr>
          <w:lang w:val="en-GB"/>
        </w:rPr>
        <w:fldChar w:fldCharType="end"/>
      </w:r>
      <w:r>
        <w:rPr>
          <w:lang w:val="en-GB"/>
        </w:rPr>
        <w:t xml:space="preserve">, </w:t>
      </w:r>
      <w:r>
        <w:rPr>
          <w:lang w:val="en-GB"/>
        </w:rPr>
        <w:fldChar w:fldCharType="begin"/>
      </w:r>
      <w:r>
        <w:rPr>
          <w:lang w:val="en-GB"/>
        </w:rPr>
        <w:instrText xml:space="preserve"> REF _Ref163134638 \r \h </w:instrText>
      </w:r>
      <w:r>
        <w:rPr>
          <w:lang w:val="en-GB"/>
        </w:rPr>
      </w:r>
      <w:r>
        <w:rPr>
          <w:lang w:val="en-GB"/>
        </w:rPr>
        <w:fldChar w:fldCharType="separate"/>
      </w:r>
      <w:r w:rsidR="005662B4">
        <w:rPr>
          <w:lang w:val="en-GB"/>
        </w:rPr>
        <w:t>(4)</w:t>
      </w:r>
      <w:r>
        <w:rPr>
          <w:lang w:val="en-GB"/>
        </w:rPr>
        <w:fldChar w:fldCharType="end"/>
      </w:r>
      <w:r>
        <w:rPr>
          <w:lang w:val="en-GB"/>
        </w:rPr>
        <w:t xml:space="preserve"> (concerning the refusal to permit </w:t>
      </w:r>
      <w:r w:rsidR="000B633E">
        <w:rPr>
          <w:lang w:val="en-GB"/>
        </w:rPr>
        <w:t>Dr </w:t>
      </w:r>
      <w:r>
        <w:rPr>
          <w:lang w:val="en-GB"/>
        </w:rPr>
        <w:t xml:space="preserve">Prout to tutor) and </w:t>
      </w:r>
      <w:r>
        <w:rPr>
          <w:lang w:val="en-GB"/>
        </w:rPr>
        <w:fldChar w:fldCharType="begin"/>
      </w:r>
      <w:r>
        <w:rPr>
          <w:lang w:val="en-GB"/>
        </w:rPr>
        <w:instrText xml:space="preserve"> REF _Ref163134639 \r \h </w:instrText>
      </w:r>
      <w:r>
        <w:rPr>
          <w:lang w:val="en-GB"/>
        </w:rPr>
      </w:r>
      <w:r>
        <w:rPr>
          <w:lang w:val="en-GB"/>
        </w:rPr>
        <w:fldChar w:fldCharType="separate"/>
      </w:r>
      <w:r w:rsidR="005662B4">
        <w:rPr>
          <w:lang w:val="en-GB"/>
        </w:rPr>
        <w:t>(6)</w:t>
      </w:r>
      <w:r>
        <w:rPr>
          <w:lang w:val="en-GB"/>
        </w:rPr>
        <w:fldChar w:fldCharType="end"/>
      </w:r>
      <w:r w:rsidR="00231313">
        <w:rPr>
          <w:lang w:val="en-GB"/>
        </w:rPr>
        <w:t> </w:t>
      </w:r>
      <w:r>
        <w:rPr>
          <w:lang w:val="en-GB"/>
        </w:rPr>
        <w:t>above</w:t>
      </w:r>
      <w:r w:rsidR="00E460FC">
        <w:rPr>
          <w:lang w:val="en-GB"/>
        </w:rPr>
        <w:t xml:space="preserve">.  </w:t>
      </w:r>
      <w:r>
        <w:rPr>
          <w:lang w:val="en-GB"/>
        </w:rPr>
        <w:t>It is impossible to see how the other matters alleged, if proven, would show the substantial truth of strong imputations of bullying and intimidation</w:t>
      </w:r>
      <w:r w:rsidR="00E460FC">
        <w:rPr>
          <w:lang w:val="en-GB"/>
        </w:rPr>
        <w:t xml:space="preserve">.  </w:t>
      </w:r>
      <w:r w:rsidRPr="005748F5">
        <w:rPr>
          <w:lang w:val="en-GB"/>
        </w:rPr>
        <w:t>Whether they may nevertheless stay in the particulars as necessary background will be considered below</w:t>
      </w:r>
      <w:r w:rsidR="002E5330">
        <w:rPr>
          <w:lang w:val="en-GB"/>
        </w:rPr>
        <w:t>.</w:t>
      </w:r>
    </w:p>
    <w:p w14:paraId="71A0ED1D" w14:textId="0B8CA337" w:rsidR="00301E46" w:rsidRPr="00EF4893" w:rsidRDefault="00301E46" w:rsidP="00301E46">
      <w:pPr>
        <w:pStyle w:val="ParaNumbering"/>
        <w:tabs>
          <w:tab w:val="num" w:pos="720"/>
        </w:tabs>
        <w:rPr>
          <w:lang w:val="en-GB"/>
        </w:rPr>
      </w:pPr>
      <w:r w:rsidRPr="00EF4893">
        <w:rPr>
          <w:lang w:val="en-GB"/>
        </w:rPr>
        <w:t xml:space="preserve">Also, I have said that the particulars </w:t>
      </w:r>
      <w:proofErr w:type="gramStart"/>
      <w:r w:rsidRPr="00EF4893">
        <w:rPr>
          <w:lang w:val="en-GB"/>
        </w:rPr>
        <w:t>are capable of establishing</w:t>
      </w:r>
      <w:proofErr w:type="gramEnd"/>
      <w:r w:rsidRPr="00EF4893">
        <w:rPr>
          <w:lang w:val="en-GB"/>
        </w:rPr>
        <w:t xml:space="preserve"> some of the imputations, and I</w:t>
      </w:r>
      <w:r w:rsidR="00B46BCF">
        <w:rPr>
          <w:lang w:val="en-GB"/>
        </w:rPr>
        <w:t> </w:t>
      </w:r>
      <w:r w:rsidRPr="00EF4893">
        <w:rPr>
          <w:lang w:val="en-GB"/>
        </w:rPr>
        <w:t>have not said that is so in relation to the imputation at paragraph 7.3 of the statement of claim</w:t>
      </w:r>
      <w:r w:rsidR="00E460FC">
        <w:rPr>
          <w:lang w:val="en-GB"/>
        </w:rPr>
        <w:t xml:space="preserve">.  </w:t>
      </w:r>
      <w:r w:rsidRPr="00EF4893">
        <w:rPr>
          <w:lang w:val="en-GB"/>
        </w:rPr>
        <w:t xml:space="preserve">It will be recalled that this imputation is that </w:t>
      </w:r>
      <w:r w:rsidR="002E5330">
        <w:rPr>
          <w:lang w:val="en-GB"/>
        </w:rPr>
        <w:t>Professor </w:t>
      </w:r>
      <w:r w:rsidRPr="00EF4893">
        <w:rPr>
          <w:lang w:val="en-GB"/>
        </w:rPr>
        <w:t>Winn 'bullied, intimidated and gaslit staff under his supervision and management causing staff to feel panicked, anxious, humiliated and afraid'</w:t>
      </w:r>
      <w:r w:rsidR="00E460FC">
        <w:rPr>
          <w:lang w:val="en-GB"/>
        </w:rPr>
        <w:t xml:space="preserve">.  </w:t>
      </w:r>
      <w:proofErr w:type="gramStart"/>
      <w:r w:rsidRPr="00EF4893">
        <w:rPr>
          <w:lang w:val="en-GB"/>
        </w:rPr>
        <w:t>So</w:t>
      </w:r>
      <w:proofErr w:type="gramEnd"/>
      <w:r w:rsidRPr="00EF4893">
        <w:rPr>
          <w:lang w:val="en-GB"/>
        </w:rPr>
        <w:t xml:space="preserve"> while the allegations of bullying and intimidation of staff are repetitive of some of the other imputations, this paragraph goes further</w:t>
      </w:r>
      <w:r>
        <w:rPr>
          <w:lang w:val="en-GB"/>
        </w:rPr>
        <w:t>,</w:t>
      </w:r>
      <w:r w:rsidRPr="00EF4893">
        <w:rPr>
          <w:lang w:val="en-GB"/>
        </w:rPr>
        <w:t xml:space="preserve"> to refer to the effect of the conduct as causing staff to feel panicked, anxious, humiliated and afraid</w:t>
      </w:r>
      <w:r w:rsidR="00E460FC">
        <w:rPr>
          <w:lang w:val="en-GB"/>
        </w:rPr>
        <w:t xml:space="preserve">.  </w:t>
      </w:r>
      <w:r w:rsidRPr="00EF4893">
        <w:rPr>
          <w:lang w:val="en-GB"/>
        </w:rPr>
        <w:t>It also refers to gaslighting</w:t>
      </w:r>
      <w:r w:rsidR="002E5330">
        <w:rPr>
          <w:lang w:val="en-GB"/>
        </w:rPr>
        <w:t>.</w:t>
      </w:r>
    </w:p>
    <w:p w14:paraId="45B5562A" w14:textId="11B8915E" w:rsidR="00301E46" w:rsidRDefault="00301E46" w:rsidP="00301E46">
      <w:pPr>
        <w:pStyle w:val="ParaNumbering"/>
        <w:tabs>
          <w:tab w:val="num" w:pos="720"/>
        </w:tabs>
        <w:rPr>
          <w:lang w:val="en-GB"/>
        </w:rPr>
      </w:pPr>
      <w:r>
        <w:rPr>
          <w:lang w:val="en-GB"/>
        </w:rPr>
        <w:t>As to the effect of the conduct on staff, there are allegations that the investigation into the honorarium</w:t>
      </w:r>
      <w:r w:rsidR="00E02D0C">
        <w:rPr>
          <w:lang w:val="en-GB"/>
        </w:rPr>
        <w:t>,</w:t>
      </w:r>
      <w:r>
        <w:rPr>
          <w:lang w:val="en-GB"/>
        </w:rPr>
        <w:t xml:space="preserve"> and the letter received after it</w:t>
      </w:r>
      <w:r w:rsidR="00E02D0C">
        <w:rPr>
          <w:lang w:val="en-GB"/>
        </w:rPr>
        <w:t>,</w:t>
      </w:r>
      <w:r>
        <w:rPr>
          <w:lang w:val="en-GB"/>
        </w:rPr>
        <w:t xml:space="preserve"> caused </w:t>
      </w:r>
      <w:r w:rsidR="000B633E">
        <w:rPr>
          <w:lang w:val="en-GB"/>
        </w:rPr>
        <w:t>Dr </w:t>
      </w:r>
      <w:r>
        <w:rPr>
          <w:lang w:val="en-GB"/>
        </w:rPr>
        <w:t>Lowe to be intimidated and afraid that he could lose his job (which amounts to anxiety) and caused him to panic</w:t>
      </w:r>
      <w:r w:rsidR="00E460FC">
        <w:rPr>
          <w:lang w:val="en-GB"/>
        </w:rPr>
        <w:t xml:space="preserve">.  </w:t>
      </w:r>
      <w:r>
        <w:rPr>
          <w:lang w:val="en-GB"/>
        </w:rPr>
        <w:t xml:space="preserve">There is an allegation that </w:t>
      </w:r>
      <w:r w:rsidR="000B633E">
        <w:rPr>
          <w:lang w:val="en-GB"/>
        </w:rPr>
        <w:t>Dr </w:t>
      </w:r>
      <w:r>
        <w:rPr>
          <w:lang w:val="en-GB"/>
        </w:rPr>
        <w:t xml:space="preserve">Allen felt humiliated by </w:t>
      </w:r>
      <w:r w:rsidR="002E5330">
        <w:rPr>
          <w:lang w:val="en-GB"/>
        </w:rPr>
        <w:t>Professor </w:t>
      </w:r>
      <w:r>
        <w:rPr>
          <w:lang w:val="en-GB"/>
        </w:rPr>
        <w:t>Winn's conduct</w:t>
      </w:r>
      <w:r w:rsidR="002E5330">
        <w:rPr>
          <w:lang w:val="en-GB"/>
        </w:rPr>
        <w:t>.</w:t>
      </w:r>
    </w:p>
    <w:p w14:paraId="69083C22" w14:textId="77777777" w:rsidR="00844CBA" w:rsidRDefault="00301E46" w:rsidP="00301E46">
      <w:pPr>
        <w:pStyle w:val="ParaNumbering"/>
        <w:tabs>
          <w:tab w:val="num" w:pos="720"/>
        </w:tabs>
        <w:rPr>
          <w:lang w:val="en-GB"/>
        </w:rPr>
      </w:pPr>
      <w:r>
        <w:rPr>
          <w:lang w:val="en-GB"/>
        </w:rPr>
        <w:lastRenderedPageBreak/>
        <w:t>But as for gaslighting, senior counsel for the respondents accepted as a reasonable (minimum) definition of gaslighting, 'behaving towards somebody in a way that causes them to doubt the truth of their perceptions'</w:t>
      </w:r>
      <w:r w:rsidR="002E5330">
        <w:rPr>
          <w:lang w:val="en-GB"/>
        </w:rPr>
        <w:t xml:space="preserve">:  </w:t>
      </w:r>
      <w:r>
        <w:rPr>
          <w:lang w:val="en-GB"/>
        </w:rPr>
        <w:t xml:space="preserve">see </w:t>
      </w:r>
      <w:r w:rsidR="009322EC">
        <w:rPr>
          <w:lang w:val="en-GB"/>
        </w:rPr>
        <w:t>e.g</w:t>
      </w:r>
      <w:r w:rsidR="00E460FC">
        <w:rPr>
          <w:lang w:val="en-GB"/>
        </w:rPr>
        <w:t xml:space="preserve">. </w:t>
      </w:r>
      <w:r w:rsidRPr="00A97497">
        <w:rPr>
          <w:i/>
          <w:iCs/>
          <w:lang w:val="en-GB"/>
        </w:rPr>
        <w:t>Macquarie Dictionary</w:t>
      </w:r>
      <w:r>
        <w:rPr>
          <w:lang w:val="en-GB"/>
        </w:rPr>
        <w:t xml:space="preserve"> </w:t>
      </w:r>
      <w:r w:rsidR="009322EC">
        <w:rPr>
          <w:lang w:val="en-GB"/>
        </w:rPr>
        <w:t>(9</w:t>
      </w:r>
      <w:r w:rsidR="009322EC" w:rsidRPr="00231313">
        <w:rPr>
          <w:lang w:val="en-GB"/>
        </w:rPr>
        <w:t xml:space="preserve">th </w:t>
      </w:r>
      <w:r w:rsidR="009322EC">
        <w:rPr>
          <w:lang w:val="en-GB"/>
        </w:rPr>
        <w:t>ed)</w:t>
      </w:r>
      <w:r w:rsidR="00994E99">
        <w:rPr>
          <w:lang w:val="en-GB"/>
        </w:rPr>
        <w:t xml:space="preserve"> 'gaslight'</w:t>
      </w:r>
      <w:r w:rsidR="00E460FC">
        <w:rPr>
          <w:lang w:val="en-GB"/>
        </w:rPr>
        <w:t>.</w:t>
      </w:r>
    </w:p>
    <w:p w14:paraId="58B760FF" w14:textId="4FBD236C" w:rsidR="00301E46" w:rsidRDefault="00301E46" w:rsidP="00301E46">
      <w:pPr>
        <w:pStyle w:val="ParaNumbering"/>
        <w:tabs>
          <w:tab w:val="num" w:pos="720"/>
        </w:tabs>
        <w:rPr>
          <w:lang w:val="en-GB"/>
        </w:rPr>
      </w:pPr>
      <w:r>
        <w:rPr>
          <w:lang w:val="en-GB"/>
        </w:rPr>
        <w:t>That kind of behaviour does not appear in the Schedule</w:t>
      </w:r>
      <w:r w:rsidR="00E460FC">
        <w:rPr>
          <w:lang w:val="en-GB"/>
        </w:rPr>
        <w:t xml:space="preserve">.  </w:t>
      </w:r>
      <w:r>
        <w:rPr>
          <w:lang w:val="en-GB"/>
        </w:rPr>
        <w:t xml:space="preserve">Senior counsel submitted that it can be seen in the allegations concerning </w:t>
      </w:r>
      <w:r w:rsidR="000B633E">
        <w:rPr>
          <w:lang w:val="en-GB"/>
        </w:rPr>
        <w:t>Dr </w:t>
      </w:r>
      <w:r>
        <w:rPr>
          <w:lang w:val="en-GB"/>
        </w:rPr>
        <w:t xml:space="preserve">Lowe, in that </w:t>
      </w:r>
      <w:r w:rsidR="000B633E">
        <w:rPr>
          <w:lang w:val="en-GB"/>
        </w:rPr>
        <w:t>Dr </w:t>
      </w:r>
      <w:r w:rsidRPr="00A97497">
        <w:rPr>
          <w:lang w:val="en-GB"/>
        </w:rPr>
        <w:t xml:space="preserve">Lowe </w:t>
      </w:r>
      <w:r>
        <w:rPr>
          <w:lang w:val="en-GB"/>
        </w:rPr>
        <w:t>was</w:t>
      </w:r>
      <w:r w:rsidRPr="00A97497">
        <w:rPr>
          <w:lang w:val="en-GB"/>
        </w:rPr>
        <w:t xml:space="preserve"> made to doubt or to second-guess the morality of his conduct with respect to the honorarium</w:t>
      </w:r>
      <w:r w:rsidR="00E460FC">
        <w:rPr>
          <w:lang w:val="en-GB"/>
        </w:rPr>
        <w:t xml:space="preserve">.  </w:t>
      </w:r>
      <w:r>
        <w:rPr>
          <w:lang w:val="en-GB"/>
        </w:rPr>
        <w:t>But there is no suggestion in the Schedule that the investigation into the honorarium had that effect or that purpose; to say that it did is conjecture</w:t>
      </w:r>
      <w:r w:rsidR="00E460FC">
        <w:rPr>
          <w:lang w:val="en-GB"/>
        </w:rPr>
        <w:t xml:space="preserve">.  </w:t>
      </w:r>
      <w:r>
        <w:rPr>
          <w:lang w:val="en-GB"/>
        </w:rPr>
        <w:t>And even if there was</w:t>
      </w:r>
      <w:r w:rsidR="00096463">
        <w:rPr>
          <w:lang w:val="en-GB"/>
        </w:rPr>
        <w:t xml:space="preserve"> such a suggestion</w:t>
      </w:r>
      <w:r>
        <w:rPr>
          <w:lang w:val="en-GB"/>
        </w:rPr>
        <w:t xml:space="preserve">, the actual conduct alleged only amounts to challenging and criticising </w:t>
      </w:r>
      <w:r w:rsidR="000B633E">
        <w:rPr>
          <w:lang w:val="en-GB"/>
        </w:rPr>
        <w:t>Dr </w:t>
      </w:r>
      <w:r>
        <w:rPr>
          <w:lang w:val="en-GB"/>
        </w:rPr>
        <w:t>Lowe's integrity</w:t>
      </w:r>
      <w:r w:rsidR="00E460FC">
        <w:rPr>
          <w:lang w:val="en-GB"/>
        </w:rPr>
        <w:t xml:space="preserve">.  </w:t>
      </w:r>
      <w:r>
        <w:rPr>
          <w:lang w:val="en-GB"/>
        </w:rPr>
        <w:t>As upsetting as that might be, without more it does not amount to gaslighting</w:t>
      </w:r>
      <w:r w:rsidR="00E460FC">
        <w:rPr>
          <w:lang w:val="en-GB"/>
        </w:rPr>
        <w:t xml:space="preserve">.  </w:t>
      </w:r>
      <w:r w:rsidR="00192CD1">
        <w:rPr>
          <w:lang w:val="en-GB"/>
        </w:rPr>
        <w:t xml:space="preserve">For similar reasons, I do not accept that the allegations about </w:t>
      </w:r>
      <w:r w:rsidR="00192CD1" w:rsidRPr="00192CD1">
        <w:rPr>
          <w:lang w:val="en-GB"/>
        </w:rPr>
        <w:t>Professor Winn</w:t>
      </w:r>
      <w:r w:rsidR="00192CD1">
        <w:rPr>
          <w:lang w:val="en-GB"/>
        </w:rPr>
        <w:t xml:space="preserve">'s conduct in </w:t>
      </w:r>
      <w:r w:rsidR="00192CD1" w:rsidRPr="00192CD1">
        <w:rPr>
          <w:lang w:val="en-GB"/>
        </w:rPr>
        <w:t>relation</w:t>
      </w:r>
      <w:r w:rsidR="00192CD1">
        <w:rPr>
          <w:lang w:val="en-GB"/>
        </w:rPr>
        <w:t xml:space="preserve"> to the DFAT funding could amount to gaslighting.</w:t>
      </w:r>
    </w:p>
    <w:p w14:paraId="0E110B61" w14:textId="0B92425B" w:rsidR="00301E46" w:rsidRDefault="00301E46" w:rsidP="00301E46">
      <w:pPr>
        <w:pStyle w:val="ParaNumbering"/>
        <w:tabs>
          <w:tab w:val="num" w:pos="720"/>
        </w:tabs>
        <w:rPr>
          <w:lang w:val="en-GB"/>
        </w:rPr>
      </w:pPr>
      <w:r>
        <w:rPr>
          <w:lang w:val="en-GB"/>
        </w:rPr>
        <w:t>The conclusory assertions throughout the Schedule that the alleged conduct was gaslighting therefore have no foundation</w:t>
      </w:r>
      <w:r w:rsidR="00E460FC">
        <w:rPr>
          <w:lang w:val="en-GB"/>
        </w:rPr>
        <w:t xml:space="preserve">.  </w:t>
      </w:r>
      <w:r>
        <w:rPr>
          <w:lang w:val="en-GB"/>
        </w:rPr>
        <w:t>Leave to rely on them, that is, leave to rely on paragraphs 33, 51, 57A and 74A</w:t>
      </w:r>
      <w:r w:rsidR="0044047E">
        <w:rPr>
          <w:lang w:val="en-GB"/>
        </w:rPr>
        <w:t xml:space="preserve"> of the Schedule</w:t>
      </w:r>
      <w:r>
        <w:rPr>
          <w:lang w:val="en-GB"/>
        </w:rPr>
        <w:t>, will not be granted</w:t>
      </w:r>
      <w:r w:rsidR="00E460FC">
        <w:rPr>
          <w:lang w:val="en-GB"/>
        </w:rPr>
        <w:t xml:space="preserve">.  </w:t>
      </w:r>
      <w:r>
        <w:rPr>
          <w:lang w:val="en-GB"/>
        </w:rPr>
        <w:t xml:space="preserve">It was common ground that in that circumstance, and subject to resolution of </w:t>
      </w:r>
      <w:r w:rsidR="002E5330">
        <w:rPr>
          <w:lang w:val="en-GB"/>
        </w:rPr>
        <w:t>Professor </w:t>
      </w:r>
      <w:r w:rsidRPr="00D2481E">
        <w:rPr>
          <w:lang w:val="en-GB"/>
        </w:rPr>
        <w:t>Winn</w:t>
      </w:r>
      <w:r>
        <w:rPr>
          <w:lang w:val="en-GB"/>
        </w:rPr>
        <w:t>'s further objections, there should be leave to replead</w:t>
      </w:r>
      <w:r w:rsidR="002E5330">
        <w:rPr>
          <w:lang w:val="en-GB"/>
        </w:rPr>
        <w:t>.</w:t>
      </w:r>
    </w:p>
    <w:p w14:paraId="3EEE3B91" w14:textId="2B9902D9" w:rsidR="00301E46" w:rsidRPr="001A55CC" w:rsidRDefault="00301E46" w:rsidP="00301E46">
      <w:pPr>
        <w:pStyle w:val="ParaNumbering"/>
        <w:tabs>
          <w:tab w:val="num" w:pos="720"/>
        </w:tabs>
        <w:rPr>
          <w:lang w:val="en-GB"/>
        </w:rPr>
      </w:pPr>
      <w:r w:rsidRPr="001A55CC">
        <w:rPr>
          <w:lang w:val="en-GB"/>
        </w:rPr>
        <w:t xml:space="preserve">Before moving on from this </w:t>
      </w:r>
      <w:r>
        <w:rPr>
          <w:lang w:val="en-GB"/>
        </w:rPr>
        <w:t>overview,</w:t>
      </w:r>
      <w:r w:rsidRPr="001A55CC">
        <w:rPr>
          <w:lang w:val="en-GB"/>
        </w:rPr>
        <w:t xml:space="preserve"> it is necessary to address another thread to </w:t>
      </w:r>
      <w:r w:rsidR="002E5330">
        <w:rPr>
          <w:lang w:val="en-GB"/>
        </w:rPr>
        <w:t>Professor </w:t>
      </w:r>
      <w:r w:rsidRPr="001A55CC">
        <w:rPr>
          <w:lang w:val="en-GB"/>
        </w:rPr>
        <w:t xml:space="preserve">Winn's submissions, namely that the primary facts alleged do not support the </w:t>
      </w:r>
      <w:proofErr w:type="gramStart"/>
      <w:r w:rsidRPr="001A55CC">
        <w:rPr>
          <w:lang w:val="en-GB"/>
        </w:rPr>
        <w:t xml:space="preserve">pleas </w:t>
      </w:r>
      <w:r>
        <w:rPr>
          <w:lang w:val="en-GB"/>
        </w:rPr>
        <w:t xml:space="preserve"> </w:t>
      </w:r>
      <w:r w:rsidRPr="001A55CC">
        <w:rPr>
          <w:lang w:val="en-GB"/>
        </w:rPr>
        <w:t>that</w:t>
      </w:r>
      <w:proofErr w:type="gramEnd"/>
      <w:r w:rsidRPr="001A55CC">
        <w:rPr>
          <w:lang w:val="en-GB"/>
        </w:rPr>
        <w:t xml:space="preserve"> various conclusions can be inferred</w:t>
      </w:r>
      <w:r w:rsidR="00186C0F">
        <w:rPr>
          <w:lang w:val="en-GB"/>
        </w:rPr>
        <w:t xml:space="preserve"> (described above)</w:t>
      </w:r>
      <w:r w:rsidR="00E460FC">
        <w:rPr>
          <w:lang w:val="en-GB"/>
        </w:rPr>
        <w:t xml:space="preserve">.  </w:t>
      </w:r>
      <w:r w:rsidR="002E5330">
        <w:rPr>
          <w:lang w:val="en-GB"/>
        </w:rPr>
        <w:t>Professor </w:t>
      </w:r>
      <w:r w:rsidRPr="001A55CC">
        <w:rPr>
          <w:lang w:val="en-GB"/>
        </w:rPr>
        <w:t xml:space="preserve">Winn relied in that regard on the following observations of Spigelman CJ in </w:t>
      </w:r>
      <w:proofErr w:type="spellStart"/>
      <w:r w:rsidRPr="00FB237E">
        <w:rPr>
          <w:i/>
          <w:iCs/>
          <w:lang w:val="en-GB"/>
        </w:rPr>
        <w:t>Seltsam</w:t>
      </w:r>
      <w:proofErr w:type="spellEnd"/>
      <w:r w:rsidRPr="00FB237E">
        <w:rPr>
          <w:i/>
          <w:iCs/>
          <w:lang w:val="en-GB"/>
        </w:rPr>
        <w:t xml:space="preserve"> Pty Ltd v McGuiness</w:t>
      </w:r>
      <w:r w:rsidRPr="00FB237E">
        <w:rPr>
          <w:lang w:val="en-GB"/>
        </w:rPr>
        <w:t xml:space="preserve"> [2000] NSWCA 29; (2000) 49 NSWLR 262</w:t>
      </w:r>
      <w:r>
        <w:rPr>
          <w:lang w:val="en-GB"/>
        </w:rPr>
        <w:t xml:space="preserve"> </w:t>
      </w:r>
      <w:r w:rsidRPr="001A55CC">
        <w:rPr>
          <w:lang w:val="en-GB"/>
        </w:rPr>
        <w:t>at</w:t>
      </w:r>
      <w:r w:rsidR="00B46BCF">
        <w:rPr>
          <w:lang w:val="en-GB"/>
        </w:rPr>
        <w:t> </w:t>
      </w:r>
      <w:r w:rsidRPr="001A55CC">
        <w:rPr>
          <w:lang w:val="en-GB"/>
        </w:rPr>
        <w:t>[</w:t>
      </w:r>
      <w:proofErr w:type="gramStart"/>
      <w:r w:rsidRPr="001A55CC">
        <w:rPr>
          <w:lang w:val="en-GB"/>
        </w:rPr>
        <w:t>87]</w:t>
      </w:r>
      <w:r w:rsidR="00B46BCF">
        <w:rPr>
          <w:lang w:val="en-GB"/>
        </w:rPr>
        <w:noBreakHyphen/>
      </w:r>
      <w:proofErr w:type="gramEnd"/>
      <w:r w:rsidRPr="001A55CC">
        <w:rPr>
          <w:lang w:val="en-GB"/>
        </w:rPr>
        <w:t>[88]</w:t>
      </w:r>
      <w:r w:rsidR="002E5330">
        <w:rPr>
          <w:lang w:val="en-GB"/>
        </w:rPr>
        <w:t>:</w:t>
      </w:r>
    </w:p>
    <w:p w14:paraId="546FED69" w14:textId="323F0750" w:rsidR="00301E46" w:rsidRDefault="00301E46" w:rsidP="00301E46">
      <w:pPr>
        <w:pStyle w:val="Quote1"/>
        <w:rPr>
          <w:lang w:val="en-GB"/>
        </w:rPr>
      </w:pPr>
      <w:r w:rsidRPr="001A55CC">
        <w:rPr>
          <w:lang w:val="en-GB"/>
        </w:rPr>
        <w:t xml:space="preserve">As Lord Wright put it in a frequently cited passage in </w:t>
      </w:r>
      <w:r w:rsidRPr="001A55CC">
        <w:rPr>
          <w:i/>
          <w:iCs/>
          <w:lang w:val="en-GB"/>
        </w:rPr>
        <w:t xml:space="preserve">Caswell v Powell </w:t>
      </w:r>
      <w:proofErr w:type="spellStart"/>
      <w:r w:rsidRPr="001A55CC">
        <w:rPr>
          <w:i/>
          <w:iCs/>
          <w:lang w:val="en-GB"/>
        </w:rPr>
        <w:t>Duffryn</w:t>
      </w:r>
      <w:proofErr w:type="spellEnd"/>
      <w:r w:rsidRPr="001A55CC">
        <w:rPr>
          <w:i/>
          <w:iCs/>
          <w:lang w:val="en-GB"/>
        </w:rPr>
        <w:t xml:space="preserve"> Associated Collieries Ltd</w:t>
      </w:r>
      <w:r w:rsidRPr="001A55CC">
        <w:rPr>
          <w:lang w:val="en-GB"/>
        </w:rPr>
        <w:t xml:space="preserve"> [1940] AC 152 at 169-170</w:t>
      </w:r>
      <w:r w:rsidR="002E5330">
        <w:rPr>
          <w:lang w:val="en-GB"/>
        </w:rPr>
        <w:t>:</w:t>
      </w:r>
    </w:p>
    <w:p w14:paraId="64F3B6C6" w14:textId="156E9BC4" w:rsidR="00301E46" w:rsidRDefault="00301E46" w:rsidP="001C1DEF">
      <w:pPr>
        <w:pStyle w:val="Quote2"/>
        <w:ind w:left="1134"/>
        <w:rPr>
          <w:lang w:val="en-GB"/>
        </w:rPr>
      </w:pPr>
      <w:r w:rsidRPr="001A55CC">
        <w:rPr>
          <w:lang w:val="en-GB"/>
        </w:rPr>
        <w:t>Inference must be carefully distinguished from conjecture or speculation</w:t>
      </w:r>
      <w:r w:rsidR="00E460FC">
        <w:rPr>
          <w:lang w:val="en-GB"/>
        </w:rPr>
        <w:t xml:space="preserve">.  </w:t>
      </w:r>
      <w:r w:rsidRPr="001A55CC">
        <w:rPr>
          <w:lang w:val="en-GB"/>
        </w:rPr>
        <w:t>There can be no inference unless there are objective facts from which to infer the other facts which it is sought to establish</w:t>
      </w:r>
      <w:r w:rsidR="00E460FC">
        <w:rPr>
          <w:lang w:val="en-GB"/>
        </w:rPr>
        <w:t xml:space="preserve">.  </w:t>
      </w:r>
      <w:r w:rsidRPr="001A55CC">
        <w:rPr>
          <w:lang w:val="en-GB"/>
        </w:rPr>
        <w:t xml:space="preserve">In some case the other facts can be inferred with as much practical certainty as if they had been </w:t>
      </w:r>
      <w:proofErr w:type="gramStart"/>
      <w:r w:rsidRPr="001A55CC">
        <w:rPr>
          <w:lang w:val="en-GB"/>
        </w:rPr>
        <w:t>actually observed</w:t>
      </w:r>
      <w:proofErr w:type="gramEnd"/>
      <w:r w:rsidR="00E460FC">
        <w:rPr>
          <w:lang w:val="en-GB"/>
        </w:rPr>
        <w:t xml:space="preserve">.  </w:t>
      </w:r>
      <w:r w:rsidRPr="001A55CC">
        <w:rPr>
          <w:lang w:val="en-GB"/>
        </w:rPr>
        <w:t xml:space="preserve">In other </w:t>
      </w:r>
      <w:proofErr w:type="gramStart"/>
      <w:r w:rsidRPr="001A55CC">
        <w:rPr>
          <w:lang w:val="en-GB"/>
        </w:rPr>
        <w:t>cases</w:t>
      </w:r>
      <w:proofErr w:type="gramEnd"/>
      <w:r w:rsidRPr="001A55CC">
        <w:rPr>
          <w:lang w:val="en-GB"/>
        </w:rPr>
        <w:t xml:space="preserve"> the inference does not go beyond reasonable probability</w:t>
      </w:r>
      <w:r w:rsidR="00E460FC">
        <w:rPr>
          <w:lang w:val="en-GB"/>
        </w:rPr>
        <w:t xml:space="preserve">.  </w:t>
      </w:r>
      <w:r w:rsidRPr="001A55CC">
        <w:rPr>
          <w:lang w:val="en-GB"/>
        </w:rPr>
        <w:t>But if there are no positive proved facts from which the inference can be made, the method of inference fails and what is left is mere speculation or conjecture.</w:t>
      </w:r>
    </w:p>
    <w:p w14:paraId="74B7BDC4" w14:textId="201B0DCC" w:rsidR="00301E46" w:rsidRDefault="00301E46" w:rsidP="001C1DEF">
      <w:pPr>
        <w:pStyle w:val="Quote1"/>
        <w:spacing w:after="360"/>
        <w:rPr>
          <w:lang w:val="en-GB"/>
        </w:rPr>
      </w:pPr>
      <w:r w:rsidRPr="001A55CC">
        <w:rPr>
          <w:lang w:val="en-GB"/>
        </w:rPr>
        <w:t xml:space="preserve">The test is whether, </w:t>
      </w:r>
      <w:proofErr w:type="gramStart"/>
      <w:r w:rsidRPr="001A55CC">
        <w:rPr>
          <w:lang w:val="en-GB"/>
        </w:rPr>
        <w:t>on the basis of</w:t>
      </w:r>
      <w:proofErr w:type="gramEnd"/>
      <w:r w:rsidRPr="001A55CC">
        <w:rPr>
          <w:lang w:val="en-GB"/>
        </w:rPr>
        <w:t xml:space="preserve"> the primary facts, it is reasonable to draw the inference</w:t>
      </w:r>
      <w:r w:rsidR="002E5330">
        <w:rPr>
          <w:lang w:val="en-GB"/>
        </w:rPr>
        <w:t xml:space="preserve">:  </w:t>
      </w:r>
      <w:r w:rsidRPr="001A55CC">
        <w:rPr>
          <w:lang w:val="en-GB"/>
        </w:rPr>
        <w:t xml:space="preserve">see, e.g., </w:t>
      </w:r>
      <w:r w:rsidRPr="001A55CC">
        <w:rPr>
          <w:i/>
          <w:iCs/>
          <w:lang w:val="en-GB"/>
        </w:rPr>
        <w:t>Luxton v Vines</w:t>
      </w:r>
      <w:r w:rsidRPr="001A55CC">
        <w:rPr>
          <w:lang w:val="en-GB"/>
        </w:rPr>
        <w:t xml:space="preserve"> (1952) 85 CLR 352 at 358</w:t>
      </w:r>
      <w:r w:rsidR="002E5330">
        <w:rPr>
          <w:lang w:val="en-GB"/>
        </w:rPr>
        <w:t>.</w:t>
      </w:r>
    </w:p>
    <w:p w14:paraId="47F8015D" w14:textId="685507D9" w:rsidR="00301E46" w:rsidRDefault="00301E46" w:rsidP="00301E46">
      <w:pPr>
        <w:pStyle w:val="ParaNumbering"/>
        <w:tabs>
          <w:tab w:val="num" w:pos="720"/>
        </w:tabs>
        <w:rPr>
          <w:lang w:val="en-GB"/>
        </w:rPr>
      </w:pPr>
      <w:r>
        <w:rPr>
          <w:lang w:val="en-GB"/>
        </w:rPr>
        <w:lastRenderedPageBreak/>
        <w:t>However</w:t>
      </w:r>
      <w:r w:rsidR="00F12149">
        <w:rPr>
          <w:lang w:val="en-GB"/>
        </w:rPr>
        <w:t>,</w:t>
      </w:r>
      <w:r>
        <w:rPr>
          <w:lang w:val="en-GB"/>
        </w:rPr>
        <w:t xml:space="preserve"> Spigelman CJ and Lord Wright were describing the role of inference in fact finding based on evidence at trial</w:t>
      </w:r>
      <w:r w:rsidR="00E460FC">
        <w:rPr>
          <w:lang w:val="en-GB"/>
        </w:rPr>
        <w:t xml:space="preserve">.  </w:t>
      </w:r>
      <w:r>
        <w:rPr>
          <w:lang w:val="en-GB"/>
        </w:rPr>
        <w:t xml:space="preserve">While of course the difference between inference on the one hand, and conjecture and speculation on the other must be observed, I accept the submission of senior counsel for the respondents that in the present context the question comes down to that articulated by </w:t>
      </w:r>
      <w:proofErr w:type="spellStart"/>
      <w:r>
        <w:rPr>
          <w:lang w:val="en-GB"/>
        </w:rPr>
        <w:t>Wigney</w:t>
      </w:r>
      <w:proofErr w:type="spellEnd"/>
      <w:r>
        <w:rPr>
          <w:lang w:val="en-GB"/>
        </w:rPr>
        <w:t xml:space="preserve"> J in </w:t>
      </w:r>
      <w:r w:rsidRPr="00C3440C">
        <w:rPr>
          <w:i/>
          <w:iCs/>
          <w:lang w:val="en-GB"/>
        </w:rPr>
        <w:t>Rush</w:t>
      </w:r>
      <w:r w:rsidR="002E5330">
        <w:rPr>
          <w:lang w:val="en-GB"/>
        </w:rPr>
        <w:t xml:space="preserve">:  </w:t>
      </w:r>
      <w:r w:rsidRPr="00985333">
        <w:rPr>
          <w:lang w:val="en-GB"/>
        </w:rPr>
        <w:t>whether the facts alleged</w:t>
      </w:r>
      <w:r w:rsidR="00A61179">
        <w:rPr>
          <w:lang w:val="en-GB"/>
        </w:rPr>
        <w:t>, at their highest,</w:t>
      </w:r>
      <w:r w:rsidRPr="00985333">
        <w:rPr>
          <w:lang w:val="en-GB"/>
        </w:rPr>
        <w:t xml:space="preserve"> are capable of proving (by inference or otherwise) the truth of the def</w:t>
      </w:r>
      <w:r>
        <w:rPr>
          <w:lang w:val="en-GB"/>
        </w:rPr>
        <w:t>amatory meaning sought to be justified</w:t>
      </w:r>
      <w:r w:rsidR="00E460FC">
        <w:rPr>
          <w:lang w:val="en-GB"/>
        </w:rPr>
        <w:t xml:space="preserve">.  </w:t>
      </w:r>
      <w:r>
        <w:rPr>
          <w:lang w:val="en-GB"/>
        </w:rPr>
        <w:t>For the reasons given, I consider that here they are (save in respect of gaslighting)</w:t>
      </w:r>
      <w:r w:rsidR="002E5330">
        <w:rPr>
          <w:lang w:val="en-GB"/>
        </w:rPr>
        <w:t>.</w:t>
      </w:r>
    </w:p>
    <w:p w14:paraId="10591BB0" w14:textId="627C2A76" w:rsidR="00301E46" w:rsidRDefault="00301E46" w:rsidP="00301E46">
      <w:pPr>
        <w:pStyle w:val="ParaNumbering"/>
        <w:tabs>
          <w:tab w:val="num" w:pos="720"/>
        </w:tabs>
        <w:rPr>
          <w:lang w:val="en-GB"/>
        </w:rPr>
      </w:pPr>
      <w:r>
        <w:rPr>
          <w:lang w:val="en-GB"/>
        </w:rPr>
        <w:t xml:space="preserve">The correct approach to assessing inference in the present context is, with respect, reflected in the following observations of Rares J in </w:t>
      </w:r>
      <w:r w:rsidRPr="00985333">
        <w:rPr>
          <w:i/>
          <w:iCs/>
          <w:lang w:val="en-GB"/>
        </w:rPr>
        <w:t>Wing v ABC</w:t>
      </w:r>
      <w:r>
        <w:rPr>
          <w:lang w:val="en-GB"/>
        </w:rPr>
        <w:t xml:space="preserve"> at [101]:</w:t>
      </w:r>
    </w:p>
    <w:p w14:paraId="4587ECAE" w14:textId="07A8B839" w:rsidR="00301E46" w:rsidRDefault="00301E46" w:rsidP="000C724E">
      <w:pPr>
        <w:pStyle w:val="Quote1"/>
        <w:spacing w:after="360"/>
        <w:rPr>
          <w:lang w:val="en-GB"/>
        </w:rPr>
      </w:pPr>
      <w:r w:rsidRPr="00693281">
        <w:rPr>
          <w:lang w:val="en-GB"/>
        </w:rPr>
        <w:t>It is one thing to point to facts that, objectively, enable an inference to be drawn when considered with other facts or evidence or the totality of the evidence</w:t>
      </w:r>
      <w:r w:rsidR="00E460FC">
        <w:rPr>
          <w:lang w:val="en-GB"/>
        </w:rPr>
        <w:t xml:space="preserve">.  </w:t>
      </w:r>
      <w:r w:rsidRPr="00693281">
        <w:rPr>
          <w:lang w:val="en-GB"/>
        </w:rPr>
        <w:t xml:space="preserve">Indeed, in a circumstantial case, </w:t>
      </w:r>
      <w:proofErr w:type="gramStart"/>
      <w:r w:rsidRPr="00693281">
        <w:rPr>
          <w:lang w:val="en-GB"/>
        </w:rPr>
        <w:t>all of</w:t>
      </w:r>
      <w:proofErr w:type="gramEnd"/>
      <w:r w:rsidRPr="00693281">
        <w:rPr>
          <w:lang w:val="en-GB"/>
        </w:rPr>
        <w:t xml:space="preserve"> the evidence must be weighed together in order for the tribunal of fact to be satisfied whether or not the case has been proved</w:t>
      </w:r>
      <w:r w:rsidR="002E5330">
        <w:rPr>
          <w:lang w:val="en-GB"/>
        </w:rPr>
        <w:t xml:space="preserve">:  </w:t>
      </w:r>
      <w:r w:rsidRPr="00693281">
        <w:rPr>
          <w:i/>
          <w:iCs/>
          <w:lang w:val="en-GB"/>
        </w:rPr>
        <w:t>R v Hillier</w:t>
      </w:r>
      <w:r w:rsidRPr="00693281">
        <w:rPr>
          <w:lang w:val="en-GB"/>
        </w:rPr>
        <w:t xml:space="preserve"> (2007) 228 CLR 618 at 638 [48] per Gummow, Hayne and Crennan JJ</w:t>
      </w:r>
      <w:r w:rsidR="00E460FC">
        <w:rPr>
          <w:lang w:val="en-GB"/>
        </w:rPr>
        <w:t xml:space="preserve">.  </w:t>
      </w:r>
      <w:r w:rsidRPr="00693281">
        <w:rPr>
          <w:lang w:val="en-GB"/>
        </w:rPr>
        <w:t>But it is not reasonable to allege, as the</w:t>
      </w:r>
      <w:r>
        <w:rPr>
          <w:lang w:val="en-GB"/>
        </w:rPr>
        <w:t xml:space="preserve"> </w:t>
      </w:r>
      <w:r w:rsidRPr="00693281">
        <w:rPr>
          <w:lang w:val="en-GB"/>
        </w:rPr>
        <w:t xml:space="preserve">respondents repeatedly have, that the Court will, or should, infer that, for example, in par 57, </w:t>
      </w:r>
      <w:r w:rsidR="000B633E">
        <w:rPr>
          <w:lang w:val="en-GB"/>
        </w:rPr>
        <w:t>Dr </w:t>
      </w:r>
      <w:r w:rsidRPr="00693281">
        <w:rPr>
          <w:lang w:val="en-GB"/>
        </w:rPr>
        <w:t>Wing had conversations with 11 named, living persons in which he said or did something to support what is alleged, when the respondents do not, and cannot, give particulars of any facts or circumstances that occurred in any of those meetings.</w:t>
      </w:r>
    </w:p>
    <w:p w14:paraId="0A8F9C77" w14:textId="2A20A479" w:rsidR="00301E46" w:rsidRDefault="00301E46" w:rsidP="00301E46">
      <w:pPr>
        <w:pStyle w:val="ParaNumbering"/>
        <w:tabs>
          <w:tab w:val="num" w:pos="720"/>
        </w:tabs>
        <w:rPr>
          <w:lang w:val="en-GB"/>
        </w:rPr>
      </w:pPr>
      <w:r>
        <w:rPr>
          <w:lang w:val="en-GB"/>
        </w:rPr>
        <w:t xml:space="preserve">Here, in contrast to </w:t>
      </w:r>
      <w:r w:rsidRPr="00693281">
        <w:rPr>
          <w:i/>
          <w:iCs/>
          <w:lang w:val="en-GB"/>
        </w:rPr>
        <w:t>Wing</w:t>
      </w:r>
      <w:r w:rsidR="00DC60E4">
        <w:rPr>
          <w:i/>
          <w:iCs/>
          <w:lang w:val="en-GB"/>
        </w:rPr>
        <w:t xml:space="preserve"> v ABC</w:t>
      </w:r>
      <w:r>
        <w:rPr>
          <w:lang w:val="en-GB"/>
        </w:rPr>
        <w:t xml:space="preserve">, there are particulars given of things </w:t>
      </w:r>
      <w:r w:rsidR="002E5330">
        <w:rPr>
          <w:lang w:val="en-GB"/>
        </w:rPr>
        <w:t>Professor </w:t>
      </w:r>
      <w:r w:rsidRPr="00693281">
        <w:rPr>
          <w:lang w:val="en-GB"/>
        </w:rPr>
        <w:t>Winn</w:t>
      </w:r>
      <w:r>
        <w:rPr>
          <w:lang w:val="en-GB"/>
        </w:rPr>
        <w:t xml:space="preserve"> is said to have done on relevant occasions, and with the qualifications expressed above they are, as a matter of logic, capable of supporting the inferences asserted</w:t>
      </w:r>
      <w:r w:rsidR="00E460FC">
        <w:rPr>
          <w:lang w:val="en-GB"/>
        </w:rPr>
        <w:t xml:space="preserve">.  </w:t>
      </w:r>
      <w:r>
        <w:rPr>
          <w:lang w:val="en-GB"/>
        </w:rPr>
        <w:t>I will not deny leave to the respondents to rely on the allegations of inference at paragraphs 30, 49 and 57D</w:t>
      </w:r>
      <w:r w:rsidR="00E460FC">
        <w:rPr>
          <w:lang w:val="en-GB"/>
        </w:rPr>
        <w:t xml:space="preserve">.  </w:t>
      </w:r>
      <w:r>
        <w:rPr>
          <w:lang w:val="en-GB"/>
        </w:rPr>
        <w:t>I have other concerns, described below, about the parts of the pleading that contain pleas as to inferences in paragraphs 66 and 88, so for reasons given below leave to rely on them will not be given</w:t>
      </w:r>
      <w:r w:rsidR="002E5330">
        <w:rPr>
          <w:lang w:val="en-GB"/>
        </w:rPr>
        <w:t>.</w:t>
      </w:r>
    </w:p>
    <w:p w14:paraId="42723F1F" w14:textId="7AD44F0B" w:rsidR="00301E46" w:rsidRDefault="00301E46" w:rsidP="00301E46">
      <w:pPr>
        <w:pStyle w:val="ParaNumbering"/>
        <w:tabs>
          <w:tab w:val="num" w:pos="720"/>
        </w:tabs>
        <w:rPr>
          <w:lang w:val="en-GB"/>
        </w:rPr>
      </w:pPr>
      <w:r>
        <w:rPr>
          <w:lang w:val="en-GB"/>
        </w:rPr>
        <w:t xml:space="preserve">Beyond that I did not, with respect, find the comparisons between this case and </w:t>
      </w:r>
      <w:r w:rsidRPr="00C36D11">
        <w:rPr>
          <w:i/>
          <w:iCs/>
          <w:lang w:val="en-GB"/>
        </w:rPr>
        <w:t>Wing v ABC</w:t>
      </w:r>
      <w:r>
        <w:rPr>
          <w:lang w:val="en-GB"/>
        </w:rPr>
        <w:t xml:space="preserve"> and </w:t>
      </w:r>
      <w:r w:rsidRPr="00C36D11">
        <w:rPr>
          <w:i/>
          <w:iCs/>
          <w:lang w:val="en-GB"/>
        </w:rPr>
        <w:t>Chak Chau Wing</w:t>
      </w:r>
      <w:r>
        <w:rPr>
          <w:lang w:val="en-GB"/>
        </w:rPr>
        <w:t xml:space="preserve"> useful</w:t>
      </w:r>
      <w:r w:rsidR="00E460FC">
        <w:rPr>
          <w:lang w:val="en-GB"/>
        </w:rPr>
        <w:t xml:space="preserve">.  </w:t>
      </w:r>
      <w:r>
        <w:rPr>
          <w:lang w:val="en-GB"/>
        </w:rPr>
        <w:t>Each case depends on its own facts</w:t>
      </w:r>
      <w:r w:rsidR="00E460FC">
        <w:rPr>
          <w:lang w:val="en-GB"/>
        </w:rPr>
        <w:t xml:space="preserve">.  </w:t>
      </w:r>
      <w:r>
        <w:rPr>
          <w:lang w:val="en-GB"/>
        </w:rPr>
        <w:t>While I did consider that the respondents were seeking to extend the definition of 'gaslighting' too far (</w:t>
      </w:r>
      <w:proofErr w:type="gramStart"/>
      <w:r>
        <w:rPr>
          <w:lang w:val="en-GB"/>
        </w:rPr>
        <w:t>and also</w:t>
      </w:r>
      <w:proofErr w:type="gramEnd"/>
      <w:r>
        <w:rPr>
          <w:lang w:val="en-GB"/>
        </w:rPr>
        <w:t xml:space="preserve"> the definition of 'bullying'), the fact that an attempt to do something similar failed in the case of </w:t>
      </w:r>
      <w:r w:rsidR="000B633E">
        <w:rPr>
          <w:lang w:val="en-GB"/>
        </w:rPr>
        <w:t>Dr </w:t>
      </w:r>
      <w:r>
        <w:rPr>
          <w:lang w:val="en-GB"/>
        </w:rPr>
        <w:t>Chau was not especially illuminating</w:t>
      </w:r>
      <w:r w:rsidR="002E5330">
        <w:rPr>
          <w:lang w:val="en-GB"/>
        </w:rPr>
        <w:t>.</w:t>
      </w:r>
    </w:p>
    <w:p w14:paraId="33EC6373" w14:textId="77777777" w:rsidR="00301E46" w:rsidRDefault="00301E46" w:rsidP="00301E46">
      <w:pPr>
        <w:pStyle w:val="Heading2"/>
        <w:rPr>
          <w:lang w:val="en-GB"/>
        </w:rPr>
      </w:pPr>
      <w:r>
        <w:rPr>
          <w:lang w:val="en-GB"/>
        </w:rPr>
        <w:t xml:space="preserve">Are any particulars </w:t>
      </w:r>
      <w:r w:rsidRPr="00693281">
        <w:rPr>
          <w:lang w:val="en-GB"/>
        </w:rPr>
        <w:t>evasive</w:t>
      </w:r>
      <w:r>
        <w:rPr>
          <w:lang w:val="en-GB"/>
        </w:rPr>
        <w:t xml:space="preserve">, </w:t>
      </w:r>
      <w:proofErr w:type="gramStart"/>
      <w:r w:rsidRPr="00693281">
        <w:rPr>
          <w:lang w:val="en-GB"/>
        </w:rPr>
        <w:t>ambiguous</w:t>
      </w:r>
      <w:proofErr w:type="gramEnd"/>
      <w:r w:rsidRPr="00693281">
        <w:rPr>
          <w:lang w:val="en-GB"/>
        </w:rPr>
        <w:t xml:space="preserve"> or likely to cause prejudice, embarrassment or delay</w:t>
      </w:r>
      <w:r>
        <w:rPr>
          <w:lang w:val="en-GB"/>
        </w:rPr>
        <w:t>?</w:t>
      </w:r>
    </w:p>
    <w:p w14:paraId="0EB00ECB" w14:textId="39D6A4E2" w:rsidR="00301E46" w:rsidRDefault="002E5330" w:rsidP="00301E46">
      <w:pPr>
        <w:pStyle w:val="ParaNumbering"/>
        <w:tabs>
          <w:tab w:val="num" w:pos="720"/>
        </w:tabs>
        <w:rPr>
          <w:lang w:val="en-GB"/>
        </w:rPr>
      </w:pPr>
      <w:r>
        <w:rPr>
          <w:lang w:val="en-GB"/>
        </w:rPr>
        <w:t>Professor </w:t>
      </w:r>
      <w:r w:rsidR="00301E46" w:rsidRPr="00693281">
        <w:rPr>
          <w:lang w:val="en-GB"/>
        </w:rPr>
        <w:t>Winn</w:t>
      </w:r>
      <w:r w:rsidR="00301E46">
        <w:rPr>
          <w:lang w:val="en-GB"/>
        </w:rPr>
        <w:t xml:space="preserve"> submits that at numerous points, the Schedule is insufficiently precise</w:t>
      </w:r>
      <w:r w:rsidR="00E460FC">
        <w:rPr>
          <w:lang w:val="en-GB"/>
        </w:rPr>
        <w:t xml:space="preserve">.  </w:t>
      </w:r>
      <w:r w:rsidR="00301E46">
        <w:rPr>
          <w:lang w:val="en-GB"/>
        </w:rPr>
        <w:t xml:space="preserve">That lack of precision, he says, means that he is not on fair notice of the case of substantial truth that </w:t>
      </w:r>
      <w:r w:rsidR="00301E46">
        <w:rPr>
          <w:lang w:val="en-GB"/>
        </w:rPr>
        <w:lastRenderedPageBreak/>
        <w:t>he must meet, and that the time and cost associated with preparing to meet that case will be unreasonable and oppressive</w:t>
      </w:r>
      <w:r>
        <w:rPr>
          <w:lang w:val="en-GB"/>
        </w:rPr>
        <w:t>.</w:t>
      </w:r>
    </w:p>
    <w:p w14:paraId="13343753" w14:textId="2604BB6E" w:rsidR="00301E46" w:rsidRDefault="00301E46" w:rsidP="00301E46">
      <w:pPr>
        <w:pStyle w:val="ParaNumbering"/>
        <w:tabs>
          <w:tab w:val="num" w:pos="720"/>
        </w:tabs>
        <w:rPr>
          <w:lang w:val="en-GB"/>
        </w:rPr>
      </w:pPr>
      <w:r>
        <w:rPr>
          <w:lang w:val="en-GB"/>
        </w:rPr>
        <w:t xml:space="preserve">It is not possible to evaluate these aspects of </w:t>
      </w:r>
      <w:r w:rsidR="002E5330">
        <w:rPr>
          <w:lang w:val="en-GB"/>
        </w:rPr>
        <w:t>Professor </w:t>
      </w:r>
      <w:r w:rsidRPr="007612FF">
        <w:rPr>
          <w:lang w:val="en-GB"/>
        </w:rPr>
        <w:t>Winn</w:t>
      </w:r>
      <w:r>
        <w:rPr>
          <w:lang w:val="en-GB"/>
        </w:rPr>
        <w:t>'s submissions in overview</w:t>
      </w:r>
      <w:r w:rsidR="00E460FC">
        <w:rPr>
          <w:lang w:val="en-GB"/>
        </w:rPr>
        <w:t xml:space="preserve">.  </w:t>
      </w:r>
      <w:r>
        <w:rPr>
          <w:lang w:val="en-GB"/>
        </w:rPr>
        <w:t>It is necessary to descend to the detail of each impugned part of the pleading</w:t>
      </w:r>
      <w:r w:rsidR="00E460FC">
        <w:rPr>
          <w:lang w:val="en-GB"/>
        </w:rPr>
        <w:t xml:space="preserve">.  </w:t>
      </w:r>
      <w:r>
        <w:rPr>
          <w:lang w:val="en-GB"/>
        </w:rPr>
        <w:t>I will do so by reference to the structure of the description of the Schedule set out above</w:t>
      </w:r>
      <w:r w:rsidR="00E460FC">
        <w:rPr>
          <w:lang w:val="en-GB"/>
        </w:rPr>
        <w:t xml:space="preserve">.  </w:t>
      </w:r>
      <w:r>
        <w:rPr>
          <w:lang w:val="en-GB"/>
        </w:rPr>
        <w:t>This part of the reasons will hark back to that part, without detailed cross referencing</w:t>
      </w:r>
      <w:r w:rsidR="00E460FC">
        <w:rPr>
          <w:lang w:val="en-GB"/>
        </w:rPr>
        <w:t xml:space="preserve">.  </w:t>
      </w:r>
      <w:r>
        <w:rPr>
          <w:lang w:val="en-GB"/>
        </w:rPr>
        <w:t>To try to rein in the length of this judgment, many of the conclusions will be expressed summarily</w:t>
      </w:r>
      <w:r w:rsidR="002E5330">
        <w:rPr>
          <w:lang w:val="en-GB"/>
        </w:rPr>
        <w:t>.</w:t>
      </w:r>
    </w:p>
    <w:p w14:paraId="553B19C2" w14:textId="2610DC73" w:rsidR="00301E46" w:rsidRDefault="00301E46" w:rsidP="00301E46">
      <w:pPr>
        <w:pStyle w:val="ParaNumbering"/>
        <w:tabs>
          <w:tab w:val="num" w:pos="720"/>
        </w:tabs>
        <w:rPr>
          <w:lang w:val="en-GB"/>
        </w:rPr>
      </w:pPr>
      <w:r>
        <w:rPr>
          <w:lang w:val="en-GB"/>
        </w:rPr>
        <w:t>The conclusions I have already reached, and the further conclusions I am about to outline, lead inexorably to the result that the respondents cannot be given leave to rely on the proposed amended defence in its current form</w:t>
      </w:r>
      <w:r w:rsidR="00E460FC">
        <w:rPr>
          <w:lang w:val="en-GB"/>
        </w:rPr>
        <w:t xml:space="preserve">.  </w:t>
      </w:r>
      <w:proofErr w:type="gramStart"/>
      <w:r>
        <w:rPr>
          <w:lang w:val="en-GB"/>
        </w:rPr>
        <w:t>So</w:t>
      </w:r>
      <w:proofErr w:type="gramEnd"/>
      <w:r>
        <w:rPr>
          <w:lang w:val="en-GB"/>
        </w:rPr>
        <w:t xml:space="preserve"> to the extent that I indicate below that leave would have been given to rely on a particular passage, that is relevant to any attempt to replead (also dealt with below)</w:t>
      </w:r>
      <w:r w:rsidR="00E460FC">
        <w:rPr>
          <w:lang w:val="en-GB"/>
        </w:rPr>
        <w:t xml:space="preserve">.  </w:t>
      </w:r>
      <w:r>
        <w:rPr>
          <w:lang w:val="en-GB"/>
        </w:rPr>
        <w:t>It does not, of course, mean that the respondents could file and rely on some version of the present Schedule that is riddled with deletions of the other, objectionable paragraphs</w:t>
      </w:r>
      <w:r w:rsidR="002E5330">
        <w:rPr>
          <w:lang w:val="en-GB"/>
        </w:rPr>
        <w:t>.</w:t>
      </w:r>
    </w:p>
    <w:p w14:paraId="57580091" w14:textId="77777777" w:rsidR="00301E46" w:rsidRDefault="00301E46" w:rsidP="00301E46">
      <w:pPr>
        <w:pStyle w:val="Heading3"/>
        <w:rPr>
          <w:lang w:val="en-GB"/>
        </w:rPr>
      </w:pPr>
      <w:r>
        <w:rPr>
          <w:lang w:val="en-GB"/>
        </w:rPr>
        <w:t>Leadership style</w:t>
      </w:r>
    </w:p>
    <w:p w14:paraId="661A9364" w14:textId="6868DB18" w:rsidR="00301E46" w:rsidRDefault="00301E46" w:rsidP="00301E46">
      <w:pPr>
        <w:pStyle w:val="ParaNumbering"/>
        <w:tabs>
          <w:tab w:val="num" w:pos="720"/>
        </w:tabs>
        <w:rPr>
          <w:lang w:val="en-GB"/>
        </w:rPr>
      </w:pPr>
      <w:bookmarkStart w:id="43" w:name="_Ref163656930"/>
      <w:r>
        <w:rPr>
          <w:lang w:val="en-GB"/>
        </w:rPr>
        <w:t xml:space="preserve">I agree with </w:t>
      </w:r>
      <w:r w:rsidR="002E5330">
        <w:rPr>
          <w:lang w:val="en-GB"/>
        </w:rPr>
        <w:t>Professor </w:t>
      </w:r>
      <w:r w:rsidRPr="007612FF">
        <w:rPr>
          <w:lang w:val="en-GB"/>
        </w:rPr>
        <w:t>Winn</w:t>
      </w:r>
      <w:r>
        <w:rPr>
          <w:lang w:val="en-GB"/>
        </w:rPr>
        <w:t xml:space="preserve"> that the allegation that his predecessor established a culture of collegiality, honesty and open communication at the </w:t>
      </w:r>
      <w:proofErr w:type="gramStart"/>
      <w:r>
        <w:rPr>
          <w:lang w:val="en-GB"/>
        </w:rPr>
        <w:t>School</w:t>
      </w:r>
      <w:proofErr w:type="gramEnd"/>
      <w:r>
        <w:rPr>
          <w:lang w:val="en-GB"/>
        </w:rPr>
        <w:t xml:space="preserve"> (paragraph 10) is insufficiently precise</w:t>
      </w:r>
      <w:r w:rsidR="00E460FC">
        <w:rPr>
          <w:lang w:val="en-GB"/>
        </w:rPr>
        <w:t xml:space="preserve">.  </w:t>
      </w:r>
      <w:r>
        <w:rPr>
          <w:lang w:val="en-GB"/>
        </w:rPr>
        <w:t xml:space="preserve">It is, on its face, a broad conclusory plea about a </w:t>
      </w:r>
      <w:proofErr w:type="gramStart"/>
      <w:r>
        <w:rPr>
          <w:lang w:val="en-GB"/>
        </w:rPr>
        <w:t>state of affairs</w:t>
      </w:r>
      <w:proofErr w:type="gramEnd"/>
      <w:r>
        <w:rPr>
          <w:lang w:val="en-GB"/>
        </w:rPr>
        <w:t xml:space="preserve"> that (if it did obtain) was likely to have been the result of a large number of individual actions and reactions</w:t>
      </w:r>
      <w:r w:rsidR="00E460FC">
        <w:rPr>
          <w:lang w:val="en-GB"/>
        </w:rPr>
        <w:t xml:space="preserve">.  </w:t>
      </w:r>
      <w:r>
        <w:rPr>
          <w:lang w:val="en-GB"/>
        </w:rPr>
        <w:t>It is impossible to know from the plea how it will be proved and, so, how it could be countered</w:t>
      </w:r>
      <w:r w:rsidR="002E5330">
        <w:rPr>
          <w:lang w:val="en-GB"/>
        </w:rPr>
        <w:t>.</w:t>
      </w:r>
      <w:bookmarkEnd w:id="43"/>
    </w:p>
    <w:p w14:paraId="24953F91" w14:textId="4DFB0D00" w:rsidR="00301E46" w:rsidRDefault="00301E46" w:rsidP="00301E46">
      <w:pPr>
        <w:pStyle w:val="ParaNumbering"/>
        <w:tabs>
          <w:tab w:val="num" w:pos="720"/>
        </w:tabs>
        <w:rPr>
          <w:lang w:val="en-GB"/>
        </w:rPr>
      </w:pPr>
      <w:r>
        <w:rPr>
          <w:lang w:val="en-GB"/>
        </w:rPr>
        <w:t>The respondents submit that</w:t>
      </w:r>
      <w:r w:rsidRPr="007612FF">
        <w:rPr>
          <w:lang w:val="en-GB"/>
        </w:rPr>
        <w:t xml:space="preserve"> it is unnecessary to plead (or prove) what </w:t>
      </w:r>
      <w:r w:rsidR="002E5330">
        <w:rPr>
          <w:lang w:val="en-GB"/>
        </w:rPr>
        <w:t>Professor </w:t>
      </w:r>
      <w:r w:rsidRPr="007612FF">
        <w:rPr>
          <w:lang w:val="en-GB"/>
        </w:rPr>
        <w:t>Winn</w:t>
      </w:r>
      <w:r>
        <w:rPr>
          <w:lang w:val="en-GB"/>
        </w:rPr>
        <w:t>'s predecessor</w:t>
      </w:r>
      <w:r w:rsidRPr="007612FF">
        <w:rPr>
          <w:lang w:val="en-GB"/>
        </w:rPr>
        <w:t xml:space="preserve"> did to establish that culture or </w:t>
      </w:r>
      <w:r>
        <w:rPr>
          <w:lang w:val="en-GB"/>
        </w:rPr>
        <w:t>any</w:t>
      </w:r>
      <w:r w:rsidRPr="007612FF">
        <w:rPr>
          <w:lang w:val="en-GB"/>
        </w:rPr>
        <w:t xml:space="preserve"> </w:t>
      </w:r>
      <w:r>
        <w:rPr>
          <w:lang w:val="en-GB"/>
        </w:rPr>
        <w:t>'</w:t>
      </w:r>
      <w:r w:rsidRPr="007612FF">
        <w:rPr>
          <w:lang w:val="en-GB"/>
        </w:rPr>
        <w:t>metric for concluding that culture existed</w:t>
      </w:r>
      <w:r>
        <w:rPr>
          <w:lang w:val="en-GB"/>
        </w:rPr>
        <w:t>'</w:t>
      </w:r>
      <w:r w:rsidR="00E460FC">
        <w:rPr>
          <w:lang w:val="en-GB"/>
        </w:rPr>
        <w:t xml:space="preserve">.  </w:t>
      </w:r>
      <w:r w:rsidRPr="007612FF">
        <w:rPr>
          <w:lang w:val="en-GB"/>
        </w:rPr>
        <w:t xml:space="preserve">Whether or not </w:t>
      </w:r>
      <w:r>
        <w:rPr>
          <w:lang w:val="en-GB"/>
        </w:rPr>
        <w:t>there was such a culture is a matter for trial</w:t>
      </w:r>
      <w:r w:rsidR="00E460FC">
        <w:rPr>
          <w:lang w:val="en-GB"/>
        </w:rPr>
        <w:t xml:space="preserve">.  </w:t>
      </w:r>
      <w:r>
        <w:rPr>
          <w:lang w:val="en-GB"/>
        </w:rPr>
        <w:t>If it is difficult to prove such a broad claim, it is the respondents who will suffer the consequences</w:t>
      </w:r>
      <w:r w:rsidR="002E5330">
        <w:rPr>
          <w:lang w:val="en-GB"/>
        </w:rPr>
        <w:t>.</w:t>
      </w:r>
    </w:p>
    <w:p w14:paraId="0CB46828" w14:textId="6B50E07A" w:rsidR="00301E46" w:rsidRDefault="00301E46" w:rsidP="00301E46">
      <w:pPr>
        <w:pStyle w:val="ParaNumbering"/>
        <w:tabs>
          <w:tab w:val="num" w:pos="720"/>
        </w:tabs>
        <w:rPr>
          <w:lang w:val="en-GB"/>
        </w:rPr>
      </w:pPr>
      <w:r w:rsidRPr="00036F6D">
        <w:rPr>
          <w:lang w:val="en-GB"/>
        </w:rPr>
        <w:t>I do not accept that</w:t>
      </w:r>
      <w:r>
        <w:rPr>
          <w:lang w:val="en-GB"/>
        </w:rPr>
        <w:t xml:space="preserve"> submission</w:t>
      </w:r>
      <w:r w:rsidR="00E460FC">
        <w:rPr>
          <w:lang w:val="en-GB"/>
        </w:rPr>
        <w:t xml:space="preserve">.  </w:t>
      </w:r>
      <w:r w:rsidRPr="00036F6D">
        <w:rPr>
          <w:lang w:val="en-GB"/>
        </w:rPr>
        <w:t xml:space="preserve">If facts, </w:t>
      </w:r>
      <w:proofErr w:type="gramStart"/>
      <w:r w:rsidRPr="00036F6D">
        <w:rPr>
          <w:lang w:val="en-GB"/>
        </w:rPr>
        <w:t>matters</w:t>
      </w:r>
      <w:proofErr w:type="gramEnd"/>
      <w:r w:rsidRPr="00036F6D">
        <w:rPr>
          <w:lang w:val="en-GB"/>
        </w:rPr>
        <w:t xml:space="preserve"> and things said to lead to the conclusion that the culture existed at the relevant time are not alleged with more particularity, then at trial </w:t>
      </w:r>
      <w:r w:rsidR="002E5330">
        <w:rPr>
          <w:lang w:val="en-GB"/>
        </w:rPr>
        <w:t>Professor </w:t>
      </w:r>
      <w:r w:rsidRPr="00036F6D">
        <w:rPr>
          <w:lang w:val="en-GB"/>
        </w:rPr>
        <w:t>Winn (and the Court) will be all at sea</w:t>
      </w:r>
      <w:r w:rsidR="00E460FC">
        <w:rPr>
          <w:lang w:val="en-GB"/>
        </w:rPr>
        <w:t xml:space="preserve">.  </w:t>
      </w:r>
      <w:r w:rsidRPr="00036F6D">
        <w:rPr>
          <w:lang w:val="en-GB"/>
        </w:rPr>
        <w:t>It will be impossible to know what</w:t>
      </w:r>
      <w:r w:rsidR="00723A34">
        <w:rPr>
          <w:lang w:val="en-GB"/>
        </w:rPr>
        <w:t>,</w:t>
      </w:r>
      <w:r w:rsidRPr="00036F6D">
        <w:rPr>
          <w:lang w:val="en-GB"/>
        </w:rPr>
        <w:t xml:space="preserve"> out of </w:t>
      </w:r>
      <w:proofErr w:type="gramStart"/>
      <w:r w:rsidRPr="00036F6D">
        <w:rPr>
          <w:lang w:val="en-GB"/>
        </w:rPr>
        <w:t>a large number of</w:t>
      </w:r>
      <w:proofErr w:type="gramEnd"/>
      <w:r w:rsidRPr="00036F6D">
        <w:rPr>
          <w:lang w:val="en-GB"/>
        </w:rPr>
        <w:t xml:space="preserve"> specific facts</w:t>
      </w:r>
      <w:r w:rsidR="00723A34">
        <w:rPr>
          <w:lang w:val="en-GB"/>
        </w:rPr>
        <w:t>,</w:t>
      </w:r>
      <w:r w:rsidRPr="00036F6D">
        <w:rPr>
          <w:lang w:val="en-GB"/>
        </w:rPr>
        <w:t xml:space="preserve"> </w:t>
      </w:r>
      <w:r w:rsidR="0085025A">
        <w:rPr>
          <w:lang w:val="en-GB"/>
        </w:rPr>
        <w:t>are</w:t>
      </w:r>
      <w:r w:rsidR="00D047D9" w:rsidRPr="00036F6D">
        <w:rPr>
          <w:lang w:val="en-GB"/>
        </w:rPr>
        <w:t xml:space="preserve"> </w:t>
      </w:r>
      <w:r w:rsidRPr="00036F6D">
        <w:rPr>
          <w:lang w:val="en-GB"/>
        </w:rPr>
        <w:t xml:space="preserve">relied on, and </w:t>
      </w:r>
      <w:r w:rsidR="00C068D0">
        <w:rPr>
          <w:lang w:val="en-GB"/>
        </w:rPr>
        <w:t>what therefore</w:t>
      </w:r>
      <w:r w:rsidR="00C068D0" w:rsidRPr="00036F6D">
        <w:rPr>
          <w:lang w:val="en-GB"/>
        </w:rPr>
        <w:t xml:space="preserve"> </w:t>
      </w:r>
      <w:r w:rsidRPr="00036F6D">
        <w:rPr>
          <w:lang w:val="en-GB"/>
        </w:rPr>
        <w:t xml:space="preserve">may usefully be the subject of evidence adduced by </w:t>
      </w:r>
      <w:r w:rsidR="002E5330">
        <w:rPr>
          <w:lang w:val="en-GB"/>
        </w:rPr>
        <w:t>Professor </w:t>
      </w:r>
      <w:r w:rsidRPr="00036F6D">
        <w:rPr>
          <w:lang w:val="en-GB"/>
        </w:rPr>
        <w:t>Winn</w:t>
      </w:r>
      <w:r w:rsidR="00E460FC">
        <w:rPr>
          <w:lang w:val="en-GB"/>
        </w:rPr>
        <w:t xml:space="preserve">.  </w:t>
      </w:r>
      <w:r w:rsidRPr="00036F6D">
        <w:rPr>
          <w:lang w:val="en-GB"/>
        </w:rPr>
        <w:t xml:space="preserve">He will be prejudiced </w:t>
      </w:r>
      <w:r>
        <w:rPr>
          <w:lang w:val="en-GB"/>
        </w:rPr>
        <w:t xml:space="preserve">in the preparation of his response to the </w:t>
      </w:r>
      <w:r w:rsidR="00096463">
        <w:rPr>
          <w:lang w:val="en-GB"/>
        </w:rPr>
        <w:t xml:space="preserve">defence </w:t>
      </w:r>
      <w:r>
        <w:rPr>
          <w:lang w:val="en-GB"/>
        </w:rPr>
        <w:t>of substantial truth</w:t>
      </w:r>
      <w:r w:rsidR="002E5330">
        <w:rPr>
          <w:lang w:val="en-GB"/>
        </w:rPr>
        <w:t>.</w:t>
      </w:r>
    </w:p>
    <w:p w14:paraId="000C8F24" w14:textId="321D3DDE" w:rsidR="00301E46" w:rsidRDefault="00301E46" w:rsidP="00301E46">
      <w:pPr>
        <w:pStyle w:val="ParaNumbering"/>
        <w:tabs>
          <w:tab w:val="num" w:pos="720"/>
        </w:tabs>
        <w:rPr>
          <w:lang w:val="en-GB"/>
        </w:rPr>
      </w:pPr>
      <w:bookmarkStart w:id="44" w:name="_Ref163656935"/>
      <w:r>
        <w:rPr>
          <w:lang w:val="en-GB"/>
        </w:rPr>
        <w:lastRenderedPageBreak/>
        <w:t>The respondents also pointed out that the breadth of the allegation is a consequence of the breadth of the imputation pleaded</w:t>
      </w:r>
      <w:r w:rsidR="00E460FC">
        <w:rPr>
          <w:lang w:val="en-GB"/>
        </w:rPr>
        <w:t xml:space="preserve">.  </w:t>
      </w:r>
      <w:r w:rsidR="002E5330">
        <w:rPr>
          <w:lang w:val="en-GB"/>
        </w:rPr>
        <w:t>Professor </w:t>
      </w:r>
      <w:r w:rsidRPr="00D04112">
        <w:rPr>
          <w:lang w:val="en-GB"/>
        </w:rPr>
        <w:t>Winn</w:t>
      </w:r>
      <w:r>
        <w:rPr>
          <w:lang w:val="en-GB"/>
        </w:rPr>
        <w:t xml:space="preserve"> has chosen to plead imputations about the culture of the </w:t>
      </w:r>
      <w:proofErr w:type="gramStart"/>
      <w:r>
        <w:rPr>
          <w:lang w:val="en-GB"/>
        </w:rPr>
        <w:t>School</w:t>
      </w:r>
      <w:proofErr w:type="gramEnd"/>
      <w:r>
        <w:rPr>
          <w:lang w:val="en-GB"/>
        </w:rPr>
        <w:t>, and to establish that they are substantially true may require a broad range of evidence</w:t>
      </w:r>
      <w:r w:rsidR="00E460FC">
        <w:rPr>
          <w:lang w:val="en-GB"/>
        </w:rPr>
        <w:t xml:space="preserve">.  </w:t>
      </w:r>
      <w:r>
        <w:rPr>
          <w:lang w:val="en-GB"/>
        </w:rPr>
        <w:t xml:space="preserve">That is so, but it does not detract from the need to put </w:t>
      </w:r>
      <w:r w:rsidR="002E5330">
        <w:rPr>
          <w:lang w:val="en-GB"/>
        </w:rPr>
        <w:t>Professor </w:t>
      </w:r>
      <w:r w:rsidRPr="00016FA9">
        <w:rPr>
          <w:lang w:val="en-GB"/>
        </w:rPr>
        <w:t>Winn</w:t>
      </w:r>
      <w:r>
        <w:rPr>
          <w:lang w:val="en-GB"/>
        </w:rPr>
        <w:t xml:space="preserve"> on proper notice of the case he needs to meet, by pleading the material facts, circumstances, matters and things which, it is said, show that the culture of the </w:t>
      </w:r>
      <w:proofErr w:type="gramStart"/>
      <w:r>
        <w:rPr>
          <w:lang w:val="en-GB"/>
        </w:rPr>
        <w:t>School</w:t>
      </w:r>
      <w:proofErr w:type="gramEnd"/>
      <w:r>
        <w:rPr>
          <w:lang w:val="en-GB"/>
        </w:rPr>
        <w:t xml:space="preserve"> was not toxic before he became Executive Dean</w:t>
      </w:r>
      <w:r w:rsidR="00E460FC">
        <w:rPr>
          <w:lang w:val="en-GB"/>
        </w:rPr>
        <w:t xml:space="preserve">.  </w:t>
      </w:r>
      <w:r>
        <w:rPr>
          <w:lang w:val="en-GB"/>
        </w:rPr>
        <w:t>Paragraph 10 does not do this but, instead, makes a broad conclusory plea</w:t>
      </w:r>
      <w:r w:rsidR="002E5330">
        <w:rPr>
          <w:lang w:val="en-GB"/>
        </w:rPr>
        <w:t>.</w:t>
      </w:r>
      <w:bookmarkEnd w:id="44"/>
    </w:p>
    <w:p w14:paraId="7CDC0BED" w14:textId="4C7A462C" w:rsidR="00301E46" w:rsidRPr="00036F6D" w:rsidRDefault="00301E46" w:rsidP="00301E46">
      <w:pPr>
        <w:pStyle w:val="ParaNumbering"/>
        <w:tabs>
          <w:tab w:val="num" w:pos="720"/>
        </w:tabs>
        <w:rPr>
          <w:lang w:val="en-GB"/>
        </w:rPr>
      </w:pPr>
      <w:r w:rsidRPr="00036F6D">
        <w:rPr>
          <w:lang w:val="en-GB"/>
        </w:rPr>
        <w:t xml:space="preserve">The respondents will not be given leave to rely on paragraph 10 of the </w:t>
      </w:r>
      <w:r>
        <w:rPr>
          <w:lang w:val="en-GB"/>
        </w:rPr>
        <w:t>Schedule</w:t>
      </w:r>
      <w:r w:rsidR="002E5330">
        <w:rPr>
          <w:lang w:val="en-GB"/>
        </w:rPr>
        <w:t>.</w:t>
      </w:r>
    </w:p>
    <w:p w14:paraId="20C2779D" w14:textId="54002CD7" w:rsidR="00301E46" w:rsidRDefault="00301E46" w:rsidP="00301E46">
      <w:pPr>
        <w:pStyle w:val="ParaNumbering"/>
        <w:tabs>
          <w:tab w:val="num" w:pos="720"/>
        </w:tabs>
        <w:rPr>
          <w:lang w:val="en-GB"/>
        </w:rPr>
      </w:pPr>
      <w:r>
        <w:rPr>
          <w:lang w:val="en-GB"/>
        </w:rPr>
        <w:t xml:space="preserve">I also agree with </w:t>
      </w:r>
      <w:r w:rsidR="002E5330">
        <w:rPr>
          <w:lang w:val="en-GB"/>
        </w:rPr>
        <w:t>Professor </w:t>
      </w:r>
      <w:r w:rsidRPr="0060366A">
        <w:rPr>
          <w:lang w:val="en-GB"/>
        </w:rPr>
        <w:t>Winn</w:t>
      </w:r>
      <w:r>
        <w:rPr>
          <w:lang w:val="en-GB"/>
        </w:rPr>
        <w:t xml:space="preserve"> that paragraph 13 of the Schedule is insufficiently particular</w:t>
      </w:r>
      <w:r w:rsidR="00E460FC">
        <w:rPr>
          <w:lang w:val="en-GB"/>
        </w:rPr>
        <w:t xml:space="preserve">.  </w:t>
      </w:r>
      <w:r>
        <w:rPr>
          <w:lang w:val="en-GB"/>
        </w:rPr>
        <w:t xml:space="preserve">Without knowledge of which persons are said to have felt undervalued and alienated, and which Associate Deans were reluctantly delivering bad news, it will be difficult if not impossible for </w:t>
      </w:r>
      <w:r w:rsidR="002E5330">
        <w:rPr>
          <w:lang w:val="en-GB"/>
        </w:rPr>
        <w:t>Professor </w:t>
      </w:r>
      <w:r w:rsidRPr="00491978">
        <w:rPr>
          <w:lang w:val="en-GB"/>
        </w:rPr>
        <w:t>Winn</w:t>
      </w:r>
      <w:r>
        <w:rPr>
          <w:lang w:val="en-GB"/>
        </w:rPr>
        <w:t xml:space="preserve"> to prepare to meet those allegations</w:t>
      </w:r>
      <w:r w:rsidR="00E460FC">
        <w:rPr>
          <w:lang w:val="en-GB"/>
        </w:rPr>
        <w:t xml:space="preserve">.  </w:t>
      </w:r>
      <w:r>
        <w:rPr>
          <w:lang w:val="en-GB"/>
        </w:rPr>
        <w:t>Leave to rely on that paragraph will not be given, for that reason</w:t>
      </w:r>
      <w:r w:rsidR="00E460FC">
        <w:rPr>
          <w:lang w:val="en-GB"/>
        </w:rPr>
        <w:t xml:space="preserve">.  </w:t>
      </w:r>
      <w:r>
        <w:rPr>
          <w:lang w:val="en-GB"/>
        </w:rPr>
        <w:t>Senior counsel for the respondents suggested that the remedy for that concern could be to order further and better particulars</w:t>
      </w:r>
      <w:r w:rsidR="00E460FC">
        <w:rPr>
          <w:lang w:val="en-GB"/>
        </w:rPr>
        <w:t xml:space="preserve">.  </w:t>
      </w:r>
      <w:r>
        <w:rPr>
          <w:lang w:val="en-GB"/>
        </w:rPr>
        <w:t>But given the overall outcome of the application, it is preferable to say that leave will not be granted due to a lack of particularity</w:t>
      </w:r>
      <w:r w:rsidR="00E460FC">
        <w:rPr>
          <w:lang w:val="en-GB"/>
        </w:rPr>
        <w:t xml:space="preserve">.  </w:t>
      </w:r>
      <w:r>
        <w:rPr>
          <w:lang w:val="en-GB"/>
        </w:rPr>
        <w:t xml:space="preserve">If the respondents </w:t>
      </w:r>
      <w:proofErr w:type="gramStart"/>
      <w:r>
        <w:rPr>
          <w:lang w:val="en-GB"/>
        </w:rPr>
        <w:t>are able to</w:t>
      </w:r>
      <w:proofErr w:type="gramEnd"/>
      <w:r>
        <w:rPr>
          <w:lang w:val="en-GB"/>
        </w:rPr>
        <w:t xml:space="preserve"> remedy that when they replead, so be it</w:t>
      </w:r>
      <w:r w:rsidR="002E5330">
        <w:rPr>
          <w:lang w:val="en-GB"/>
        </w:rPr>
        <w:t>.</w:t>
      </w:r>
    </w:p>
    <w:p w14:paraId="5F739488" w14:textId="455D5240" w:rsidR="00301E46" w:rsidRDefault="00301E46" w:rsidP="00301E46">
      <w:pPr>
        <w:pStyle w:val="ParaNumbering"/>
        <w:tabs>
          <w:tab w:val="num" w:pos="720"/>
        </w:tabs>
        <w:rPr>
          <w:lang w:val="en-GB"/>
        </w:rPr>
      </w:pPr>
      <w:r>
        <w:rPr>
          <w:lang w:val="en-GB"/>
        </w:rPr>
        <w:t xml:space="preserve">I do not accept </w:t>
      </w:r>
      <w:r w:rsidR="002E5330">
        <w:rPr>
          <w:lang w:val="en-GB"/>
        </w:rPr>
        <w:t>Professor </w:t>
      </w:r>
      <w:r w:rsidRPr="00491978">
        <w:rPr>
          <w:lang w:val="en-GB"/>
        </w:rPr>
        <w:t>Winn</w:t>
      </w:r>
      <w:r>
        <w:rPr>
          <w:lang w:val="en-GB"/>
        </w:rPr>
        <w:t>'s complaints about paragraph 14 being insufficiently particular</w:t>
      </w:r>
      <w:r w:rsidR="00E460FC">
        <w:rPr>
          <w:lang w:val="en-GB"/>
        </w:rPr>
        <w:t xml:space="preserve">.  </w:t>
      </w:r>
      <w:r>
        <w:rPr>
          <w:lang w:val="en-GB"/>
        </w:rPr>
        <w:t xml:space="preserve">It specifies three </w:t>
      </w:r>
      <w:proofErr w:type="gramStart"/>
      <w:r>
        <w:rPr>
          <w:lang w:val="en-GB"/>
        </w:rPr>
        <w:t>emails, and</w:t>
      </w:r>
      <w:proofErr w:type="gramEnd"/>
      <w:r>
        <w:rPr>
          <w:lang w:val="en-GB"/>
        </w:rPr>
        <w:t xml:space="preserve"> says that </w:t>
      </w:r>
      <w:r w:rsidR="002E5330">
        <w:rPr>
          <w:lang w:val="en-GB"/>
        </w:rPr>
        <w:t>Professor </w:t>
      </w:r>
      <w:r w:rsidRPr="00491978">
        <w:rPr>
          <w:lang w:val="en-GB"/>
        </w:rPr>
        <w:t>Winn</w:t>
      </w:r>
      <w:r>
        <w:rPr>
          <w:lang w:val="en-GB"/>
        </w:rPr>
        <w:t xml:space="preserve"> did not respond to them</w:t>
      </w:r>
      <w:r w:rsidR="00E460FC">
        <w:rPr>
          <w:lang w:val="en-GB"/>
        </w:rPr>
        <w:t xml:space="preserve">.  </w:t>
      </w:r>
      <w:r>
        <w:rPr>
          <w:lang w:val="en-GB"/>
        </w:rPr>
        <w:t>He can address those allegations</w:t>
      </w:r>
      <w:r w:rsidR="00E460FC">
        <w:rPr>
          <w:lang w:val="en-GB"/>
        </w:rPr>
        <w:t xml:space="preserve">.  </w:t>
      </w:r>
      <w:r>
        <w:rPr>
          <w:lang w:val="en-GB"/>
        </w:rPr>
        <w:t>His counsel expressed concern over paragraph 14(d), which says that further particulars may be provided after discovery</w:t>
      </w:r>
      <w:r w:rsidR="00E460FC">
        <w:rPr>
          <w:lang w:val="en-GB"/>
        </w:rPr>
        <w:t xml:space="preserve">.  </w:t>
      </w:r>
      <w:r>
        <w:rPr>
          <w:lang w:val="en-GB"/>
        </w:rPr>
        <w:t>But to reserve a party's position in that way is commonplace in a pleading and the scope of any discovery, and the appropriateness of any particulars sought to be added after discovery, are matters which the Court can deal with at the appropriate time</w:t>
      </w:r>
      <w:r w:rsidR="002E5330">
        <w:rPr>
          <w:lang w:val="en-GB"/>
        </w:rPr>
        <w:t>.</w:t>
      </w:r>
    </w:p>
    <w:p w14:paraId="7015FEB8" w14:textId="381D1495" w:rsidR="00301E46" w:rsidRDefault="00301E46" w:rsidP="00301E46">
      <w:pPr>
        <w:pStyle w:val="ParaNumbering"/>
        <w:tabs>
          <w:tab w:val="num" w:pos="720"/>
        </w:tabs>
        <w:rPr>
          <w:lang w:val="en-GB"/>
        </w:rPr>
      </w:pPr>
      <w:r>
        <w:rPr>
          <w:lang w:val="en-GB"/>
        </w:rPr>
        <w:t>I do not agree that paragraph 15 is impermissibly precise and broad</w:t>
      </w:r>
      <w:r w:rsidR="00E460FC">
        <w:rPr>
          <w:lang w:val="en-GB"/>
        </w:rPr>
        <w:t xml:space="preserve">.  </w:t>
      </w:r>
      <w:r>
        <w:rPr>
          <w:lang w:val="en-GB"/>
        </w:rPr>
        <w:t xml:space="preserve">It may appear that </w:t>
      </w:r>
      <w:proofErr w:type="gramStart"/>
      <w:r>
        <w:rPr>
          <w:lang w:val="en-GB"/>
        </w:rPr>
        <w:t>way</w:t>
      </w:r>
      <w:proofErr w:type="gramEnd"/>
      <w:r>
        <w:rPr>
          <w:lang w:val="en-GB"/>
        </w:rPr>
        <w:t xml:space="preserve"> but it is pleaded as a conclusion based on the previous paragraphs (and on things said to have happened at a staff meeting in June 2021)</w:t>
      </w:r>
      <w:r w:rsidR="00E460FC">
        <w:rPr>
          <w:lang w:val="en-GB"/>
        </w:rPr>
        <w:t xml:space="preserve">.  </w:t>
      </w:r>
      <w:r>
        <w:rPr>
          <w:lang w:val="en-GB"/>
        </w:rPr>
        <w:t>If those paragraphs were pleaded with sufficient particularity, then paragraph 15 could stand.</w:t>
      </w:r>
    </w:p>
    <w:p w14:paraId="16D9C677" w14:textId="60EEDEAD" w:rsidR="00301E46" w:rsidRDefault="00301E46" w:rsidP="00301E46">
      <w:pPr>
        <w:pStyle w:val="ParaNumbering"/>
        <w:tabs>
          <w:tab w:val="num" w:pos="720"/>
        </w:tabs>
        <w:rPr>
          <w:lang w:val="en-GB"/>
        </w:rPr>
      </w:pPr>
      <w:r>
        <w:rPr>
          <w:lang w:val="en-GB"/>
        </w:rPr>
        <w:t xml:space="preserve">As for the wider question of whether this part of the pleading is sufficiently relevant to the pleas of substantial truth of the imputations, I consider that it falls within the category of </w:t>
      </w:r>
      <w:r w:rsidRPr="003C75AE">
        <w:rPr>
          <w:lang w:val="en-GB"/>
        </w:rPr>
        <w:t>necessary background</w:t>
      </w:r>
      <w:r>
        <w:rPr>
          <w:lang w:val="en-GB"/>
        </w:rPr>
        <w:t xml:space="preserve"> forming</w:t>
      </w:r>
      <w:r w:rsidRPr="003C75AE">
        <w:rPr>
          <w:lang w:val="en-GB"/>
        </w:rPr>
        <w:t xml:space="preserve"> part of the narrative for the purpose of </w:t>
      </w:r>
      <w:r>
        <w:rPr>
          <w:lang w:val="en-GB"/>
        </w:rPr>
        <w:t>justifying the defamatory imputations</w:t>
      </w:r>
      <w:r w:rsidR="00E460FC">
        <w:rPr>
          <w:lang w:val="en-GB"/>
        </w:rPr>
        <w:t xml:space="preserve">.  </w:t>
      </w:r>
      <w:r>
        <w:rPr>
          <w:lang w:val="en-GB"/>
        </w:rPr>
        <w:t xml:space="preserve">As already mentioned, the plea as to the culture of the School under </w:t>
      </w:r>
      <w:r w:rsidR="002E5330">
        <w:rPr>
          <w:lang w:val="en-GB"/>
        </w:rPr>
        <w:lastRenderedPageBreak/>
        <w:t>Professor </w:t>
      </w:r>
      <w:r w:rsidRPr="008E606B">
        <w:rPr>
          <w:lang w:val="en-GB"/>
        </w:rPr>
        <w:t>Winn</w:t>
      </w:r>
      <w:r>
        <w:rPr>
          <w:lang w:val="en-GB"/>
        </w:rPr>
        <w:t xml:space="preserve">'s predecessor is a necessary prelude to the allegation that </w:t>
      </w:r>
      <w:r w:rsidR="002E5330">
        <w:rPr>
          <w:lang w:val="en-GB"/>
        </w:rPr>
        <w:t>Professor </w:t>
      </w:r>
      <w:r w:rsidRPr="008E606B">
        <w:rPr>
          <w:lang w:val="en-GB"/>
        </w:rPr>
        <w:t>Winn</w:t>
      </w:r>
      <w:r>
        <w:rPr>
          <w:lang w:val="en-GB"/>
        </w:rPr>
        <w:t xml:space="preserve"> created (or fostered) a different culture</w:t>
      </w:r>
      <w:r w:rsidR="00E460FC">
        <w:rPr>
          <w:lang w:val="en-GB"/>
        </w:rPr>
        <w:t xml:space="preserve">.  </w:t>
      </w:r>
      <w:r>
        <w:rPr>
          <w:lang w:val="en-GB"/>
        </w:rPr>
        <w:t xml:space="preserve">The other allegations in this part of the pleading provide context for the alleged truth of how </w:t>
      </w:r>
      <w:r w:rsidR="002E5330">
        <w:rPr>
          <w:lang w:val="en-GB"/>
        </w:rPr>
        <w:t>Professor </w:t>
      </w:r>
      <w:r w:rsidRPr="008E606B">
        <w:rPr>
          <w:lang w:val="en-GB"/>
        </w:rPr>
        <w:t>Winn</w:t>
      </w:r>
      <w:r>
        <w:rPr>
          <w:lang w:val="en-GB"/>
        </w:rPr>
        <w:t>'s leadership is said to have created or fostered that culture</w:t>
      </w:r>
      <w:r w:rsidR="002E5330">
        <w:rPr>
          <w:lang w:val="en-GB"/>
        </w:rPr>
        <w:t>.</w:t>
      </w:r>
    </w:p>
    <w:p w14:paraId="3B9F932E" w14:textId="77777777" w:rsidR="00301E46" w:rsidRDefault="00301E46" w:rsidP="00301E46">
      <w:pPr>
        <w:pStyle w:val="Heading3"/>
        <w:rPr>
          <w:lang w:val="en-GB"/>
        </w:rPr>
      </w:pPr>
      <w:r>
        <w:rPr>
          <w:lang w:val="en-GB"/>
        </w:rPr>
        <w:t>Investigation into honorarium</w:t>
      </w:r>
    </w:p>
    <w:p w14:paraId="73DE1E47" w14:textId="188278DB" w:rsidR="00301E46" w:rsidRDefault="00301E46" w:rsidP="00301E46">
      <w:pPr>
        <w:pStyle w:val="ParaNumbering"/>
        <w:tabs>
          <w:tab w:val="num" w:pos="720"/>
        </w:tabs>
        <w:rPr>
          <w:lang w:val="en-GB"/>
        </w:rPr>
      </w:pPr>
      <w:r>
        <w:rPr>
          <w:lang w:val="en-GB"/>
        </w:rPr>
        <w:t xml:space="preserve">The fact that the respondents do not have a copy of the letter referred to </w:t>
      </w:r>
      <w:proofErr w:type="spellStart"/>
      <w:r>
        <w:rPr>
          <w:lang w:val="en-GB"/>
        </w:rPr>
        <w:t>at</w:t>
      </w:r>
      <w:proofErr w:type="spellEnd"/>
      <w:r>
        <w:rPr>
          <w:lang w:val="en-GB"/>
        </w:rPr>
        <w:t xml:space="preserve"> paragraph 29(c) of the Schedule is not a cause for complaint about the pleading</w:t>
      </w:r>
      <w:r w:rsidR="00E460FC">
        <w:rPr>
          <w:lang w:val="en-GB"/>
        </w:rPr>
        <w:t xml:space="preserve">.  </w:t>
      </w:r>
      <w:r>
        <w:rPr>
          <w:lang w:val="en-GB"/>
        </w:rPr>
        <w:t>They allege the existence of the letter and summarise its contents, and presumably have a reasonable factual basis for doing so</w:t>
      </w:r>
      <w:r w:rsidR="00E460FC">
        <w:rPr>
          <w:lang w:val="en-GB"/>
        </w:rPr>
        <w:t xml:space="preserve">.  </w:t>
      </w:r>
      <w:r>
        <w:rPr>
          <w:lang w:val="en-GB"/>
        </w:rPr>
        <w:t>If the letter is not subsequently obtained by way of discovery or subpoena, that will have forensic implications</w:t>
      </w:r>
      <w:r w:rsidR="00E460FC">
        <w:rPr>
          <w:lang w:val="en-GB"/>
        </w:rPr>
        <w:t xml:space="preserve">.  </w:t>
      </w:r>
      <w:r>
        <w:rPr>
          <w:lang w:val="en-GB"/>
        </w:rPr>
        <w:t>But that is a matter for another day</w:t>
      </w:r>
      <w:r w:rsidR="002E5330">
        <w:rPr>
          <w:lang w:val="en-GB"/>
        </w:rPr>
        <w:t>.</w:t>
      </w:r>
    </w:p>
    <w:p w14:paraId="2B3C9071" w14:textId="28308FCB" w:rsidR="00301E46" w:rsidRDefault="00301E46" w:rsidP="00301E46">
      <w:pPr>
        <w:pStyle w:val="ParaNumbering"/>
        <w:tabs>
          <w:tab w:val="num" w:pos="720"/>
        </w:tabs>
        <w:rPr>
          <w:lang w:val="en-GB"/>
        </w:rPr>
      </w:pPr>
      <w:r>
        <w:rPr>
          <w:lang w:val="en-GB"/>
        </w:rPr>
        <w:t>There is no inconsistency between that view and the principle that respondents should have material sufficient to plead justification at the time of filing their defence and should not be permitted to await subpoenas before making the necessary allegations</w:t>
      </w:r>
      <w:r w:rsidR="00E460FC">
        <w:rPr>
          <w:lang w:val="en-GB"/>
        </w:rPr>
        <w:t xml:space="preserve">.  </w:t>
      </w:r>
      <w:r>
        <w:rPr>
          <w:lang w:val="en-GB"/>
        </w:rPr>
        <w:t xml:space="preserve">Here they (presumably) have that </w:t>
      </w:r>
      <w:r w:rsidR="00096463">
        <w:rPr>
          <w:lang w:val="en-GB"/>
        </w:rPr>
        <w:t>material, in the form of evidence of the contents of the letter, albeit not a copy of the letter itself</w:t>
      </w:r>
      <w:r w:rsidR="00E460FC">
        <w:rPr>
          <w:lang w:val="en-GB"/>
        </w:rPr>
        <w:t xml:space="preserve">.  </w:t>
      </w:r>
      <w:r>
        <w:rPr>
          <w:lang w:val="en-GB"/>
        </w:rPr>
        <w:t>To seek to obtain th</w:t>
      </w:r>
      <w:r w:rsidR="006852B3">
        <w:rPr>
          <w:lang w:val="en-GB"/>
        </w:rPr>
        <w:t xml:space="preserve">at </w:t>
      </w:r>
      <w:r>
        <w:rPr>
          <w:lang w:val="en-GB"/>
        </w:rPr>
        <w:t>copy may be a permissible purpose for discovery or the issue of a subpoena</w:t>
      </w:r>
      <w:r w:rsidR="002E5330">
        <w:rPr>
          <w:lang w:val="en-GB"/>
        </w:rPr>
        <w:t xml:space="preserve">:  </w:t>
      </w:r>
      <w:r>
        <w:rPr>
          <w:lang w:val="en-GB"/>
        </w:rPr>
        <w:t xml:space="preserve">see </w:t>
      </w:r>
      <w:r w:rsidRPr="009E088A">
        <w:rPr>
          <w:i/>
          <w:iCs/>
          <w:lang w:val="en-GB"/>
        </w:rPr>
        <w:t xml:space="preserve">Chau Chak Wing </w:t>
      </w:r>
      <w:r w:rsidRPr="009E088A">
        <w:rPr>
          <w:lang w:val="en-GB"/>
        </w:rPr>
        <w:t>at [1</w:t>
      </w:r>
      <w:r>
        <w:rPr>
          <w:lang w:val="en-GB"/>
        </w:rPr>
        <w:t>40].</w:t>
      </w:r>
    </w:p>
    <w:p w14:paraId="4D7E0243" w14:textId="7ED35B32" w:rsidR="00301E46" w:rsidRDefault="00301E46" w:rsidP="00301E46">
      <w:pPr>
        <w:pStyle w:val="ParaNumbering"/>
        <w:tabs>
          <w:tab w:val="num" w:pos="720"/>
        </w:tabs>
        <w:rPr>
          <w:lang w:val="en-GB"/>
        </w:rPr>
      </w:pPr>
      <w:r>
        <w:rPr>
          <w:lang w:val="en-GB"/>
        </w:rPr>
        <w:t xml:space="preserve">I do not agree with </w:t>
      </w:r>
      <w:r w:rsidR="002E5330">
        <w:rPr>
          <w:lang w:val="en-GB"/>
        </w:rPr>
        <w:t>Professor </w:t>
      </w:r>
      <w:r w:rsidRPr="009E088A">
        <w:rPr>
          <w:lang w:val="en-GB"/>
        </w:rPr>
        <w:t>Winn</w:t>
      </w:r>
      <w:r>
        <w:rPr>
          <w:lang w:val="en-GB"/>
        </w:rPr>
        <w:t xml:space="preserve"> that this part of the pleading does not allege any conduct by him</w:t>
      </w:r>
      <w:r w:rsidR="00E460FC">
        <w:rPr>
          <w:lang w:val="en-GB"/>
        </w:rPr>
        <w:t xml:space="preserve">.  </w:t>
      </w:r>
      <w:r>
        <w:rPr>
          <w:lang w:val="en-GB"/>
        </w:rPr>
        <w:t xml:space="preserve">It does, albeit that it is not alleged that </w:t>
      </w:r>
      <w:r w:rsidR="002E5330">
        <w:rPr>
          <w:lang w:val="en-GB"/>
        </w:rPr>
        <w:t>Professor </w:t>
      </w:r>
      <w:r w:rsidRPr="009E088A">
        <w:rPr>
          <w:lang w:val="en-GB"/>
        </w:rPr>
        <w:t>Winn</w:t>
      </w:r>
      <w:r>
        <w:rPr>
          <w:lang w:val="en-GB"/>
        </w:rPr>
        <w:t xml:space="preserve"> spoke directly to </w:t>
      </w:r>
      <w:r w:rsidR="000B633E">
        <w:rPr>
          <w:lang w:val="en-GB"/>
        </w:rPr>
        <w:t>Dr </w:t>
      </w:r>
      <w:r>
        <w:rPr>
          <w:lang w:val="en-GB"/>
        </w:rPr>
        <w:t>Lowe</w:t>
      </w:r>
      <w:r w:rsidR="00E460FC">
        <w:rPr>
          <w:lang w:val="en-GB"/>
        </w:rPr>
        <w:t xml:space="preserve">.  </w:t>
      </w:r>
      <w:r>
        <w:rPr>
          <w:lang w:val="en-GB"/>
        </w:rPr>
        <w:t xml:space="preserve">Whether </w:t>
      </w:r>
      <w:r w:rsidR="002E5330">
        <w:rPr>
          <w:lang w:val="en-GB"/>
        </w:rPr>
        <w:t>Professor </w:t>
      </w:r>
      <w:r w:rsidRPr="00985333">
        <w:rPr>
          <w:lang w:val="en-GB"/>
        </w:rPr>
        <w:t>Winn</w:t>
      </w:r>
      <w:r>
        <w:rPr>
          <w:lang w:val="en-GB"/>
        </w:rPr>
        <w:t>'s alleged conduct 'behind the scenes', considered in context with all the other alleged matters, is bullying or is merely 'reasonable management action' is a matter for trial</w:t>
      </w:r>
      <w:r w:rsidR="002E5330">
        <w:rPr>
          <w:lang w:val="en-GB"/>
        </w:rPr>
        <w:t>.</w:t>
      </w:r>
    </w:p>
    <w:p w14:paraId="76299B8E" w14:textId="63395090" w:rsidR="00301E46" w:rsidRDefault="00301E46" w:rsidP="00301E46">
      <w:pPr>
        <w:pStyle w:val="ParaNumbering"/>
        <w:tabs>
          <w:tab w:val="num" w:pos="720"/>
        </w:tabs>
        <w:rPr>
          <w:lang w:val="en-GB"/>
        </w:rPr>
      </w:pPr>
      <w:r>
        <w:rPr>
          <w:lang w:val="en-GB"/>
        </w:rPr>
        <w:t xml:space="preserve">I also do not agree that further particulars of the causal connection between </w:t>
      </w:r>
      <w:r w:rsidR="002E5330">
        <w:rPr>
          <w:lang w:val="en-GB"/>
        </w:rPr>
        <w:t>Professor </w:t>
      </w:r>
      <w:r w:rsidRPr="00985333">
        <w:rPr>
          <w:lang w:val="en-GB"/>
        </w:rPr>
        <w:t>Winn</w:t>
      </w:r>
      <w:r>
        <w:rPr>
          <w:lang w:val="en-GB"/>
        </w:rPr>
        <w:t xml:space="preserve">'s alleged </w:t>
      </w:r>
      <w:r w:rsidRPr="00985333">
        <w:rPr>
          <w:lang w:val="en-GB"/>
        </w:rPr>
        <w:t>conduct</w:t>
      </w:r>
      <w:r>
        <w:rPr>
          <w:lang w:val="en-GB"/>
        </w:rPr>
        <w:t xml:space="preserve"> and the alleged toxic culture are required</w:t>
      </w:r>
      <w:r w:rsidR="00E460FC">
        <w:rPr>
          <w:lang w:val="en-GB"/>
        </w:rPr>
        <w:t xml:space="preserve">.  </w:t>
      </w:r>
      <w:r>
        <w:rPr>
          <w:lang w:val="en-GB"/>
        </w:rPr>
        <w:t>There is no basis for an assumption that the process described was entirely private</w:t>
      </w:r>
      <w:r w:rsidR="00E460FC">
        <w:rPr>
          <w:lang w:val="en-GB"/>
        </w:rPr>
        <w:t xml:space="preserve">.  </w:t>
      </w:r>
      <w:r>
        <w:rPr>
          <w:lang w:val="en-GB"/>
        </w:rPr>
        <w:t xml:space="preserve">In any event, bullying and intimidating a given member of staff (if that is what happened) </w:t>
      </w:r>
      <w:proofErr w:type="gramStart"/>
      <w:r>
        <w:rPr>
          <w:lang w:val="en-GB"/>
        </w:rPr>
        <w:t>is capable of contributing</w:t>
      </w:r>
      <w:proofErr w:type="gramEnd"/>
      <w:r>
        <w:rPr>
          <w:lang w:val="en-GB"/>
        </w:rPr>
        <w:t xml:space="preserve"> to the culture</w:t>
      </w:r>
      <w:r w:rsidR="00BC06CB">
        <w:rPr>
          <w:lang w:val="en-GB"/>
        </w:rPr>
        <w:t>,</w:t>
      </w:r>
      <w:r>
        <w:rPr>
          <w:lang w:val="en-GB"/>
        </w:rPr>
        <w:t xml:space="preserve"> without more</w:t>
      </w:r>
      <w:r w:rsidR="00E460FC">
        <w:rPr>
          <w:lang w:val="en-GB"/>
        </w:rPr>
        <w:t xml:space="preserve">.  </w:t>
      </w:r>
      <w:r>
        <w:rPr>
          <w:lang w:val="en-GB"/>
        </w:rPr>
        <w:t>If, at trial, the respondents seek to rely on further facts to bolster the causal connection, the applicant will be able to object to that</w:t>
      </w:r>
      <w:r w:rsidR="001E3FF5">
        <w:rPr>
          <w:lang w:val="en-GB"/>
        </w:rPr>
        <w:t>,</w:t>
      </w:r>
      <w:r>
        <w:rPr>
          <w:lang w:val="en-GB"/>
        </w:rPr>
        <w:t xml:space="preserve"> since those facts will not have been disclosed in the Schedule.</w:t>
      </w:r>
    </w:p>
    <w:p w14:paraId="354180E9" w14:textId="5CF4B3D7" w:rsidR="00301E46" w:rsidRPr="00985333" w:rsidRDefault="00301E46" w:rsidP="00301E46">
      <w:pPr>
        <w:pStyle w:val="ParaNumbering"/>
        <w:tabs>
          <w:tab w:val="num" w:pos="720"/>
        </w:tabs>
        <w:rPr>
          <w:lang w:val="en-GB"/>
        </w:rPr>
      </w:pPr>
      <w:r>
        <w:rPr>
          <w:lang w:val="en-GB"/>
        </w:rPr>
        <w:t>Save for the problem of the allegation as to gaslighting (para 33), I would have given the respondents leave to rely on paragraphs</w:t>
      </w:r>
      <w:r w:rsidR="00E06294">
        <w:rPr>
          <w:lang w:val="en-GB"/>
        </w:rPr>
        <w:t> </w:t>
      </w:r>
      <w:r>
        <w:rPr>
          <w:lang w:val="en-GB"/>
        </w:rPr>
        <w:t>16</w:t>
      </w:r>
      <w:r w:rsidR="00FB237E">
        <w:rPr>
          <w:lang w:val="en-GB"/>
        </w:rPr>
        <w:t xml:space="preserve"> to </w:t>
      </w:r>
      <w:r>
        <w:rPr>
          <w:lang w:val="en-GB"/>
        </w:rPr>
        <w:t xml:space="preserve">33 of the </w:t>
      </w:r>
      <w:r w:rsidRPr="00FF48C8">
        <w:rPr>
          <w:lang w:val="en-GB"/>
        </w:rPr>
        <w:t>Schedule</w:t>
      </w:r>
      <w:r w:rsidR="002E5330">
        <w:rPr>
          <w:lang w:val="en-GB"/>
        </w:rPr>
        <w:t>.</w:t>
      </w:r>
    </w:p>
    <w:p w14:paraId="2CFB3AE5" w14:textId="77777777" w:rsidR="00301E46" w:rsidRPr="006D4097" w:rsidRDefault="00301E46" w:rsidP="00301E46">
      <w:pPr>
        <w:pStyle w:val="Heading3"/>
        <w:rPr>
          <w:lang w:val="en-GB"/>
        </w:rPr>
      </w:pPr>
      <w:r>
        <w:lastRenderedPageBreak/>
        <w:t>DFAT Funding</w:t>
      </w:r>
    </w:p>
    <w:p w14:paraId="3D0F2B46" w14:textId="64E90E25" w:rsidR="00301E46" w:rsidRDefault="00301E46" w:rsidP="00301E46">
      <w:pPr>
        <w:pStyle w:val="ParaNumbering"/>
        <w:tabs>
          <w:tab w:val="num" w:pos="720"/>
        </w:tabs>
        <w:rPr>
          <w:lang w:val="en-GB"/>
        </w:rPr>
      </w:pPr>
      <w:r>
        <w:rPr>
          <w:lang w:val="en-GB"/>
        </w:rPr>
        <w:t>I do not accept that paragraph 47 is insufficiently precise</w:t>
      </w:r>
      <w:r w:rsidR="00E460FC">
        <w:rPr>
          <w:lang w:val="en-GB"/>
        </w:rPr>
        <w:t xml:space="preserve">.  </w:t>
      </w:r>
      <w:r>
        <w:rPr>
          <w:lang w:val="en-GB"/>
        </w:rPr>
        <w:t xml:space="preserve">While it does not give </w:t>
      </w:r>
      <w:r>
        <w:t xml:space="preserve">a specific date for </w:t>
      </w:r>
      <w:r>
        <w:rPr>
          <w:lang w:val="en-GB"/>
        </w:rPr>
        <w:t xml:space="preserve">the conversation in question, it does give its substance, the people allegedly involved and an inferred approximate timing (around the time when </w:t>
      </w:r>
      <w:r w:rsidR="000B633E">
        <w:rPr>
          <w:lang w:val="en-GB"/>
        </w:rPr>
        <w:t>Dr </w:t>
      </w:r>
      <w:r>
        <w:rPr>
          <w:lang w:val="en-GB"/>
        </w:rPr>
        <w:t>Allen's funding application in January 2020 was refused)</w:t>
      </w:r>
      <w:r w:rsidR="000830B2">
        <w:rPr>
          <w:lang w:val="en-GB"/>
        </w:rPr>
        <w:t>,</w:t>
      </w:r>
      <w:r>
        <w:rPr>
          <w:lang w:val="en-GB"/>
        </w:rPr>
        <w:t xml:space="preserve"> which equips </w:t>
      </w:r>
      <w:r w:rsidR="002E5330">
        <w:rPr>
          <w:lang w:val="en-GB"/>
        </w:rPr>
        <w:t>Professor </w:t>
      </w:r>
      <w:r w:rsidRPr="00A72300">
        <w:rPr>
          <w:lang w:val="en-GB"/>
        </w:rPr>
        <w:t>Winn</w:t>
      </w:r>
      <w:r>
        <w:rPr>
          <w:lang w:val="en-GB"/>
        </w:rPr>
        <w:t xml:space="preserve"> to answer it</w:t>
      </w:r>
      <w:r w:rsidR="002E5330">
        <w:rPr>
          <w:lang w:val="en-GB"/>
        </w:rPr>
        <w:t>.</w:t>
      </w:r>
    </w:p>
    <w:p w14:paraId="09FBEC3B" w14:textId="73719CC5" w:rsidR="00301E46" w:rsidRDefault="00301E46" w:rsidP="00301E46">
      <w:pPr>
        <w:pStyle w:val="ParaNumbering"/>
        <w:tabs>
          <w:tab w:val="num" w:pos="720"/>
        </w:tabs>
        <w:rPr>
          <w:lang w:val="en-GB"/>
        </w:rPr>
      </w:pPr>
      <w:r>
        <w:rPr>
          <w:lang w:val="en-GB"/>
        </w:rPr>
        <w:t xml:space="preserve">I accept in part </w:t>
      </w:r>
      <w:r w:rsidR="002E5330">
        <w:rPr>
          <w:lang w:val="en-GB"/>
        </w:rPr>
        <w:t>Professor </w:t>
      </w:r>
      <w:r w:rsidRPr="00A72300">
        <w:rPr>
          <w:lang w:val="en-GB"/>
        </w:rPr>
        <w:t>Winn</w:t>
      </w:r>
      <w:r>
        <w:rPr>
          <w:lang w:val="en-GB"/>
        </w:rPr>
        <w:t>'s submission that paragraph 48 does not falsify the reason for denying the funding application which is attributed to him in paragraph 47</w:t>
      </w:r>
      <w:r w:rsidR="00E460FC">
        <w:rPr>
          <w:lang w:val="en-GB"/>
        </w:rPr>
        <w:t xml:space="preserve">.  </w:t>
      </w:r>
      <w:r>
        <w:rPr>
          <w:lang w:val="en-GB"/>
        </w:rPr>
        <w:t>That reason was that research could not be conducted in Indonesia without the approval of the Indonesian government</w:t>
      </w:r>
      <w:r w:rsidR="00E460FC">
        <w:rPr>
          <w:lang w:val="en-GB"/>
        </w:rPr>
        <w:t xml:space="preserve">.  </w:t>
      </w:r>
      <w:r>
        <w:rPr>
          <w:lang w:val="en-GB"/>
        </w:rPr>
        <w:t>If, as alleged in paragraph 48, the proposed trip did not include research, that would make the allegation false</w:t>
      </w:r>
      <w:r w:rsidR="00E460FC">
        <w:rPr>
          <w:lang w:val="en-GB"/>
        </w:rPr>
        <w:t xml:space="preserve">.  </w:t>
      </w:r>
      <w:r>
        <w:rPr>
          <w:lang w:val="en-GB"/>
        </w:rPr>
        <w:t xml:space="preserve">But I agree that the second part of paragraph 48 - that </w:t>
      </w:r>
      <w:r w:rsidR="000B633E">
        <w:rPr>
          <w:lang w:val="en-GB"/>
        </w:rPr>
        <w:t>Dr </w:t>
      </w:r>
      <w:r>
        <w:rPr>
          <w:lang w:val="en-GB"/>
        </w:rPr>
        <w:t>Allen had previously been approved to travel to Indonesia for the same purpose</w:t>
      </w:r>
      <w:r w:rsidR="00D708E3">
        <w:rPr>
          <w:lang w:val="en-GB"/>
        </w:rPr>
        <w:t xml:space="preserve"> -</w:t>
      </w:r>
      <w:r>
        <w:rPr>
          <w:lang w:val="en-GB"/>
        </w:rPr>
        <w:t xml:space="preserve"> does not falsify paragraph 47, because it does not say that this occurred in circumstances where the approval of the Indonesian government had not been obtained</w:t>
      </w:r>
      <w:r w:rsidR="00E460FC">
        <w:rPr>
          <w:lang w:val="en-GB"/>
        </w:rPr>
        <w:t xml:space="preserve">.  </w:t>
      </w:r>
      <w:r>
        <w:rPr>
          <w:lang w:val="en-GB"/>
        </w:rPr>
        <w:t>I would therefore not give leave to rely on paragraph 48(b) in its current form</w:t>
      </w:r>
      <w:r w:rsidR="002E5330">
        <w:rPr>
          <w:lang w:val="en-GB"/>
        </w:rPr>
        <w:t>.</w:t>
      </w:r>
    </w:p>
    <w:p w14:paraId="20A25812" w14:textId="0574113B" w:rsidR="00301E46" w:rsidRPr="00D25F14" w:rsidRDefault="00301E46" w:rsidP="00301E46">
      <w:pPr>
        <w:pStyle w:val="ParaNumbering"/>
        <w:tabs>
          <w:tab w:val="num" w:pos="720"/>
        </w:tabs>
        <w:rPr>
          <w:lang w:val="en-GB"/>
        </w:rPr>
      </w:pPr>
      <w:r>
        <w:rPr>
          <w:lang w:val="en-GB"/>
        </w:rPr>
        <w:t xml:space="preserve">Once again, it is not correct to say that this part of the pleading does not allege conduct by </w:t>
      </w:r>
      <w:r w:rsidR="002E5330">
        <w:rPr>
          <w:lang w:val="en-GB"/>
        </w:rPr>
        <w:t>Professor </w:t>
      </w:r>
      <w:r w:rsidRPr="00C006CE">
        <w:rPr>
          <w:lang w:val="en-GB"/>
        </w:rPr>
        <w:t>Winn</w:t>
      </w:r>
      <w:r w:rsidR="00E460FC">
        <w:rPr>
          <w:lang w:val="en-GB"/>
        </w:rPr>
        <w:t xml:space="preserve">.  </w:t>
      </w:r>
      <w:r>
        <w:rPr>
          <w:lang w:val="en-GB"/>
        </w:rPr>
        <w:t>It makes several allegations that he did things</w:t>
      </w:r>
      <w:r w:rsidR="00E460FC">
        <w:rPr>
          <w:lang w:val="en-GB"/>
        </w:rPr>
        <w:t xml:space="preserve">.  </w:t>
      </w:r>
      <w:r>
        <w:rPr>
          <w:lang w:val="en-GB"/>
        </w:rPr>
        <w:t xml:space="preserve">That some of those things </w:t>
      </w:r>
      <w:r w:rsidRPr="00D25F14">
        <w:rPr>
          <w:lang w:val="en-GB"/>
        </w:rPr>
        <w:t xml:space="preserve">were allegedly done through </w:t>
      </w:r>
      <w:r w:rsidR="000B633E" w:rsidRPr="00D862D7">
        <w:rPr>
          <w:lang w:val="en-GB"/>
        </w:rPr>
        <w:t>Dr</w:t>
      </w:r>
      <w:r w:rsidR="007A06B4" w:rsidRPr="00D25F14">
        <w:rPr>
          <w:lang w:val="en-GB"/>
        </w:rPr>
        <w:t xml:space="preserve"> </w:t>
      </w:r>
      <w:r w:rsidRPr="00D25F14">
        <w:rPr>
          <w:lang w:val="en-GB"/>
        </w:rPr>
        <w:t>Jones as an intermediary is not to the point</w:t>
      </w:r>
      <w:r w:rsidR="002E5330" w:rsidRPr="00D25F14">
        <w:rPr>
          <w:lang w:val="en-GB"/>
        </w:rPr>
        <w:t>.</w:t>
      </w:r>
    </w:p>
    <w:p w14:paraId="0F196CB4" w14:textId="1073B68D" w:rsidR="00301E46" w:rsidRDefault="002E5330" w:rsidP="00301E46">
      <w:pPr>
        <w:pStyle w:val="ParaNumbering"/>
        <w:tabs>
          <w:tab w:val="num" w:pos="720"/>
        </w:tabs>
        <w:rPr>
          <w:lang w:val="en-GB"/>
        </w:rPr>
      </w:pPr>
      <w:r>
        <w:rPr>
          <w:lang w:val="en-GB"/>
        </w:rPr>
        <w:t>Professor </w:t>
      </w:r>
      <w:r w:rsidR="00301E46" w:rsidRPr="00D55D55">
        <w:rPr>
          <w:lang w:val="en-GB"/>
        </w:rPr>
        <w:t>Winn</w:t>
      </w:r>
      <w:r w:rsidR="00301E46">
        <w:rPr>
          <w:lang w:val="en-GB"/>
        </w:rPr>
        <w:t>'</w:t>
      </w:r>
      <w:r w:rsidR="007A06B4">
        <w:rPr>
          <w:lang w:val="en-GB"/>
        </w:rPr>
        <w:t>s</w:t>
      </w:r>
      <w:r w:rsidR="00301E46">
        <w:rPr>
          <w:lang w:val="en-GB"/>
        </w:rPr>
        <w:t xml:space="preserve"> affidavit contained evidence suggesting that it would be unduly prejudicial to him to have to respond to the allegations about </w:t>
      </w:r>
      <w:r w:rsidR="000B633E">
        <w:rPr>
          <w:lang w:val="en-GB"/>
        </w:rPr>
        <w:t>Dr </w:t>
      </w:r>
      <w:r w:rsidR="00301E46">
        <w:rPr>
          <w:lang w:val="en-GB"/>
        </w:rPr>
        <w:t>Allen's DFAT funding due to the involvement of numerous (unspecified) witnesses and documentary evidence</w:t>
      </w:r>
      <w:r w:rsidR="00E460FC">
        <w:rPr>
          <w:lang w:val="en-GB"/>
        </w:rPr>
        <w:t xml:space="preserve">.  </w:t>
      </w:r>
      <w:r w:rsidR="00301E46">
        <w:rPr>
          <w:lang w:val="en-GB"/>
        </w:rPr>
        <w:t>I do not accept that</w:t>
      </w:r>
      <w:r w:rsidR="00E460FC">
        <w:rPr>
          <w:lang w:val="en-GB"/>
        </w:rPr>
        <w:t xml:space="preserve">.  </w:t>
      </w:r>
      <w:r w:rsidR="00301E46">
        <w:rPr>
          <w:lang w:val="en-GB"/>
        </w:rPr>
        <w:t xml:space="preserve">It appears, on the face of the pleading, to raise issues of no remarkable scope about the </w:t>
      </w:r>
      <w:r w:rsidR="00301E46" w:rsidRPr="00B050FC">
        <w:rPr>
          <w:lang w:val="en-GB"/>
        </w:rPr>
        <w:t>conduct</w:t>
      </w:r>
      <w:r w:rsidR="00301E46">
        <w:rPr>
          <w:lang w:val="en-GB"/>
        </w:rPr>
        <w:t xml:space="preserve"> of a small number of people surrounding a specific pool of funds</w:t>
      </w:r>
      <w:r w:rsidR="00E460FC">
        <w:rPr>
          <w:lang w:val="en-GB"/>
        </w:rPr>
        <w:t xml:space="preserve">.  </w:t>
      </w:r>
      <w:r w:rsidR="00301E46">
        <w:rPr>
          <w:lang w:val="en-GB"/>
        </w:rPr>
        <w:t>I would not deny leave to rely on this part of the pleading on that basis</w:t>
      </w:r>
      <w:r>
        <w:rPr>
          <w:lang w:val="en-GB"/>
        </w:rPr>
        <w:t>.</w:t>
      </w:r>
    </w:p>
    <w:p w14:paraId="5D6BF7C7" w14:textId="34AC736E" w:rsidR="00301E46" w:rsidRDefault="00301E46" w:rsidP="00301E46">
      <w:pPr>
        <w:pStyle w:val="Heading3"/>
        <w:rPr>
          <w:lang w:val="en-GB"/>
        </w:rPr>
      </w:pPr>
      <w:r>
        <w:rPr>
          <w:lang w:val="en-GB"/>
        </w:rPr>
        <w:t xml:space="preserve">Emails from </w:t>
      </w:r>
      <w:r w:rsidR="000B633E">
        <w:rPr>
          <w:lang w:val="en-GB"/>
        </w:rPr>
        <w:t>Dr </w:t>
      </w:r>
      <w:r>
        <w:rPr>
          <w:lang w:val="en-GB"/>
        </w:rPr>
        <w:t>Prout</w:t>
      </w:r>
    </w:p>
    <w:p w14:paraId="120D6496" w14:textId="5268F971" w:rsidR="00301E46" w:rsidRDefault="00301E46" w:rsidP="00301E46">
      <w:pPr>
        <w:pStyle w:val="ParaNumbering"/>
        <w:tabs>
          <w:tab w:val="num" w:pos="720"/>
        </w:tabs>
        <w:rPr>
          <w:lang w:val="en-GB"/>
        </w:rPr>
      </w:pPr>
      <w:r>
        <w:rPr>
          <w:lang w:val="en-GB"/>
        </w:rPr>
        <w:t xml:space="preserve">I do not accept </w:t>
      </w:r>
      <w:r w:rsidR="002E5330">
        <w:rPr>
          <w:lang w:val="en-GB"/>
        </w:rPr>
        <w:t>Professor </w:t>
      </w:r>
      <w:r w:rsidRPr="0002133E">
        <w:rPr>
          <w:lang w:val="en-GB"/>
        </w:rPr>
        <w:t>Winn</w:t>
      </w:r>
      <w:r>
        <w:rPr>
          <w:lang w:val="en-GB"/>
        </w:rPr>
        <w:t>'s submission that the allegation in paragraph 55 that he failed to offer support to staff is vague</w:t>
      </w:r>
      <w:r w:rsidR="00E460FC">
        <w:rPr>
          <w:lang w:val="en-GB"/>
        </w:rPr>
        <w:t xml:space="preserve">.  </w:t>
      </w:r>
      <w:r>
        <w:rPr>
          <w:lang w:val="en-GB"/>
        </w:rPr>
        <w:t>He submitted that countering it would require him to prove each time he offered support to staff on any occasion throughout his tenure as Executive Dean</w:t>
      </w:r>
      <w:r w:rsidR="00E460FC">
        <w:rPr>
          <w:lang w:val="en-GB"/>
        </w:rPr>
        <w:t xml:space="preserve">.  </w:t>
      </w:r>
      <w:r>
        <w:rPr>
          <w:lang w:val="en-GB"/>
        </w:rPr>
        <w:t>That is not correct</w:t>
      </w:r>
      <w:r w:rsidR="00E460FC">
        <w:rPr>
          <w:lang w:val="en-GB"/>
        </w:rPr>
        <w:t xml:space="preserve">.  </w:t>
      </w:r>
      <w:r>
        <w:rPr>
          <w:lang w:val="en-GB"/>
        </w:rPr>
        <w:t xml:space="preserve">The allegation needs to be read in the context of what precedes it, concerning </w:t>
      </w:r>
      <w:r w:rsidR="000B633E">
        <w:rPr>
          <w:lang w:val="en-GB"/>
        </w:rPr>
        <w:t>Dr </w:t>
      </w:r>
      <w:r>
        <w:rPr>
          <w:lang w:val="en-GB"/>
        </w:rPr>
        <w:t>Prout's circular email of 4 December 2019</w:t>
      </w:r>
      <w:r w:rsidR="00E460FC">
        <w:rPr>
          <w:lang w:val="en-GB"/>
        </w:rPr>
        <w:t xml:space="preserve">.  </w:t>
      </w:r>
      <w:r>
        <w:rPr>
          <w:lang w:val="en-GB"/>
        </w:rPr>
        <w:t xml:space="preserve">The issue raised is whether </w:t>
      </w:r>
      <w:r w:rsidR="002E5330">
        <w:rPr>
          <w:lang w:val="en-GB"/>
        </w:rPr>
        <w:t>Professor </w:t>
      </w:r>
      <w:r w:rsidRPr="0002133E">
        <w:rPr>
          <w:lang w:val="en-GB"/>
        </w:rPr>
        <w:t>Winn</w:t>
      </w:r>
      <w:r>
        <w:rPr>
          <w:lang w:val="en-GB"/>
        </w:rPr>
        <w:t xml:space="preserve"> was prompted by that email to offer support to staff</w:t>
      </w:r>
      <w:r w:rsidR="00E460FC">
        <w:rPr>
          <w:lang w:val="en-GB"/>
        </w:rPr>
        <w:t xml:space="preserve">.  </w:t>
      </w:r>
      <w:r>
        <w:rPr>
          <w:lang w:val="en-GB"/>
        </w:rPr>
        <w:t xml:space="preserve">If he did, </w:t>
      </w:r>
      <w:r w:rsidR="002E5330">
        <w:rPr>
          <w:lang w:val="en-GB"/>
        </w:rPr>
        <w:t>Professor </w:t>
      </w:r>
      <w:r w:rsidRPr="0002133E">
        <w:rPr>
          <w:lang w:val="en-GB"/>
        </w:rPr>
        <w:t>Winn</w:t>
      </w:r>
      <w:r>
        <w:rPr>
          <w:lang w:val="en-GB"/>
        </w:rPr>
        <w:t xml:space="preserve"> will be able to adduce evidence of that</w:t>
      </w:r>
      <w:r w:rsidR="002E5330">
        <w:rPr>
          <w:lang w:val="en-GB"/>
        </w:rPr>
        <w:t>.</w:t>
      </w:r>
    </w:p>
    <w:p w14:paraId="26D8996C" w14:textId="259C1030" w:rsidR="00301E46" w:rsidRDefault="00301E46" w:rsidP="00301E46">
      <w:pPr>
        <w:pStyle w:val="ParaNumbering"/>
        <w:tabs>
          <w:tab w:val="num" w:pos="720"/>
        </w:tabs>
        <w:rPr>
          <w:lang w:val="en-GB"/>
        </w:rPr>
      </w:pPr>
      <w:r>
        <w:rPr>
          <w:lang w:val="en-GB"/>
        </w:rPr>
        <w:lastRenderedPageBreak/>
        <w:t xml:space="preserve">I agree, however, that </w:t>
      </w:r>
      <w:r w:rsidR="002E5330">
        <w:rPr>
          <w:lang w:val="en-GB"/>
        </w:rPr>
        <w:t>Professor </w:t>
      </w:r>
      <w:r w:rsidRPr="0002133E">
        <w:rPr>
          <w:lang w:val="en-GB"/>
        </w:rPr>
        <w:t>Winn</w:t>
      </w:r>
      <w:r>
        <w:rPr>
          <w:lang w:val="en-GB"/>
        </w:rPr>
        <w:t>'s alleged conduct in not responding to an email</w:t>
      </w:r>
      <w:r w:rsidR="00670097">
        <w:rPr>
          <w:lang w:val="en-GB"/>
        </w:rPr>
        <w:t xml:space="preserve"> (paragraph 57 of the Schedule)</w:t>
      </w:r>
      <w:r>
        <w:rPr>
          <w:lang w:val="en-GB"/>
        </w:rPr>
        <w:t xml:space="preserve"> is not capable of </w:t>
      </w:r>
      <w:r w:rsidRPr="0002133E">
        <w:rPr>
          <w:i/>
          <w:iCs/>
          <w:lang w:val="en-GB"/>
        </w:rPr>
        <w:t>constituting</w:t>
      </w:r>
      <w:r>
        <w:rPr>
          <w:lang w:val="en-GB"/>
        </w:rPr>
        <w:t xml:space="preserve"> bullying or gaslighting, that being the allegation at paragraph 57A</w:t>
      </w:r>
      <w:r w:rsidR="00E460FC">
        <w:rPr>
          <w:lang w:val="en-GB"/>
        </w:rPr>
        <w:t xml:space="preserve">.  </w:t>
      </w:r>
      <w:r>
        <w:rPr>
          <w:lang w:val="en-GB"/>
        </w:rPr>
        <w:t xml:space="preserve">That is so even if the </w:t>
      </w:r>
      <w:r w:rsidRPr="0002133E">
        <w:rPr>
          <w:lang w:val="en-GB"/>
        </w:rPr>
        <w:t>conduct</w:t>
      </w:r>
      <w:r>
        <w:rPr>
          <w:lang w:val="en-GB"/>
        </w:rPr>
        <w:t xml:space="preserve"> is considered in the context of all the other allegations</w:t>
      </w:r>
      <w:r w:rsidR="00E460FC">
        <w:rPr>
          <w:lang w:val="en-GB"/>
        </w:rPr>
        <w:t xml:space="preserve">.  </w:t>
      </w:r>
      <w:r>
        <w:rPr>
          <w:lang w:val="en-GB"/>
        </w:rPr>
        <w:t xml:space="preserve">It could, perhaps, be necessary background to the allegations about </w:t>
      </w:r>
      <w:r w:rsidR="002E5330">
        <w:rPr>
          <w:lang w:val="en-GB"/>
        </w:rPr>
        <w:t>Professor </w:t>
      </w:r>
      <w:r w:rsidRPr="00796A12">
        <w:rPr>
          <w:lang w:val="en-GB"/>
        </w:rPr>
        <w:t>Winn</w:t>
      </w:r>
      <w:r>
        <w:rPr>
          <w:lang w:val="en-GB"/>
        </w:rPr>
        <w:t>'s role in creating or fostering a toxic culture</w:t>
      </w:r>
      <w:r w:rsidR="00745BC9">
        <w:rPr>
          <w:lang w:val="en-GB"/>
        </w:rPr>
        <w:t xml:space="preserve"> of fear</w:t>
      </w:r>
      <w:r>
        <w:rPr>
          <w:lang w:val="en-GB"/>
        </w:rPr>
        <w:t xml:space="preserve">, or about the reason why he refused to allow </w:t>
      </w:r>
      <w:r w:rsidR="000B633E">
        <w:rPr>
          <w:lang w:val="en-GB"/>
        </w:rPr>
        <w:t>Dr </w:t>
      </w:r>
      <w:r>
        <w:rPr>
          <w:lang w:val="en-GB"/>
        </w:rPr>
        <w:t>Prout to tutor a unit</w:t>
      </w:r>
      <w:r w:rsidR="00E460FC">
        <w:rPr>
          <w:lang w:val="en-GB"/>
        </w:rPr>
        <w:t xml:space="preserve">.  </w:t>
      </w:r>
      <w:r>
        <w:rPr>
          <w:lang w:val="en-GB"/>
        </w:rPr>
        <w:t xml:space="preserve">But </w:t>
      </w:r>
      <w:r w:rsidR="00340821">
        <w:rPr>
          <w:lang w:val="en-GB"/>
        </w:rPr>
        <w:t xml:space="preserve">it is put </w:t>
      </w:r>
      <w:r w:rsidR="00DB24D5">
        <w:rPr>
          <w:lang w:val="en-GB"/>
        </w:rPr>
        <w:t>in stronger terms in paragraph 57A</w:t>
      </w:r>
      <w:r w:rsidR="00E460FC">
        <w:rPr>
          <w:lang w:val="en-GB"/>
        </w:rPr>
        <w:t xml:space="preserve">.  </w:t>
      </w:r>
      <w:r>
        <w:rPr>
          <w:lang w:val="en-GB"/>
        </w:rPr>
        <w:t xml:space="preserve">As presently pleaded, I would not give leave to rely on </w:t>
      </w:r>
      <w:r w:rsidR="00DB24D5">
        <w:rPr>
          <w:lang w:val="en-GB"/>
        </w:rPr>
        <w:t xml:space="preserve">that </w:t>
      </w:r>
      <w:r>
        <w:rPr>
          <w:lang w:val="en-GB"/>
        </w:rPr>
        <w:t>paragraph.</w:t>
      </w:r>
    </w:p>
    <w:p w14:paraId="5E829049" w14:textId="19EFA941" w:rsidR="00301E46" w:rsidRPr="00796A12" w:rsidRDefault="00301E46" w:rsidP="00301E46">
      <w:pPr>
        <w:pStyle w:val="ParaNumbering"/>
        <w:tabs>
          <w:tab w:val="num" w:pos="720"/>
        </w:tabs>
        <w:rPr>
          <w:lang w:val="en-GB"/>
        </w:rPr>
      </w:pPr>
      <w:r>
        <w:rPr>
          <w:lang w:val="en-GB"/>
        </w:rPr>
        <w:t>Paragraphs</w:t>
      </w:r>
      <w:r w:rsidR="00E06294">
        <w:rPr>
          <w:lang w:val="en-GB"/>
        </w:rPr>
        <w:t> </w:t>
      </w:r>
      <w:r>
        <w:rPr>
          <w:lang w:val="en-GB"/>
        </w:rPr>
        <w:t>52</w:t>
      </w:r>
      <w:r w:rsidR="00D12ACE">
        <w:rPr>
          <w:lang w:val="en-GB"/>
        </w:rPr>
        <w:t> to </w:t>
      </w:r>
      <w:r>
        <w:rPr>
          <w:lang w:val="en-GB"/>
        </w:rPr>
        <w:t>57, however, also serve a function as necessary background to paragraphs</w:t>
      </w:r>
      <w:r w:rsidR="00E06294">
        <w:rPr>
          <w:lang w:val="en-GB"/>
        </w:rPr>
        <w:t> </w:t>
      </w:r>
      <w:r>
        <w:rPr>
          <w:lang w:val="en-GB"/>
        </w:rPr>
        <w:t>57B</w:t>
      </w:r>
      <w:r w:rsidR="00D12ACE">
        <w:rPr>
          <w:lang w:val="en-GB"/>
        </w:rPr>
        <w:t> to </w:t>
      </w:r>
      <w:r>
        <w:rPr>
          <w:lang w:val="en-GB"/>
        </w:rPr>
        <w:t>57E (see next section)</w:t>
      </w:r>
      <w:r w:rsidR="00E460FC">
        <w:rPr>
          <w:lang w:val="en-GB"/>
        </w:rPr>
        <w:t xml:space="preserve">.  </w:t>
      </w:r>
      <w:r>
        <w:rPr>
          <w:lang w:val="en-GB"/>
        </w:rPr>
        <w:t>For that reason, the respondents should have leave to rely on them</w:t>
      </w:r>
      <w:r w:rsidR="002E5330">
        <w:rPr>
          <w:lang w:val="en-GB"/>
        </w:rPr>
        <w:t>.</w:t>
      </w:r>
    </w:p>
    <w:p w14:paraId="51E6285F" w14:textId="60AE7AAE" w:rsidR="00301E46" w:rsidRDefault="00301E46" w:rsidP="00301E46">
      <w:pPr>
        <w:pStyle w:val="Heading3"/>
        <w:rPr>
          <w:lang w:val="en-GB"/>
        </w:rPr>
      </w:pPr>
      <w:r w:rsidRPr="00220B5E">
        <w:rPr>
          <w:lang w:val="en-GB"/>
        </w:rPr>
        <w:t xml:space="preserve">Refusal to allow </w:t>
      </w:r>
      <w:r w:rsidR="000B633E">
        <w:rPr>
          <w:lang w:val="en-GB"/>
        </w:rPr>
        <w:t>Dr </w:t>
      </w:r>
      <w:r w:rsidRPr="00220B5E">
        <w:rPr>
          <w:lang w:val="en-GB"/>
        </w:rPr>
        <w:t xml:space="preserve">Prout to </w:t>
      </w:r>
      <w:proofErr w:type="gramStart"/>
      <w:r w:rsidRPr="00220B5E">
        <w:rPr>
          <w:lang w:val="en-GB"/>
        </w:rPr>
        <w:t>tutor</w:t>
      </w:r>
      <w:proofErr w:type="gramEnd"/>
    </w:p>
    <w:p w14:paraId="05A794EA" w14:textId="1C4225D0" w:rsidR="00301E46" w:rsidRDefault="00301E46" w:rsidP="00301E46">
      <w:pPr>
        <w:pStyle w:val="ParaNumbering"/>
        <w:tabs>
          <w:tab w:val="num" w:pos="720"/>
        </w:tabs>
        <w:rPr>
          <w:lang w:val="en-GB"/>
        </w:rPr>
      </w:pPr>
      <w:r>
        <w:rPr>
          <w:lang w:val="en-GB"/>
        </w:rPr>
        <w:t>The objections to this section (paras 57B</w:t>
      </w:r>
      <w:r w:rsidR="00FB237E">
        <w:rPr>
          <w:lang w:val="en-GB"/>
        </w:rPr>
        <w:noBreakHyphen/>
      </w:r>
      <w:r>
        <w:rPr>
          <w:lang w:val="en-GB"/>
        </w:rPr>
        <w:t xml:space="preserve">57E) have already been addressed </w:t>
      </w:r>
      <w:r w:rsidRPr="00491757">
        <w:rPr>
          <w:lang w:val="en-GB"/>
        </w:rPr>
        <w:t xml:space="preserve">in the </w:t>
      </w:r>
      <w:r w:rsidRPr="00FD0461">
        <w:rPr>
          <w:lang w:val="en-GB"/>
        </w:rPr>
        <w:t xml:space="preserve">overview </w:t>
      </w:r>
      <w:r w:rsidRPr="00491757">
        <w:rPr>
          <w:lang w:val="en-GB"/>
        </w:rPr>
        <w:t>as to whether</w:t>
      </w:r>
      <w:r>
        <w:rPr>
          <w:lang w:val="en-GB"/>
        </w:rPr>
        <w:t xml:space="preserve"> the Schedule discloses a reasonable defence</w:t>
      </w:r>
      <w:r w:rsidR="00263950">
        <w:rPr>
          <w:lang w:val="en-GB"/>
        </w:rPr>
        <w:t xml:space="preserve"> (</w:t>
      </w:r>
      <w:r w:rsidR="00263950" w:rsidRPr="00491757">
        <w:rPr>
          <w:lang w:val="en-GB"/>
        </w:rPr>
        <w:t>see [</w:t>
      </w:r>
      <w:r w:rsidR="00263950" w:rsidRPr="00847EA6">
        <w:rPr>
          <w:lang w:val="en-GB"/>
        </w:rPr>
        <w:fldChar w:fldCharType="begin"/>
      </w:r>
      <w:r w:rsidR="00263950" w:rsidRPr="00491757">
        <w:rPr>
          <w:lang w:val="en-GB"/>
        </w:rPr>
        <w:instrText xml:space="preserve"> REF _Ref163731358 \r \h </w:instrText>
      </w:r>
      <w:r w:rsidR="00263950">
        <w:rPr>
          <w:lang w:val="en-GB"/>
        </w:rPr>
        <w:instrText xml:space="preserve"> \* MERGEFORMAT </w:instrText>
      </w:r>
      <w:r w:rsidR="00263950" w:rsidRPr="00847EA6">
        <w:rPr>
          <w:lang w:val="en-GB"/>
        </w:rPr>
      </w:r>
      <w:r w:rsidR="00263950" w:rsidRPr="00847EA6">
        <w:rPr>
          <w:lang w:val="en-GB"/>
        </w:rPr>
        <w:fldChar w:fldCharType="separate"/>
      </w:r>
      <w:r w:rsidR="00263950">
        <w:rPr>
          <w:lang w:val="en-GB"/>
        </w:rPr>
        <w:t>64</w:t>
      </w:r>
      <w:r w:rsidR="00263950" w:rsidRPr="00847EA6">
        <w:rPr>
          <w:lang w:val="en-GB"/>
        </w:rPr>
        <w:fldChar w:fldCharType="end"/>
      </w:r>
      <w:r w:rsidR="00263950">
        <w:rPr>
          <w:lang w:val="en-GB"/>
        </w:rPr>
        <w:t>]</w:t>
      </w:r>
      <w:r w:rsidR="00263950" w:rsidRPr="00847EA6">
        <w:rPr>
          <w:lang w:val="en-GB"/>
        </w:rPr>
        <w:fldChar w:fldCharType="begin"/>
      </w:r>
      <w:r w:rsidR="00263950" w:rsidRPr="00847EA6">
        <w:rPr>
          <w:lang w:val="en-GB"/>
        </w:rPr>
        <w:instrText xml:space="preserve"> REF _Ref163731362 \r \h </w:instrText>
      </w:r>
      <w:r w:rsidR="00263950">
        <w:rPr>
          <w:lang w:val="en-GB"/>
        </w:rPr>
        <w:instrText xml:space="preserve"> \* MERGEFORMAT </w:instrText>
      </w:r>
      <w:r w:rsidR="00263950" w:rsidRPr="00847EA6">
        <w:rPr>
          <w:lang w:val="en-GB"/>
        </w:rPr>
      </w:r>
      <w:r w:rsidR="00263950" w:rsidRPr="00847EA6">
        <w:rPr>
          <w:lang w:val="en-GB"/>
        </w:rPr>
        <w:fldChar w:fldCharType="separate"/>
      </w:r>
      <w:r w:rsidR="00263950">
        <w:rPr>
          <w:lang w:val="en-GB"/>
        </w:rPr>
        <w:t>(4)</w:t>
      </w:r>
      <w:r w:rsidR="00263950" w:rsidRPr="00847EA6">
        <w:rPr>
          <w:lang w:val="en-GB"/>
        </w:rPr>
        <w:fldChar w:fldCharType="end"/>
      </w:r>
      <w:r w:rsidR="00F0378C">
        <w:rPr>
          <w:lang w:val="en-GB"/>
        </w:rPr>
        <w:t xml:space="preserve"> above</w:t>
      </w:r>
      <w:r w:rsidR="00263950" w:rsidRPr="00491757">
        <w:rPr>
          <w:lang w:val="en-GB"/>
        </w:rPr>
        <w:t>)</w:t>
      </w:r>
      <w:r>
        <w:rPr>
          <w:lang w:val="en-GB"/>
        </w:rPr>
        <w:t>, including the observations there about the inferences pleaded</w:t>
      </w:r>
      <w:r w:rsidR="00E460FC">
        <w:rPr>
          <w:lang w:val="en-GB"/>
        </w:rPr>
        <w:t xml:space="preserve">.  </w:t>
      </w:r>
      <w:r>
        <w:rPr>
          <w:lang w:val="en-GB"/>
        </w:rPr>
        <w:t>Leave to rely on this section would have been granted</w:t>
      </w:r>
      <w:r w:rsidR="002E5330">
        <w:rPr>
          <w:lang w:val="en-GB"/>
        </w:rPr>
        <w:t>.</w:t>
      </w:r>
    </w:p>
    <w:p w14:paraId="090884AA" w14:textId="2E36BE67" w:rsidR="00301E46" w:rsidRDefault="002E5330" w:rsidP="00301E46">
      <w:pPr>
        <w:pStyle w:val="ParaNumbering"/>
        <w:tabs>
          <w:tab w:val="num" w:pos="720"/>
        </w:tabs>
        <w:rPr>
          <w:lang w:val="en-GB"/>
        </w:rPr>
      </w:pPr>
      <w:r>
        <w:rPr>
          <w:lang w:val="en-GB"/>
        </w:rPr>
        <w:t>Professor </w:t>
      </w:r>
      <w:r w:rsidR="00301E46">
        <w:rPr>
          <w:lang w:val="en-GB"/>
        </w:rPr>
        <w:t>Winn's affidavit says it would be prejudicial to him to have to adduce evidence about these matters</w:t>
      </w:r>
      <w:r w:rsidR="00E460FC">
        <w:rPr>
          <w:lang w:val="en-GB"/>
        </w:rPr>
        <w:t xml:space="preserve">.  </w:t>
      </w:r>
      <w:r w:rsidR="00301E46">
        <w:rPr>
          <w:lang w:val="en-GB"/>
        </w:rPr>
        <w:t>But in circumstances where I have found that the allegations are allowed to stand as part of a reasonable defence, there is no reason to believe that the cost or effort involved in meeting these allegations will be oppressive</w:t>
      </w:r>
      <w:r>
        <w:rPr>
          <w:lang w:val="en-GB"/>
        </w:rPr>
        <w:t>.</w:t>
      </w:r>
    </w:p>
    <w:p w14:paraId="26D63551" w14:textId="77777777" w:rsidR="00301E46" w:rsidRDefault="00301E46" w:rsidP="00301E46">
      <w:pPr>
        <w:pStyle w:val="Heading3"/>
        <w:rPr>
          <w:lang w:val="en-GB"/>
        </w:rPr>
      </w:pPr>
      <w:r>
        <w:rPr>
          <w:lang w:val="en-GB"/>
        </w:rPr>
        <w:t>Staff survey</w:t>
      </w:r>
    </w:p>
    <w:p w14:paraId="02C829D0" w14:textId="185857FC" w:rsidR="00301E46" w:rsidRDefault="00301E46" w:rsidP="00301E46">
      <w:pPr>
        <w:pStyle w:val="ParaNumbering"/>
        <w:tabs>
          <w:tab w:val="num" w:pos="720"/>
        </w:tabs>
        <w:rPr>
          <w:lang w:val="en-GB"/>
        </w:rPr>
      </w:pPr>
      <w:r>
        <w:rPr>
          <w:lang w:val="en-GB"/>
        </w:rPr>
        <w:t xml:space="preserve">I accept </w:t>
      </w:r>
      <w:r w:rsidR="002E5330">
        <w:rPr>
          <w:lang w:val="en-GB"/>
        </w:rPr>
        <w:t>Professor </w:t>
      </w:r>
      <w:r>
        <w:rPr>
          <w:lang w:val="en-GB"/>
        </w:rPr>
        <w:t>Winn's submission that it would be oppressive for him to be required to respond to the allegations of fact in this section, which amount to allegations that staff satisfaction did decline during his tenure, based on the survey responses</w:t>
      </w:r>
      <w:r w:rsidR="00E460FC">
        <w:rPr>
          <w:lang w:val="en-GB"/>
        </w:rPr>
        <w:t xml:space="preserve">.  </w:t>
      </w:r>
      <w:r>
        <w:rPr>
          <w:lang w:val="en-GB"/>
        </w:rPr>
        <w:t>To respond to that could involve the examination of the potentially voluminous records behind the survey, expert evidence on the statistical methods involved, and cross examination of numerous survey respondents</w:t>
      </w:r>
      <w:r w:rsidR="002E5330">
        <w:rPr>
          <w:lang w:val="en-GB"/>
        </w:rPr>
        <w:t>.</w:t>
      </w:r>
    </w:p>
    <w:p w14:paraId="53F8CBAE" w14:textId="5B766364" w:rsidR="00301E46" w:rsidRDefault="00301E46" w:rsidP="00301E46">
      <w:pPr>
        <w:pStyle w:val="ParaNumbering"/>
        <w:tabs>
          <w:tab w:val="num" w:pos="720"/>
        </w:tabs>
        <w:rPr>
          <w:lang w:val="en-GB"/>
        </w:rPr>
      </w:pPr>
      <w:r>
        <w:rPr>
          <w:lang w:val="en-GB"/>
        </w:rPr>
        <w:t>That is all in circumstances where the survey results, even if soundly based, do not rise to the level of establishing serious imputations such as bullying, intimidation or the creation or fostering of a toxic workplace culture of bullying and fear</w:t>
      </w:r>
      <w:r w:rsidR="002E5330">
        <w:rPr>
          <w:lang w:val="en-GB"/>
        </w:rPr>
        <w:t>.</w:t>
      </w:r>
    </w:p>
    <w:p w14:paraId="0AAAB81F" w14:textId="7AB92558" w:rsidR="00301E46" w:rsidRDefault="00301E46" w:rsidP="00301E46">
      <w:pPr>
        <w:pStyle w:val="ParaNumbering"/>
        <w:tabs>
          <w:tab w:val="num" w:pos="720"/>
        </w:tabs>
        <w:rPr>
          <w:lang w:val="en-GB"/>
        </w:rPr>
      </w:pPr>
      <w:r>
        <w:rPr>
          <w:lang w:val="en-GB"/>
        </w:rPr>
        <w:lastRenderedPageBreak/>
        <w:t>Senior counsel for the respondents submitted that</w:t>
      </w:r>
      <w:r w:rsidRPr="00400046">
        <w:rPr>
          <w:lang w:val="en-GB"/>
        </w:rPr>
        <w:t xml:space="preserve"> the 2020 </w:t>
      </w:r>
      <w:r>
        <w:rPr>
          <w:lang w:val="en-GB"/>
        </w:rPr>
        <w:t>survey results did indeed go</w:t>
      </w:r>
      <w:r w:rsidRPr="00400046">
        <w:rPr>
          <w:lang w:val="en-GB"/>
        </w:rPr>
        <w:t xml:space="preserve"> to the imputation</w:t>
      </w:r>
      <w:r>
        <w:rPr>
          <w:lang w:val="en-GB"/>
        </w:rPr>
        <w:t>s</w:t>
      </w:r>
      <w:r w:rsidRPr="00400046">
        <w:rPr>
          <w:lang w:val="en-GB"/>
        </w:rPr>
        <w:t xml:space="preserve"> </w:t>
      </w:r>
      <w:r>
        <w:rPr>
          <w:lang w:val="en-GB"/>
        </w:rPr>
        <w:t>of</w:t>
      </w:r>
      <w:r w:rsidRPr="00400046">
        <w:rPr>
          <w:lang w:val="en-GB"/>
        </w:rPr>
        <w:t xml:space="preserve"> the creation </w:t>
      </w:r>
      <w:r>
        <w:rPr>
          <w:lang w:val="en-GB"/>
        </w:rPr>
        <w:t xml:space="preserve">or fostering </w:t>
      </w:r>
      <w:r w:rsidRPr="00400046">
        <w:rPr>
          <w:lang w:val="en-GB"/>
        </w:rPr>
        <w:t>of a toxic culture of fear</w:t>
      </w:r>
      <w:r w:rsidR="00E460FC">
        <w:rPr>
          <w:lang w:val="en-GB"/>
        </w:rPr>
        <w:t xml:space="preserve">.  </w:t>
      </w:r>
      <w:r>
        <w:rPr>
          <w:lang w:val="en-GB"/>
        </w:rPr>
        <w:t xml:space="preserve">She said that it was </w:t>
      </w:r>
      <w:r w:rsidRPr="00400046">
        <w:rPr>
          <w:lang w:val="en-GB"/>
        </w:rPr>
        <w:t xml:space="preserve">relevant for </w:t>
      </w:r>
      <w:r>
        <w:rPr>
          <w:lang w:val="en-GB"/>
        </w:rPr>
        <w:t>the</w:t>
      </w:r>
      <w:r w:rsidRPr="00400046">
        <w:rPr>
          <w:lang w:val="en-GB"/>
        </w:rPr>
        <w:t xml:space="preserve"> </w:t>
      </w:r>
      <w:r>
        <w:rPr>
          <w:lang w:val="en-GB"/>
        </w:rPr>
        <w:t>C</w:t>
      </w:r>
      <w:r w:rsidRPr="00400046">
        <w:rPr>
          <w:lang w:val="en-GB"/>
        </w:rPr>
        <w:t xml:space="preserve">ourt to understand how staff felt and </w:t>
      </w:r>
      <w:proofErr w:type="gramStart"/>
      <w:r w:rsidRPr="00400046">
        <w:rPr>
          <w:lang w:val="en-GB"/>
        </w:rPr>
        <w:t>whether or not</w:t>
      </w:r>
      <w:proofErr w:type="gramEnd"/>
      <w:r w:rsidRPr="00400046">
        <w:rPr>
          <w:lang w:val="en-GB"/>
        </w:rPr>
        <w:t xml:space="preserve"> there was such a culture</w:t>
      </w:r>
      <w:r w:rsidR="00E460FC">
        <w:rPr>
          <w:lang w:val="en-GB"/>
        </w:rPr>
        <w:t xml:space="preserve">.  </w:t>
      </w:r>
      <w:r>
        <w:rPr>
          <w:lang w:val="en-GB"/>
        </w:rPr>
        <w:t xml:space="preserve">Senior counsel submitted that to the extent that the evidence of staff members </w:t>
      </w:r>
      <w:r w:rsidRPr="008B28C3">
        <w:rPr>
          <w:lang w:val="en-GB"/>
        </w:rPr>
        <w:t xml:space="preserve">was necessary, that may be </w:t>
      </w:r>
      <w:r w:rsidRPr="00847EA6">
        <w:rPr>
          <w:lang w:val="en-GB"/>
        </w:rPr>
        <w:t>unfortunate,</w:t>
      </w:r>
      <w:r>
        <w:rPr>
          <w:lang w:val="en-GB"/>
        </w:rPr>
        <w:t xml:space="preserve"> but reliance on the survey is</w:t>
      </w:r>
      <w:r w:rsidRPr="00400046">
        <w:rPr>
          <w:lang w:val="en-GB"/>
        </w:rPr>
        <w:t xml:space="preserve"> the only way to respond to an imputation which is put as to culture</w:t>
      </w:r>
      <w:r w:rsidR="002E5330">
        <w:rPr>
          <w:lang w:val="en-GB"/>
        </w:rPr>
        <w:t>.</w:t>
      </w:r>
    </w:p>
    <w:p w14:paraId="52662293" w14:textId="64994BF1" w:rsidR="00301E46" w:rsidRDefault="00301E46" w:rsidP="00301E46">
      <w:pPr>
        <w:pStyle w:val="ParaNumbering"/>
        <w:tabs>
          <w:tab w:val="num" w:pos="720"/>
        </w:tabs>
        <w:rPr>
          <w:lang w:val="en-GB"/>
        </w:rPr>
      </w:pPr>
      <w:r w:rsidRPr="00400046">
        <w:rPr>
          <w:lang w:val="en-GB"/>
        </w:rPr>
        <w:t>The problem with this is that the survey results as pleaded, at their highest, do not establish any such culture</w:t>
      </w:r>
      <w:r w:rsidR="00E460FC">
        <w:rPr>
          <w:lang w:val="en-GB"/>
        </w:rPr>
        <w:t xml:space="preserve">.  </w:t>
      </w:r>
      <w:r>
        <w:rPr>
          <w:lang w:val="en-GB"/>
        </w:rPr>
        <w:t xml:space="preserve">Even considered cumulatively with all the other allegations in the Schedule they would establish, at most, that staff satisfaction and opinions of management declined during </w:t>
      </w:r>
      <w:r w:rsidR="002E5330">
        <w:rPr>
          <w:lang w:val="en-GB"/>
        </w:rPr>
        <w:t>Professor </w:t>
      </w:r>
      <w:r w:rsidRPr="0092171C">
        <w:rPr>
          <w:lang w:val="en-GB"/>
        </w:rPr>
        <w:t>Win</w:t>
      </w:r>
      <w:r>
        <w:rPr>
          <w:lang w:val="en-GB"/>
        </w:rPr>
        <w:t>n's period as Executive Dean</w:t>
      </w:r>
      <w:r w:rsidR="00E460FC">
        <w:rPr>
          <w:lang w:val="en-GB"/>
        </w:rPr>
        <w:t xml:space="preserve">.  </w:t>
      </w:r>
      <w:r>
        <w:rPr>
          <w:lang w:val="en-GB"/>
        </w:rPr>
        <w:t>But correlation is not causation, and additional facts that would make it so are not pleaded</w:t>
      </w:r>
      <w:r w:rsidR="002E5330">
        <w:rPr>
          <w:lang w:val="en-GB"/>
        </w:rPr>
        <w:t>.</w:t>
      </w:r>
    </w:p>
    <w:p w14:paraId="33494CC7" w14:textId="795B597B" w:rsidR="00301E46" w:rsidRPr="0092171C" w:rsidRDefault="00301E46" w:rsidP="00301E46">
      <w:pPr>
        <w:pStyle w:val="ParaNumbering"/>
        <w:tabs>
          <w:tab w:val="num" w:pos="720"/>
        </w:tabs>
        <w:rPr>
          <w:lang w:val="en-GB"/>
        </w:rPr>
      </w:pPr>
      <w:r w:rsidRPr="0092171C">
        <w:rPr>
          <w:lang w:val="en-GB"/>
        </w:rPr>
        <w:t>This pleading dispute must be resolved in a manner so as to best promote the overarching purpose of the Court's civil practice and procedure provisions</w:t>
      </w:r>
      <w:r w:rsidR="002E5330">
        <w:rPr>
          <w:lang w:val="en-GB"/>
        </w:rPr>
        <w:t xml:space="preserve">:  </w:t>
      </w:r>
      <w:bookmarkStart w:id="45" w:name="_Hlk163632657"/>
      <w:r w:rsidRPr="00FB237E">
        <w:rPr>
          <w:i/>
          <w:iCs/>
          <w:lang w:val="en-GB"/>
        </w:rPr>
        <w:t xml:space="preserve">Federal Court of Australia Act </w:t>
      </w:r>
      <w:bookmarkEnd w:id="45"/>
      <w:r w:rsidRPr="00FB237E">
        <w:rPr>
          <w:i/>
          <w:iCs/>
          <w:lang w:val="en-GB"/>
        </w:rPr>
        <w:t>1976</w:t>
      </w:r>
      <w:r w:rsidRPr="00FB237E">
        <w:rPr>
          <w:lang w:val="en-GB"/>
        </w:rPr>
        <w:t xml:space="preserve"> (</w:t>
      </w:r>
      <w:proofErr w:type="spellStart"/>
      <w:r w:rsidRPr="00FB237E">
        <w:rPr>
          <w:lang w:val="en-GB"/>
        </w:rPr>
        <w:t>Cth</w:t>
      </w:r>
      <w:proofErr w:type="spellEnd"/>
      <w:r w:rsidRPr="00FB237E">
        <w:rPr>
          <w:lang w:val="en-GB"/>
        </w:rPr>
        <w:t>)</w:t>
      </w:r>
      <w:r w:rsidRPr="0092171C">
        <w:rPr>
          <w:lang w:val="en-GB"/>
        </w:rPr>
        <w:t xml:space="preserve"> s 37</w:t>
      </w:r>
      <w:proofErr w:type="gramStart"/>
      <w:r w:rsidRPr="0092171C">
        <w:rPr>
          <w:lang w:val="en-GB"/>
        </w:rPr>
        <w:t>M(</w:t>
      </w:r>
      <w:proofErr w:type="gramEnd"/>
      <w:r w:rsidRPr="0092171C">
        <w:rPr>
          <w:lang w:val="en-GB"/>
        </w:rPr>
        <w:t>3)</w:t>
      </w:r>
      <w:r w:rsidR="00E460FC">
        <w:rPr>
          <w:lang w:val="en-GB"/>
        </w:rPr>
        <w:t xml:space="preserve">.  </w:t>
      </w:r>
      <w:r w:rsidRPr="0092171C">
        <w:rPr>
          <w:lang w:val="en-GB"/>
        </w:rPr>
        <w:t>That purpose includes the objectives of efficient use of the Court's resources and efficient disposal of its overall case load, and of proportionality</w:t>
      </w:r>
      <w:r w:rsidR="002E5330">
        <w:rPr>
          <w:lang w:val="en-GB"/>
        </w:rPr>
        <w:t xml:space="preserve">:  </w:t>
      </w:r>
      <w:r w:rsidRPr="0092171C">
        <w:rPr>
          <w:lang w:val="en-GB"/>
        </w:rPr>
        <w:t>see s 37</w:t>
      </w:r>
      <w:proofErr w:type="gramStart"/>
      <w:r w:rsidRPr="0092171C">
        <w:rPr>
          <w:lang w:val="en-GB"/>
        </w:rPr>
        <w:t>M(</w:t>
      </w:r>
      <w:proofErr w:type="gramEnd"/>
      <w:r w:rsidRPr="0092171C">
        <w:rPr>
          <w:lang w:val="en-GB"/>
        </w:rPr>
        <w:t>2)</w:t>
      </w:r>
      <w:r w:rsidR="00E460FC">
        <w:rPr>
          <w:lang w:val="en-GB"/>
        </w:rPr>
        <w:t xml:space="preserve">.  </w:t>
      </w:r>
      <w:r w:rsidRPr="0092171C">
        <w:rPr>
          <w:lang w:val="en-GB"/>
        </w:rPr>
        <w:t>It would be inconsistent with those objectives to permit the respondents to pursue a case based on the survey results</w:t>
      </w:r>
      <w:r>
        <w:rPr>
          <w:lang w:val="en-GB"/>
        </w:rPr>
        <w:t xml:space="preserve">, which </w:t>
      </w:r>
      <w:r w:rsidR="009C5C6F">
        <w:rPr>
          <w:lang w:val="en-GB"/>
        </w:rPr>
        <w:t>would</w:t>
      </w:r>
      <w:r w:rsidR="00CB39B1">
        <w:rPr>
          <w:lang w:val="en-GB"/>
        </w:rPr>
        <w:t xml:space="preserve"> </w:t>
      </w:r>
      <w:proofErr w:type="gramStart"/>
      <w:r>
        <w:rPr>
          <w:lang w:val="en-GB"/>
        </w:rPr>
        <w:t>open up</w:t>
      </w:r>
      <w:proofErr w:type="gramEnd"/>
      <w:r>
        <w:rPr>
          <w:lang w:val="en-GB"/>
        </w:rPr>
        <w:t xml:space="preserve"> broad areas of forensic inquiry,</w:t>
      </w:r>
      <w:r w:rsidRPr="0092171C">
        <w:rPr>
          <w:lang w:val="en-GB"/>
        </w:rPr>
        <w:t xml:space="preserve"> when those results are only tangentially relevant (if at all) to the substantial truth of the imputations</w:t>
      </w:r>
      <w:r w:rsidR="00E460FC">
        <w:rPr>
          <w:lang w:val="en-GB"/>
        </w:rPr>
        <w:t xml:space="preserve">.  </w:t>
      </w:r>
      <w:r w:rsidRPr="0092171C">
        <w:rPr>
          <w:lang w:val="en-GB"/>
        </w:rPr>
        <w:t>And to the extent that the</w:t>
      </w:r>
      <w:r w:rsidR="00CB39B1">
        <w:rPr>
          <w:lang w:val="en-GB"/>
        </w:rPr>
        <w:t xml:space="preserve"> survey results</w:t>
      </w:r>
      <w:r w:rsidRPr="0092171C">
        <w:rPr>
          <w:lang w:val="en-GB"/>
        </w:rPr>
        <w:t xml:space="preserve"> do have any relevance to that issue, the Schedule fails to make that clear.</w:t>
      </w:r>
    </w:p>
    <w:p w14:paraId="1E132CEF" w14:textId="190EDDD4" w:rsidR="00301E46" w:rsidRDefault="00301E46" w:rsidP="00301E46">
      <w:pPr>
        <w:pStyle w:val="ParaNumbering"/>
        <w:tabs>
          <w:tab w:val="num" w:pos="720"/>
        </w:tabs>
        <w:rPr>
          <w:lang w:val="en-GB"/>
        </w:rPr>
      </w:pPr>
      <w:r>
        <w:rPr>
          <w:lang w:val="en-GB"/>
        </w:rPr>
        <w:t xml:space="preserve">Senior counsel for the respondents submitted, once again, that the need to rely on the survey results and thus to forensically examine the survey is the result of the breadth of the imputation that has been pleaded by </w:t>
      </w:r>
      <w:r w:rsidR="002E5330">
        <w:rPr>
          <w:lang w:val="en-GB"/>
        </w:rPr>
        <w:t>Professor </w:t>
      </w:r>
      <w:r w:rsidRPr="0092171C">
        <w:rPr>
          <w:lang w:val="en-GB"/>
        </w:rPr>
        <w:t>Winn</w:t>
      </w:r>
      <w:r w:rsidR="00E460FC">
        <w:rPr>
          <w:lang w:val="en-GB"/>
        </w:rPr>
        <w:t xml:space="preserve">.  </w:t>
      </w:r>
      <w:r>
        <w:rPr>
          <w:lang w:val="en-GB"/>
        </w:rPr>
        <w:t>I accept that the breadth of that imputation does create a need on the part of the respondents to establish that a toxic culture of bullying or fear was created or fostered by him</w:t>
      </w:r>
      <w:r w:rsidR="00E460FC">
        <w:rPr>
          <w:lang w:val="en-GB"/>
        </w:rPr>
        <w:t xml:space="preserve">.  </w:t>
      </w:r>
      <w:r>
        <w:rPr>
          <w:lang w:val="en-GB"/>
        </w:rPr>
        <w:t xml:space="preserve">But the </w:t>
      </w:r>
      <w:r w:rsidRPr="00400046">
        <w:rPr>
          <w:lang w:val="en-GB"/>
        </w:rPr>
        <w:t>Court</w:t>
      </w:r>
      <w:r>
        <w:rPr>
          <w:lang w:val="en-GB"/>
        </w:rPr>
        <w:t xml:space="preserve"> still needs to assess whether the survey results (as pleaded) are so relevant to the imputation as to mean that it is proportionate, and justified, to conduct the wide-ranging forensic exercise that is likely to be required to meet the allegations based on the results</w:t>
      </w:r>
      <w:r w:rsidR="002E5330">
        <w:rPr>
          <w:lang w:val="en-GB"/>
        </w:rPr>
        <w:t>.</w:t>
      </w:r>
    </w:p>
    <w:p w14:paraId="60AFA0F8" w14:textId="2160FD1B" w:rsidR="00301E46" w:rsidRDefault="00301E46" w:rsidP="00301E46">
      <w:pPr>
        <w:pStyle w:val="ParaNumbering"/>
        <w:tabs>
          <w:tab w:val="num" w:pos="720"/>
        </w:tabs>
        <w:rPr>
          <w:lang w:val="en-GB"/>
        </w:rPr>
      </w:pPr>
      <w:r>
        <w:rPr>
          <w:lang w:val="en-GB"/>
        </w:rPr>
        <w:t>In my view, they are not</w:t>
      </w:r>
      <w:r w:rsidR="00E460FC">
        <w:rPr>
          <w:lang w:val="en-GB"/>
        </w:rPr>
        <w:t xml:space="preserve">.  </w:t>
      </w:r>
      <w:r>
        <w:rPr>
          <w:lang w:val="en-GB"/>
        </w:rPr>
        <w:t>Leave to rely on paragraphs 58 to 66 will not be given</w:t>
      </w:r>
      <w:r w:rsidR="002E5330">
        <w:rPr>
          <w:lang w:val="en-GB"/>
        </w:rPr>
        <w:t>.</w:t>
      </w:r>
    </w:p>
    <w:p w14:paraId="4CBF2342" w14:textId="77777777" w:rsidR="00301E46" w:rsidRDefault="00301E46" w:rsidP="00301E46">
      <w:pPr>
        <w:pStyle w:val="Heading3"/>
        <w:rPr>
          <w:lang w:val="en-GB"/>
        </w:rPr>
      </w:pPr>
      <w:r>
        <w:rPr>
          <w:lang w:val="en-GB"/>
        </w:rPr>
        <w:lastRenderedPageBreak/>
        <w:t xml:space="preserve">Events following the </w:t>
      </w:r>
      <w:proofErr w:type="gramStart"/>
      <w:r>
        <w:rPr>
          <w:lang w:val="en-GB"/>
        </w:rPr>
        <w:t>survey</w:t>
      </w:r>
      <w:proofErr w:type="gramEnd"/>
    </w:p>
    <w:p w14:paraId="5BB87AA9" w14:textId="537F4C41" w:rsidR="00301E46" w:rsidRPr="007759E9" w:rsidRDefault="00301E46" w:rsidP="00301E46">
      <w:pPr>
        <w:pStyle w:val="ParaNumbering"/>
        <w:tabs>
          <w:tab w:val="num" w:pos="720"/>
        </w:tabs>
        <w:rPr>
          <w:lang w:val="en-GB"/>
        </w:rPr>
      </w:pPr>
      <w:r>
        <w:rPr>
          <w:lang w:val="en-GB"/>
        </w:rPr>
        <w:t xml:space="preserve">I accept </w:t>
      </w:r>
      <w:r w:rsidR="002E5330">
        <w:rPr>
          <w:lang w:val="en-GB"/>
        </w:rPr>
        <w:t>Professor </w:t>
      </w:r>
      <w:r w:rsidRPr="007759E9">
        <w:rPr>
          <w:lang w:val="en-GB"/>
        </w:rPr>
        <w:t>Winn</w:t>
      </w:r>
      <w:r>
        <w:rPr>
          <w:lang w:val="en-GB"/>
        </w:rPr>
        <w:t>'s submission that his conduct at the staff meeting in May 2021</w:t>
      </w:r>
      <w:r w:rsidR="00D708E3">
        <w:rPr>
          <w:lang w:val="en-GB"/>
        </w:rPr>
        <w:t>,</w:t>
      </w:r>
      <w:r>
        <w:rPr>
          <w:lang w:val="en-GB"/>
        </w:rPr>
        <w:t xml:space="preserve"> as pleaded at paragraph 68</w:t>
      </w:r>
      <w:r w:rsidR="00D708E3">
        <w:rPr>
          <w:lang w:val="en-GB"/>
        </w:rPr>
        <w:t>,</w:t>
      </w:r>
      <w:r>
        <w:rPr>
          <w:lang w:val="en-GB"/>
        </w:rPr>
        <w:t xml:space="preserve"> cannot constitute bullying or gaslighting</w:t>
      </w:r>
      <w:r w:rsidR="00D708E3">
        <w:rPr>
          <w:lang w:val="en-GB"/>
        </w:rPr>
        <w:t>,</w:t>
      </w:r>
      <w:r>
        <w:rPr>
          <w:lang w:val="en-GB"/>
        </w:rPr>
        <w:t xml:space="preserve"> and could not have contributed to a toxic culture of fear</w:t>
      </w:r>
      <w:r w:rsidR="00E460FC">
        <w:rPr>
          <w:lang w:val="en-GB"/>
        </w:rPr>
        <w:t xml:space="preserve">.  </w:t>
      </w:r>
      <w:r>
        <w:rPr>
          <w:lang w:val="en-GB"/>
        </w:rPr>
        <w:t>That is so even when it is considered cumulatively with all the other allegations</w:t>
      </w:r>
      <w:r w:rsidR="00E460FC">
        <w:rPr>
          <w:lang w:val="en-GB"/>
        </w:rPr>
        <w:t xml:space="preserve">.  </w:t>
      </w:r>
      <w:r>
        <w:rPr>
          <w:lang w:val="en-GB"/>
        </w:rPr>
        <w:t>Whether or not it could have constituted relevant background to different particulars supporting the substantial truth of the imputation about the toxic culture, that is not how it is pleaded</w:t>
      </w:r>
      <w:r w:rsidR="00E460FC">
        <w:rPr>
          <w:lang w:val="en-GB"/>
        </w:rPr>
        <w:t xml:space="preserve">.  </w:t>
      </w:r>
      <w:r>
        <w:rPr>
          <w:lang w:val="en-GB"/>
        </w:rPr>
        <w:t>It is pleaded to constitute bullying etc</w:t>
      </w:r>
      <w:r w:rsidR="00E460FC">
        <w:rPr>
          <w:lang w:val="en-GB"/>
        </w:rPr>
        <w:t xml:space="preserve">.  </w:t>
      </w:r>
      <w:r>
        <w:rPr>
          <w:lang w:val="en-GB"/>
        </w:rPr>
        <w:t>It is incapable of doing so</w:t>
      </w:r>
      <w:r w:rsidR="00E460FC">
        <w:rPr>
          <w:lang w:val="en-GB"/>
        </w:rPr>
        <w:t xml:space="preserve">.  </w:t>
      </w:r>
      <w:r>
        <w:rPr>
          <w:lang w:val="en-GB"/>
        </w:rPr>
        <w:t>Leave to rely on paragraph 68 will not be given</w:t>
      </w:r>
      <w:r w:rsidR="002E5330">
        <w:rPr>
          <w:lang w:val="en-GB"/>
        </w:rPr>
        <w:t>.</w:t>
      </w:r>
    </w:p>
    <w:p w14:paraId="4F467D82" w14:textId="6740E3BC" w:rsidR="00301E46" w:rsidRPr="00353ECB" w:rsidRDefault="00B641DC" w:rsidP="00353ECB">
      <w:pPr>
        <w:pStyle w:val="ParaNumbering"/>
        <w:tabs>
          <w:tab w:val="num" w:pos="720"/>
        </w:tabs>
        <w:rPr>
          <w:lang w:val="en-GB"/>
        </w:rPr>
      </w:pPr>
      <w:r>
        <w:rPr>
          <w:lang w:val="en-GB"/>
        </w:rPr>
        <w:t>Professor </w:t>
      </w:r>
      <w:r w:rsidRPr="0092171C">
        <w:rPr>
          <w:lang w:val="en-GB"/>
        </w:rPr>
        <w:t>Winn</w:t>
      </w:r>
      <w:r>
        <w:rPr>
          <w:lang w:val="en-GB"/>
        </w:rPr>
        <w:t xml:space="preserve"> </w:t>
      </w:r>
      <w:r w:rsidR="006E62ED">
        <w:rPr>
          <w:lang w:val="en-GB"/>
        </w:rPr>
        <w:t>submitted that</w:t>
      </w:r>
      <w:r>
        <w:rPr>
          <w:lang w:val="en-GB"/>
        </w:rPr>
        <w:t xml:space="preserve"> the rest of this part of the Schedule (paras 67</w:t>
      </w:r>
      <w:r>
        <w:rPr>
          <w:lang w:val="en-GB"/>
        </w:rPr>
        <w:noBreakHyphen/>
        <w:t>71),</w:t>
      </w:r>
      <w:r w:rsidR="006E62ED">
        <w:rPr>
          <w:lang w:val="en-GB"/>
        </w:rPr>
        <w:t xml:space="preserve"> along with </w:t>
      </w:r>
      <w:r w:rsidR="007253C2">
        <w:rPr>
          <w:lang w:val="en-GB"/>
        </w:rPr>
        <w:t>subsequent paragraphs</w:t>
      </w:r>
      <w:r w:rsidR="006E62ED">
        <w:rPr>
          <w:lang w:val="en-GB"/>
        </w:rPr>
        <w:t>,</w:t>
      </w:r>
      <w:r w:rsidR="007253C2">
        <w:rPr>
          <w:lang w:val="en-GB"/>
        </w:rPr>
        <w:t xml:space="preserve"> are hearsay</w:t>
      </w:r>
      <w:r w:rsidR="00E460FC">
        <w:rPr>
          <w:lang w:val="en-GB"/>
        </w:rPr>
        <w:t xml:space="preserve">.  </w:t>
      </w:r>
      <w:r w:rsidR="00A91DFE">
        <w:rPr>
          <w:lang w:val="en-GB"/>
        </w:rPr>
        <w:t>As discussed below</w:t>
      </w:r>
      <w:r w:rsidR="00353ECB">
        <w:rPr>
          <w:lang w:val="en-GB"/>
        </w:rPr>
        <w:t xml:space="preserve"> at [</w:t>
      </w:r>
      <w:r w:rsidR="00353ECB">
        <w:rPr>
          <w:lang w:val="en-GB"/>
        </w:rPr>
        <w:fldChar w:fldCharType="begin"/>
      </w:r>
      <w:r w:rsidR="00353ECB">
        <w:rPr>
          <w:lang w:val="en-GB"/>
        </w:rPr>
        <w:instrText xml:space="preserve"> REF _Ref163740904 \r \h </w:instrText>
      </w:r>
      <w:r w:rsidR="00353ECB">
        <w:rPr>
          <w:lang w:val="en-GB"/>
        </w:rPr>
      </w:r>
      <w:r w:rsidR="00353ECB">
        <w:rPr>
          <w:lang w:val="en-GB"/>
        </w:rPr>
        <w:fldChar w:fldCharType="separate"/>
      </w:r>
      <w:r w:rsidR="005662B4">
        <w:rPr>
          <w:lang w:val="en-GB"/>
        </w:rPr>
        <w:t>122</w:t>
      </w:r>
      <w:r w:rsidR="00353ECB">
        <w:rPr>
          <w:lang w:val="en-GB"/>
        </w:rPr>
        <w:fldChar w:fldCharType="end"/>
      </w:r>
      <w:r w:rsidR="00353ECB">
        <w:rPr>
          <w:lang w:val="en-GB"/>
        </w:rPr>
        <w:t>]</w:t>
      </w:r>
      <w:r w:rsidR="00A91DFE">
        <w:rPr>
          <w:lang w:val="en-GB"/>
        </w:rPr>
        <w:t xml:space="preserve">, I agree </w:t>
      </w:r>
      <w:r w:rsidR="00CB05D7">
        <w:rPr>
          <w:lang w:val="en-GB"/>
        </w:rPr>
        <w:t xml:space="preserve">that the respondents should not be able to </w:t>
      </w:r>
      <w:r w:rsidR="004C41FE">
        <w:rPr>
          <w:lang w:val="en-GB"/>
        </w:rPr>
        <w:t xml:space="preserve">rely </w:t>
      </w:r>
      <w:r w:rsidR="00FC481C">
        <w:rPr>
          <w:lang w:val="en-GB"/>
        </w:rPr>
        <w:t xml:space="preserve">on </w:t>
      </w:r>
      <w:r w:rsidR="00CB05D7">
        <w:rPr>
          <w:lang w:val="en-GB"/>
        </w:rPr>
        <w:t>these particulars for the purpose of establishing the truth of those matters, and senior counsel for the respondent</w:t>
      </w:r>
      <w:r w:rsidR="00B743C8">
        <w:rPr>
          <w:lang w:val="en-GB"/>
        </w:rPr>
        <w:t>s</w:t>
      </w:r>
      <w:r w:rsidR="00CB05D7">
        <w:rPr>
          <w:lang w:val="en-GB"/>
        </w:rPr>
        <w:t xml:space="preserve"> </w:t>
      </w:r>
      <w:r w:rsidR="00353ECB">
        <w:rPr>
          <w:lang w:val="en-GB"/>
        </w:rPr>
        <w:t>accepted this</w:t>
      </w:r>
      <w:r w:rsidR="00E460FC">
        <w:rPr>
          <w:lang w:val="en-GB"/>
        </w:rPr>
        <w:t xml:space="preserve">.  </w:t>
      </w:r>
      <w:r w:rsidR="00301E46" w:rsidRPr="00353ECB">
        <w:rPr>
          <w:lang w:val="en-GB"/>
        </w:rPr>
        <w:t xml:space="preserve">As </w:t>
      </w:r>
      <w:r w:rsidR="002E5330" w:rsidRPr="00353ECB">
        <w:rPr>
          <w:lang w:val="en-GB"/>
        </w:rPr>
        <w:t>Professor </w:t>
      </w:r>
      <w:r w:rsidR="00301E46" w:rsidRPr="00353ECB">
        <w:rPr>
          <w:lang w:val="en-GB"/>
        </w:rPr>
        <w:t xml:space="preserve">Winn raised no </w:t>
      </w:r>
      <w:r w:rsidRPr="00353ECB">
        <w:rPr>
          <w:lang w:val="en-GB"/>
        </w:rPr>
        <w:t>further</w:t>
      </w:r>
      <w:r w:rsidR="00301E46" w:rsidRPr="00353ECB">
        <w:rPr>
          <w:lang w:val="en-GB"/>
        </w:rPr>
        <w:t xml:space="preserve"> objection</w:t>
      </w:r>
      <w:r w:rsidRPr="00353ECB">
        <w:rPr>
          <w:lang w:val="en-GB"/>
        </w:rPr>
        <w:t>s</w:t>
      </w:r>
      <w:r w:rsidR="00301E46" w:rsidRPr="00353ECB">
        <w:rPr>
          <w:lang w:val="en-GB"/>
        </w:rPr>
        <w:t xml:space="preserve"> to this part of the Schedule, I will say no more about it, other than to </w:t>
      </w:r>
      <w:proofErr w:type="gramStart"/>
      <w:r w:rsidR="00301E46" w:rsidRPr="00353ECB">
        <w:rPr>
          <w:lang w:val="en-GB"/>
        </w:rPr>
        <w:t>refer back</w:t>
      </w:r>
      <w:proofErr w:type="gramEnd"/>
      <w:r w:rsidR="00301E46" w:rsidRPr="00353ECB">
        <w:rPr>
          <w:lang w:val="en-GB"/>
        </w:rPr>
        <w:t xml:space="preserve"> to my comments at [</w:t>
      </w:r>
      <w:r w:rsidR="00301E46" w:rsidRPr="00353ECB">
        <w:rPr>
          <w:lang w:val="en-GB"/>
        </w:rPr>
        <w:fldChar w:fldCharType="begin"/>
      </w:r>
      <w:r w:rsidR="00301E46" w:rsidRPr="00353ECB">
        <w:rPr>
          <w:lang w:val="en-GB"/>
        </w:rPr>
        <w:instrText xml:space="preserve"> REF _Ref163210494 \r \h </w:instrText>
      </w:r>
      <w:r w:rsidR="00301E46" w:rsidRPr="00353ECB">
        <w:rPr>
          <w:lang w:val="en-GB"/>
        </w:rPr>
      </w:r>
      <w:r w:rsidR="00301E46" w:rsidRPr="00353ECB">
        <w:rPr>
          <w:lang w:val="en-GB"/>
        </w:rPr>
        <w:fldChar w:fldCharType="separate"/>
      </w:r>
      <w:r w:rsidR="005662B4">
        <w:rPr>
          <w:lang w:val="en-GB"/>
        </w:rPr>
        <w:t>42</w:t>
      </w:r>
      <w:r w:rsidR="00301E46" w:rsidRPr="00353ECB">
        <w:rPr>
          <w:lang w:val="en-GB"/>
        </w:rPr>
        <w:fldChar w:fldCharType="end"/>
      </w:r>
      <w:r w:rsidR="00301E46" w:rsidRPr="00353ECB">
        <w:rPr>
          <w:lang w:val="en-GB"/>
        </w:rPr>
        <w:t>] above</w:t>
      </w:r>
      <w:r w:rsidR="00E460FC">
        <w:rPr>
          <w:lang w:val="en-GB"/>
        </w:rPr>
        <w:t xml:space="preserve">.  </w:t>
      </w:r>
      <w:r w:rsidR="00301E46" w:rsidRPr="00353ECB">
        <w:rPr>
          <w:lang w:val="en-GB"/>
        </w:rPr>
        <w:t>No</w:t>
      </w:r>
      <w:r w:rsidR="00811D6F" w:rsidRPr="00353ECB">
        <w:rPr>
          <w:lang w:val="en-GB"/>
        </w:rPr>
        <w:t> </w:t>
      </w:r>
      <w:r w:rsidR="00301E46" w:rsidRPr="00353ECB">
        <w:rPr>
          <w:lang w:val="en-GB"/>
        </w:rPr>
        <w:t xml:space="preserve">doubt they will be </w:t>
      </w:r>
      <w:proofErr w:type="gramStart"/>
      <w:r w:rsidR="00301E46" w:rsidRPr="00353ECB">
        <w:rPr>
          <w:lang w:val="en-GB"/>
        </w:rPr>
        <w:t>taken into account</w:t>
      </w:r>
      <w:proofErr w:type="gramEnd"/>
      <w:r w:rsidR="00301E46" w:rsidRPr="00353ECB">
        <w:rPr>
          <w:lang w:val="en-GB"/>
        </w:rPr>
        <w:t xml:space="preserve"> in any attempt to replead</w:t>
      </w:r>
      <w:r w:rsidR="002E5330" w:rsidRPr="00353ECB">
        <w:rPr>
          <w:lang w:val="en-GB"/>
        </w:rPr>
        <w:t>.</w:t>
      </w:r>
    </w:p>
    <w:p w14:paraId="5E49D571" w14:textId="77777777" w:rsidR="00301E46" w:rsidRDefault="00301E46" w:rsidP="00301E46">
      <w:pPr>
        <w:pStyle w:val="Heading3"/>
        <w:rPr>
          <w:lang w:val="en-GB"/>
        </w:rPr>
      </w:pPr>
      <w:r>
        <w:rPr>
          <w:lang w:val="en-GB"/>
        </w:rPr>
        <w:t>Three specific decisions</w:t>
      </w:r>
    </w:p>
    <w:p w14:paraId="518E3B7F" w14:textId="7A298FC5" w:rsidR="00301E46" w:rsidRDefault="00301E46" w:rsidP="00301E46">
      <w:pPr>
        <w:pStyle w:val="ParaNumbering"/>
        <w:tabs>
          <w:tab w:val="num" w:pos="720"/>
        </w:tabs>
        <w:rPr>
          <w:lang w:val="en-GB"/>
        </w:rPr>
      </w:pPr>
      <w:r>
        <w:rPr>
          <w:lang w:val="en-GB"/>
        </w:rPr>
        <w:t xml:space="preserve">I have already addressed </w:t>
      </w:r>
      <w:r w:rsidR="002E5330">
        <w:rPr>
          <w:lang w:val="en-GB"/>
        </w:rPr>
        <w:t>Professor </w:t>
      </w:r>
      <w:r w:rsidRPr="00CC2A77">
        <w:rPr>
          <w:lang w:val="en-GB"/>
        </w:rPr>
        <w:t>Winn</w:t>
      </w:r>
      <w:r>
        <w:rPr>
          <w:lang w:val="en-GB"/>
        </w:rPr>
        <w:t>'s complaints that paragraphs 72 to 74 do not disclose any bullying, intimidation or gaslighting behaviour</w:t>
      </w:r>
      <w:r w:rsidR="00E460FC">
        <w:rPr>
          <w:lang w:val="en-GB"/>
        </w:rPr>
        <w:t xml:space="preserve">.  </w:t>
      </w:r>
      <w:r>
        <w:rPr>
          <w:lang w:val="en-GB"/>
        </w:rPr>
        <w:t>Taken at their highest and taken along with all the other allegations, they do (save in respect of gaslighting)</w:t>
      </w:r>
      <w:r w:rsidR="00E460FC">
        <w:rPr>
          <w:lang w:val="en-GB"/>
        </w:rPr>
        <w:t>.</w:t>
      </w:r>
    </w:p>
    <w:p w14:paraId="588D631B" w14:textId="307BEF94" w:rsidR="00301E46" w:rsidRDefault="00301E46" w:rsidP="00301E46">
      <w:pPr>
        <w:pStyle w:val="ParaNumbering"/>
        <w:tabs>
          <w:tab w:val="num" w:pos="720"/>
        </w:tabs>
        <w:rPr>
          <w:lang w:val="en-GB"/>
        </w:rPr>
      </w:pPr>
      <w:r>
        <w:rPr>
          <w:lang w:val="en-GB"/>
        </w:rPr>
        <w:t xml:space="preserve">I do not accept </w:t>
      </w:r>
      <w:r w:rsidR="002E5330">
        <w:rPr>
          <w:lang w:val="en-GB"/>
        </w:rPr>
        <w:t>Professor </w:t>
      </w:r>
      <w:r w:rsidRPr="001C7CC7">
        <w:rPr>
          <w:lang w:val="en-GB"/>
        </w:rPr>
        <w:t>Winn</w:t>
      </w:r>
      <w:r>
        <w:rPr>
          <w:lang w:val="en-GB"/>
        </w:rPr>
        <w:t xml:space="preserve">'s </w:t>
      </w:r>
      <w:r w:rsidR="00DC3697">
        <w:rPr>
          <w:lang w:val="en-GB"/>
        </w:rPr>
        <w:t xml:space="preserve">further </w:t>
      </w:r>
      <w:r>
        <w:rPr>
          <w:lang w:val="en-GB"/>
        </w:rPr>
        <w:t>submission that the allegations at paragraph 72 are insufficiently particular</w:t>
      </w:r>
      <w:r w:rsidR="00E460FC">
        <w:rPr>
          <w:lang w:val="en-GB"/>
        </w:rPr>
        <w:t xml:space="preserve">.  </w:t>
      </w:r>
      <w:r>
        <w:rPr>
          <w:lang w:val="en-GB"/>
        </w:rPr>
        <w:t>The alleg</w:t>
      </w:r>
      <w:r w:rsidR="004A5650">
        <w:rPr>
          <w:lang w:val="en-GB"/>
        </w:rPr>
        <w:t>ations are</w:t>
      </w:r>
      <w:r>
        <w:rPr>
          <w:lang w:val="en-GB"/>
        </w:rPr>
        <w:t xml:space="preserve"> that in September to October 2021</w:t>
      </w:r>
      <w:r w:rsidR="00694140">
        <w:rPr>
          <w:lang w:val="en-GB"/>
        </w:rPr>
        <w:t>,</w:t>
      </w:r>
      <w:r>
        <w:rPr>
          <w:lang w:val="en-GB"/>
        </w:rPr>
        <w:t xml:space="preserve"> a person with a theology degree was not approved to teach an IT class</w:t>
      </w:r>
      <w:r w:rsidR="00E460FC">
        <w:rPr>
          <w:lang w:val="en-GB"/>
        </w:rPr>
        <w:t xml:space="preserve">.  </w:t>
      </w:r>
      <w:r>
        <w:rPr>
          <w:lang w:val="en-GB"/>
        </w:rPr>
        <w:t xml:space="preserve">Those circumstances are sufficiently specific to permit </w:t>
      </w:r>
      <w:r w:rsidR="002E5330">
        <w:rPr>
          <w:lang w:val="en-GB"/>
        </w:rPr>
        <w:t>Professor </w:t>
      </w:r>
      <w:r w:rsidRPr="001E1928">
        <w:rPr>
          <w:lang w:val="en-GB"/>
        </w:rPr>
        <w:t>Winn</w:t>
      </w:r>
      <w:r>
        <w:rPr>
          <w:lang w:val="en-GB"/>
        </w:rPr>
        <w:t xml:space="preserve"> to identify how to meet the allegations</w:t>
      </w:r>
      <w:r w:rsidR="00E460FC">
        <w:rPr>
          <w:lang w:val="en-GB"/>
        </w:rPr>
        <w:t xml:space="preserve">.  </w:t>
      </w:r>
      <w:r w:rsidR="002E5330">
        <w:rPr>
          <w:lang w:val="en-GB"/>
        </w:rPr>
        <w:t>Professor </w:t>
      </w:r>
      <w:r w:rsidRPr="001E1928">
        <w:rPr>
          <w:lang w:val="en-GB"/>
        </w:rPr>
        <w:t>Winn</w:t>
      </w:r>
      <w:r>
        <w:rPr>
          <w:lang w:val="en-GB"/>
        </w:rPr>
        <w:t>'s response to it in his affidavit confirms that is so</w:t>
      </w:r>
      <w:r w:rsidR="00E460FC">
        <w:rPr>
          <w:lang w:val="en-GB"/>
        </w:rPr>
        <w:t xml:space="preserve">.  </w:t>
      </w:r>
      <w:r>
        <w:rPr>
          <w:lang w:val="en-GB"/>
        </w:rPr>
        <w:t xml:space="preserve">More broadly, since the allegations stand as part of a reasonable defence, assertions of prejudice to </w:t>
      </w:r>
      <w:r w:rsidR="002E5330">
        <w:rPr>
          <w:lang w:val="en-GB"/>
        </w:rPr>
        <w:t>Professor </w:t>
      </w:r>
      <w:r w:rsidRPr="00B050FC">
        <w:rPr>
          <w:lang w:val="en-GB"/>
        </w:rPr>
        <w:t>Winn</w:t>
      </w:r>
      <w:r>
        <w:rPr>
          <w:lang w:val="en-GB"/>
        </w:rPr>
        <w:t xml:space="preserve"> in his affidavit, because he will expend money and effort in responding to them, are not to the point</w:t>
      </w:r>
      <w:r w:rsidR="002E5330">
        <w:rPr>
          <w:lang w:val="en-GB"/>
        </w:rPr>
        <w:t>.</w:t>
      </w:r>
    </w:p>
    <w:p w14:paraId="431FF932" w14:textId="6958BC0B" w:rsidR="00301E46" w:rsidRPr="00CC2A77" w:rsidRDefault="00301E46" w:rsidP="00301E46">
      <w:pPr>
        <w:pStyle w:val="ParaNumbering"/>
        <w:tabs>
          <w:tab w:val="num" w:pos="720"/>
        </w:tabs>
        <w:rPr>
          <w:lang w:val="en-GB"/>
        </w:rPr>
      </w:pPr>
      <w:r>
        <w:rPr>
          <w:lang w:val="en-GB"/>
        </w:rPr>
        <w:t>Leave to rely on paragraphs 72 to 74 would have been given</w:t>
      </w:r>
      <w:r w:rsidR="002E5330">
        <w:rPr>
          <w:lang w:val="en-GB"/>
        </w:rPr>
        <w:t>.</w:t>
      </w:r>
    </w:p>
    <w:p w14:paraId="3CA7CCB4" w14:textId="77777777" w:rsidR="00301E46" w:rsidRPr="003E1A44" w:rsidRDefault="00301E46" w:rsidP="00301E46">
      <w:pPr>
        <w:pStyle w:val="Heading3"/>
      </w:pPr>
      <w:r w:rsidRPr="003E1A44">
        <w:t>Investigation into the School of Education</w:t>
      </w:r>
    </w:p>
    <w:p w14:paraId="0C64F18E" w14:textId="152FCEDE" w:rsidR="00301E46" w:rsidRDefault="00301E46" w:rsidP="00301E46">
      <w:pPr>
        <w:pStyle w:val="ParaNumbering"/>
        <w:tabs>
          <w:tab w:val="num" w:pos="720"/>
        </w:tabs>
        <w:rPr>
          <w:lang w:val="en-GB"/>
        </w:rPr>
      </w:pPr>
      <w:r>
        <w:rPr>
          <w:lang w:val="en-GB"/>
        </w:rPr>
        <w:t xml:space="preserve">It will be recalled that under this heading above, the respondents plead four occasions on which written allegations about the culture at the School of Education were made by </w:t>
      </w:r>
      <w:r w:rsidR="000B633E">
        <w:rPr>
          <w:lang w:val="en-GB"/>
        </w:rPr>
        <w:t>Dr </w:t>
      </w:r>
      <w:r>
        <w:rPr>
          <w:lang w:val="en-GB"/>
        </w:rPr>
        <w:t xml:space="preserve">Prout, </w:t>
      </w:r>
      <w:r w:rsidR="000B633E">
        <w:rPr>
          <w:lang w:val="en-GB"/>
        </w:rPr>
        <w:t>Dr </w:t>
      </w:r>
      <w:r>
        <w:rPr>
          <w:lang w:val="en-GB"/>
        </w:rPr>
        <w:t>Allen and the NTEU</w:t>
      </w:r>
      <w:r w:rsidR="00E460FC">
        <w:rPr>
          <w:lang w:val="en-GB"/>
        </w:rPr>
        <w:t xml:space="preserve">.  </w:t>
      </w:r>
      <w:r>
        <w:rPr>
          <w:lang w:val="en-GB"/>
        </w:rPr>
        <w:t xml:space="preserve">Senior counsel for the respondents made it clear at the hearing that </w:t>
      </w:r>
      <w:r>
        <w:rPr>
          <w:lang w:val="en-GB"/>
        </w:rPr>
        <w:lastRenderedPageBreak/>
        <w:t>her client did not rely on those communications as establishing the truth of the allegations they contained</w:t>
      </w:r>
      <w:r w:rsidR="00E460FC">
        <w:rPr>
          <w:lang w:val="en-GB"/>
        </w:rPr>
        <w:t xml:space="preserve">.  </w:t>
      </w:r>
      <w:proofErr w:type="gramStart"/>
      <w:r>
        <w:rPr>
          <w:lang w:val="en-GB"/>
        </w:rPr>
        <w:t>So</w:t>
      </w:r>
      <w:proofErr w:type="gramEnd"/>
      <w:r>
        <w:rPr>
          <w:lang w:val="en-GB"/>
        </w:rPr>
        <w:t xml:space="preserve"> when the Schedule pleads, for example, that the NTEU sent a letter to the university about working conditions at the School of Education, that is not pleaded so as to contend that the things </w:t>
      </w:r>
      <w:r w:rsidR="004075F4">
        <w:rPr>
          <w:lang w:val="en-GB"/>
        </w:rPr>
        <w:t xml:space="preserve">the letter </w:t>
      </w:r>
      <w:r>
        <w:rPr>
          <w:lang w:val="en-GB"/>
        </w:rPr>
        <w:t>says were true</w:t>
      </w:r>
      <w:r w:rsidR="002E5330">
        <w:rPr>
          <w:lang w:val="en-GB"/>
        </w:rPr>
        <w:t>.</w:t>
      </w:r>
    </w:p>
    <w:p w14:paraId="17939819" w14:textId="5A84C9E5" w:rsidR="00301E46" w:rsidRPr="00FC0AE2" w:rsidRDefault="00301E46" w:rsidP="00301E46">
      <w:pPr>
        <w:pStyle w:val="ParaNumbering"/>
        <w:tabs>
          <w:tab w:val="num" w:pos="720"/>
        </w:tabs>
        <w:rPr>
          <w:lang w:val="en-GB"/>
        </w:rPr>
      </w:pPr>
      <w:bookmarkStart w:id="46" w:name="_Ref163740904"/>
      <w:r>
        <w:rPr>
          <w:lang w:val="en-GB"/>
        </w:rPr>
        <w:t>The difficulty is that the Schedule does not make that clear</w:t>
      </w:r>
      <w:r w:rsidR="00E460FC">
        <w:rPr>
          <w:lang w:val="en-GB"/>
        </w:rPr>
        <w:t xml:space="preserve">.  </w:t>
      </w:r>
      <w:r>
        <w:rPr>
          <w:lang w:val="en-GB"/>
        </w:rPr>
        <w:t>It simply recounts the making of the allegations</w:t>
      </w:r>
      <w:r w:rsidR="00E460FC">
        <w:rPr>
          <w:lang w:val="en-GB"/>
        </w:rPr>
        <w:t xml:space="preserve">.  </w:t>
      </w:r>
      <w:r>
        <w:rPr>
          <w:lang w:val="en-GB"/>
        </w:rPr>
        <w:t>It then pleads that the Vice</w:t>
      </w:r>
      <w:r w:rsidR="00FB237E">
        <w:rPr>
          <w:lang w:val="en-GB"/>
        </w:rPr>
        <w:noBreakHyphen/>
      </w:r>
      <w:r>
        <w:rPr>
          <w:lang w:val="en-GB"/>
        </w:rPr>
        <w:t xml:space="preserve">Chancellor announced </w:t>
      </w:r>
      <w:r w:rsidR="002E5330">
        <w:rPr>
          <w:lang w:val="en-GB"/>
        </w:rPr>
        <w:t>Professor </w:t>
      </w:r>
      <w:r w:rsidRPr="004F6650">
        <w:rPr>
          <w:lang w:val="en-GB"/>
        </w:rPr>
        <w:t>Winn</w:t>
      </w:r>
      <w:r>
        <w:rPr>
          <w:lang w:val="en-GB"/>
        </w:rPr>
        <w:t>'s departure and that it is to be inferred that ECU had concluded</w:t>
      </w:r>
      <w:r w:rsidR="00F61E5F">
        <w:rPr>
          <w:lang w:val="en-GB"/>
        </w:rPr>
        <w:t>,</w:t>
      </w:r>
      <w:r>
        <w:rPr>
          <w:lang w:val="en-GB"/>
        </w:rPr>
        <w:t xml:space="preserve"> following its cultural review</w:t>
      </w:r>
      <w:r w:rsidR="00F61E5F">
        <w:rPr>
          <w:lang w:val="en-GB"/>
        </w:rPr>
        <w:t>,</w:t>
      </w:r>
      <w:r>
        <w:rPr>
          <w:lang w:val="en-GB"/>
        </w:rPr>
        <w:t xml:space="preserve"> that </w:t>
      </w:r>
      <w:r w:rsidR="002E5330">
        <w:rPr>
          <w:lang w:val="en-GB"/>
        </w:rPr>
        <w:t>Professor </w:t>
      </w:r>
      <w:r w:rsidRPr="004F6650">
        <w:rPr>
          <w:lang w:val="en-GB"/>
        </w:rPr>
        <w:t>Winn</w:t>
      </w:r>
      <w:r>
        <w:rPr>
          <w:lang w:val="en-GB"/>
        </w:rPr>
        <w:t xml:space="preserve"> was responsible for the alleged toxic workplace culture</w:t>
      </w:r>
      <w:r w:rsidR="00E460FC">
        <w:rPr>
          <w:lang w:val="en-GB"/>
        </w:rPr>
        <w:t xml:space="preserve">.  </w:t>
      </w:r>
      <w:r>
        <w:rPr>
          <w:lang w:val="en-GB"/>
        </w:rPr>
        <w:t xml:space="preserve">I interpret </w:t>
      </w:r>
      <w:r w:rsidR="002E5330">
        <w:rPr>
          <w:lang w:val="en-GB"/>
        </w:rPr>
        <w:t>Professor </w:t>
      </w:r>
      <w:r w:rsidRPr="00FC0AE2">
        <w:rPr>
          <w:lang w:val="en-GB"/>
        </w:rPr>
        <w:t>Winn</w:t>
      </w:r>
      <w:r>
        <w:rPr>
          <w:lang w:val="en-GB"/>
        </w:rPr>
        <w:t>'s submission that these allegations are 'hearsay' as a complaint that the respondents ought not be permitted to plead the contents of these communications for the purpose of establishing the truth of those contents</w:t>
      </w:r>
      <w:r w:rsidR="00E460FC">
        <w:rPr>
          <w:lang w:val="en-GB"/>
        </w:rPr>
        <w:t xml:space="preserve">.  </w:t>
      </w:r>
      <w:r>
        <w:rPr>
          <w:lang w:val="en-GB"/>
        </w:rPr>
        <w:t>I agree, and senior counsel for the respondents properly disclaimed that purpose</w:t>
      </w:r>
      <w:r w:rsidR="002E5330">
        <w:rPr>
          <w:lang w:val="en-GB"/>
        </w:rPr>
        <w:t>.</w:t>
      </w:r>
      <w:bookmarkEnd w:id="46"/>
    </w:p>
    <w:p w14:paraId="143EC3D0" w14:textId="755670F1" w:rsidR="00301E46" w:rsidRDefault="00301E46" w:rsidP="00301E46">
      <w:pPr>
        <w:pStyle w:val="ParaNumbering"/>
        <w:tabs>
          <w:tab w:val="num" w:pos="720"/>
        </w:tabs>
        <w:rPr>
          <w:lang w:val="en-GB"/>
        </w:rPr>
      </w:pPr>
      <w:r w:rsidRPr="00914C2E">
        <w:rPr>
          <w:lang w:val="en-GB"/>
        </w:rPr>
        <w:t>If the pleading were to make it clear that the allegations in those four communications are not relied on, the further question would arise as to what purpose they serve</w:t>
      </w:r>
      <w:r w:rsidR="00E460FC">
        <w:rPr>
          <w:lang w:val="en-GB"/>
        </w:rPr>
        <w:t xml:space="preserve">.  </w:t>
      </w:r>
      <w:r w:rsidRPr="00914C2E">
        <w:rPr>
          <w:lang w:val="en-GB"/>
        </w:rPr>
        <w:t xml:space="preserve">When asked that question, senior counsel for the respondents was only able to say that they were factual context for the events leading up to the termination of </w:t>
      </w:r>
      <w:r w:rsidR="002E5330">
        <w:rPr>
          <w:lang w:val="en-GB"/>
        </w:rPr>
        <w:t>Professor </w:t>
      </w:r>
      <w:r w:rsidRPr="00914C2E">
        <w:rPr>
          <w:lang w:val="en-GB"/>
        </w:rPr>
        <w:t>Winn as Executive Dean</w:t>
      </w:r>
      <w:r w:rsidR="002E5330">
        <w:rPr>
          <w:lang w:val="en-GB"/>
        </w:rPr>
        <w:t>.</w:t>
      </w:r>
    </w:p>
    <w:p w14:paraId="46EAB60A" w14:textId="75E42214" w:rsidR="00301E46" w:rsidRPr="00914C2E" w:rsidRDefault="00301E46" w:rsidP="00301E46">
      <w:pPr>
        <w:pStyle w:val="ParaNumbering"/>
        <w:tabs>
          <w:tab w:val="num" w:pos="720"/>
        </w:tabs>
        <w:rPr>
          <w:lang w:val="en-GB"/>
        </w:rPr>
      </w:pPr>
      <w:r w:rsidRPr="00914C2E">
        <w:rPr>
          <w:lang w:val="en-GB"/>
        </w:rPr>
        <w:t xml:space="preserve">I do not accept that is a good reason for </w:t>
      </w:r>
      <w:r>
        <w:rPr>
          <w:lang w:val="en-GB"/>
        </w:rPr>
        <w:t>the</w:t>
      </w:r>
      <w:r w:rsidRPr="00914C2E">
        <w:rPr>
          <w:lang w:val="en-GB"/>
        </w:rPr>
        <w:t xml:space="preserve"> presence </w:t>
      </w:r>
      <w:r>
        <w:rPr>
          <w:lang w:val="en-GB"/>
        </w:rPr>
        <w:t xml:space="preserve">of those allegations </w:t>
      </w:r>
      <w:r w:rsidRPr="00914C2E">
        <w:rPr>
          <w:lang w:val="en-GB"/>
        </w:rPr>
        <w:t xml:space="preserve">in the </w:t>
      </w:r>
      <w:r>
        <w:rPr>
          <w:lang w:val="en-GB"/>
        </w:rPr>
        <w:t>Schedule</w:t>
      </w:r>
      <w:r w:rsidR="00E460FC">
        <w:rPr>
          <w:lang w:val="en-GB"/>
        </w:rPr>
        <w:t xml:space="preserve">.  </w:t>
      </w:r>
      <w:r>
        <w:rPr>
          <w:lang w:val="en-GB"/>
        </w:rPr>
        <w:t>Such matters</w:t>
      </w:r>
      <w:r w:rsidRPr="00914C2E">
        <w:rPr>
          <w:lang w:val="en-GB"/>
        </w:rPr>
        <w:t xml:space="preserve"> should not be permitted to </w:t>
      </w:r>
      <w:r>
        <w:rPr>
          <w:lang w:val="en-GB"/>
        </w:rPr>
        <w:t>lay</w:t>
      </w:r>
      <w:r w:rsidRPr="00914C2E">
        <w:rPr>
          <w:lang w:val="en-GB"/>
        </w:rPr>
        <w:t xml:space="preserve"> in a pleading when they have no clear purpose, that is, no clear link to proof of the substantial truth of the imputations</w:t>
      </w:r>
      <w:r w:rsidR="00E460FC">
        <w:rPr>
          <w:lang w:val="en-GB"/>
        </w:rPr>
        <w:t xml:space="preserve">.  </w:t>
      </w:r>
      <w:r w:rsidRPr="00914C2E">
        <w:rPr>
          <w:lang w:val="en-GB"/>
        </w:rPr>
        <w:t>That would risk creating a 'climate of prejudice'</w:t>
      </w:r>
      <w:r w:rsidR="00E460FC">
        <w:rPr>
          <w:lang w:val="en-GB"/>
        </w:rPr>
        <w:t xml:space="preserve">.  </w:t>
      </w:r>
      <w:r w:rsidRPr="00914C2E">
        <w:rPr>
          <w:lang w:val="en-GB"/>
        </w:rPr>
        <w:t xml:space="preserve">It would also raise false issues that </w:t>
      </w:r>
      <w:r>
        <w:rPr>
          <w:lang w:val="en-GB"/>
        </w:rPr>
        <w:t xml:space="preserve">would </w:t>
      </w:r>
      <w:r w:rsidRPr="00914C2E">
        <w:rPr>
          <w:lang w:val="en-GB"/>
        </w:rPr>
        <w:t>lead to much wasted time and money in</w:t>
      </w:r>
      <w:r w:rsidR="00736CD8">
        <w:rPr>
          <w:lang w:val="en-GB"/>
        </w:rPr>
        <w:t xml:space="preserve"> ultimately futile</w:t>
      </w:r>
      <w:r w:rsidRPr="00914C2E">
        <w:rPr>
          <w:lang w:val="en-GB"/>
        </w:rPr>
        <w:t xml:space="preserve"> forensic contests.</w:t>
      </w:r>
    </w:p>
    <w:p w14:paraId="35566F4E" w14:textId="5882D256" w:rsidR="00301E46" w:rsidRDefault="00301E46" w:rsidP="00301E46">
      <w:pPr>
        <w:pStyle w:val="ParaNumbering"/>
        <w:tabs>
          <w:tab w:val="num" w:pos="720"/>
        </w:tabs>
        <w:rPr>
          <w:lang w:val="en-GB"/>
        </w:rPr>
      </w:pPr>
      <w:r>
        <w:rPr>
          <w:lang w:val="en-GB"/>
        </w:rPr>
        <w:t>The respondents should not have leave to include pleas as to those four occasions in their current form, that is, to include paragraphs 75, 76, 80 and 82 to 86 of the Schedule</w:t>
      </w:r>
      <w:r w:rsidR="002E5330">
        <w:rPr>
          <w:lang w:val="en-GB"/>
        </w:rPr>
        <w:t>.</w:t>
      </w:r>
    </w:p>
    <w:p w14:paraId="4FF8DCBA" w14:textId="05DA32C2" w:rsidR="00301E46" w:rsidRDefault="00301E46" w:rsidP="00301E46">
      <w:pPr>
        <w:pStyle w:val="ParaNumbering"/>
        <w:tabs>
          <w:tab w:val="num" w:pos="720"/>
        </w:tabs>
        <w:rPr>
          <w:lang w:val="en-GB"/>
        </w:rPr>
      </w:pPr>
      <w:r>
        <w:rPr>
          <w:lang w:val="en-GB"/>
        </w:rPr>
        <w:t>The remaining significance</w:t>
      </w:r>
      <w:r w:rsidRPr="00F46EA2">
        <w:rPr>
          <w:lang w:val="en-GB"/>
        </w:rPr>
        <w:t>, if any, of what would be left from this section (para</w:t>
      </w:r>
      <w:r w:rsidR="00811D6F" w:rsidRPr="00F46EA2">
        <w:rPr>
          <w:lang w:val="en-GB"/>
        </w:rPr>
        <w:t>s </w:t>
      </w:r>
      <w:r w:rsidRPr="00F46EA2">
        <w:rPr>
          <w:lang w:val="en-GB"/>
        </w:rPr>
        <w:t>77</w:t>
      </w:r>
      <w:r>
        <w:rPr>
          <w:lang w:val="en-GB"/>
        </w:rPr>
        <w:t>-79, 81</w:t>
      </w:r>
      <w:r w:rsidR="00FB237E">
        <w:rPr>
          <w:lang w:val="en-GB"/>
        </w:rPr>
        <w:t>,</w:t>
      </w:r>
      <w:r>
        <w:rPr>
          <w:lang w:val="en-GB"/>
        </w:rPr>
        <w:t xml:space="preserve"> 87</w:t>
      </w:r>
      <w:r w:rsidR="00FB237E">
        <w:rPr>
          <w:lang w:val="en-GB"/>
        </w:rPr>
        <w:noBreakHyphen/>
      </w:r>
      <w:r>
        <w:rPr>
          <w:lang w:val="en-GB"/>
        </w:rPr>
        <w:t>88) would be uncertain, to say the least</w:t>
      </w:r>
      <w:r w:rsidR="00E460FC">
        <w:rPr>
          <w:lang w:val="en-GB"/>
        </w:rPr>
        <w:t xml:space="preserve">.  </w:t>
      </w:r>
      <w:r>
        <w:rPr>
          <w:lang w:val="en-GB"/>
        </w:rPr>
        <w:t xml:space="preserve">It would amount to a plea that an investigation was conducted, and </w:t>
      </w:r>
      <w:r w:rsidR="002E5330">
        <w:rPr>
          <w:lang w:val="en-GB"/>
        </w:rPr>
        <w:t>Professor </w:t>
      </w:r>
      <w:r w:rsidRPr="00914C2E">
        <w:rPr>
          <w:lang w:val="en-GB"/>
        </w:rPr>
        <w:t xml:space="preserve">Winn </w:t>
      </w:r>
      <w:r w:rsidR="003D6A3D">
        <w:rPr>
          <w:lang w:val="en-GB"/>
        </w:rPr>
        <w:t xml:space="preserve">subsequently </w:t>
      </w:r>
      <w:r>
        <w:rPr>
          <w:lang w:val="en-GB"/>
        </w:rPr>
        <w:t>ceased to be Executive Dean, and from that it can be inferred that he was terminated because ECU had concluded that he was responsible for the toxic workplace culture</w:t>
      </w:r>
      <w:r w:rsidR="00E460FC">
        <w:rPr>
          <w:lang w:val="en-GB"/>
        </w:rPr>
        <w:t xml:space="preserve">.  </w:t>
      </w:r>
      <w:r>
        <w:rPr>
          <w:lang w:val="en-GB"/>
        </w:rPr>
        <w:t>Those bare facts are insufficient to justify that inference</w:t>
      </w:r>
      <w:r w:rsidR="00E460FC">
        <w:rPr>
          <w:lang w:val="en-GB"/>
        </w:rPr>
        <w:t xml:space="preserve">.  </w:t>
      </w:r>
      <w:r>
        <w:rPr>
          <w:lang w:val="en-GB"/>
        </w:rPr>
        <w:t xml:space="preserve">And any attempt to rely on the investigation would potentially </w:t>
      </w:r>
      <w:proofErr w:type="gramStart"/>
      <w:r>
        <w:rPr>
          <w:lang w:val="en-GB"/>
        </w:rPr>
        <w:t>open up</w:t>
      </w:r>
      <w:proofErr w:type="gramEnd"/>
      <w:r>
        <w:rPr>
          <w:lang w:val="en-GB"/>
        </w:rPr>
        <w:t xml:space="preserve"> a wide and oppressive area of forensic inquiry</w:t>
      </w:r>
      <w:r w:rsidR="002E5330">
        <w:rPr>
          <w:lang w:val="en-GB"/>
        </w:rPr>
        <w:t>.</w:t>
      </w:r>
    </w:p>
    <w:p w14:paraId="193899CC" w14:textId="481B7EB2" w:rsidR="00301E46" w:rsidRDefault="00301E46" w:rsidP="00301E46">
      <w:pPr>
        <w:pStyle w:val="ParaNumbering"/>
        <w:tabs>
          <w:tab w:val="num" w:pos="720"/>
        </w:tabs>
        <w:rPr>
          <w:lang w:val="en-GB"/>
        </w:rPr>
      </w:pPr>
      <w:r>
        <w:rPr>
          <w:lang w:val="en-GB"/>
        </w:rPr>
        <w:lastRenderedPageBreak/>
        <w:t xml:space="preserve">Senior counsel for the respondents submitted that these pleas would not necessarily </w:t>
      </w:r>
      <w:proofErr w:type="gramStart"/>
      <w:r>
        <w:rPr>
          <w:lang w:val="en-GB"/>
        </w:rPr>
        <w:t>open up</w:t>
      </w:r>
      <w:proofErr w:type="gramEnd"/>
      <w:r>
        <w:rPr>
          <w:lang w:val="en-GB"/>
        </w:rPr>
        <w:t xml:space="preserve"> that area of inquiry, because specific individuals could be called to testify as to the reasons that </w:t>
      </w:r>
      <w:r w:rsidR="002E5330">
        <w:rPr>
          <w:lang w:val="en-GB"/>
        </w:rPr>
        <w:t>Professor </w:t>
      </w:r>
      <w:r w:rsidRPr="0083259E">
        <w:rPr>
          <w:lang w:val="en-GB"/>
        </w:rPr>
        <w:t xml:space="preserve">Winn </w:t>
      </w:r>
      <w:r>
        <w:rPr>
          <w:lang w:val="en-GB"/>
        </w:rPr>
        <w:t>was 'dismissed' (her word for what occurred)</w:t>
      </w:r>
      <w:r w:rsidR="00E460FC">
        <w:rPr>
          <w:lang w:val="en-GB"/>
        </w:rPr>
        <w:t xml:space="preserve">.  </w:t>
      </w:r>
      <w:r>
        <w:rPr>
          <w:lang w:val="en-GB"/>
        </w:rPr>
        <w:t>But that does not appear from the facts pleaded</w:t>
      </w:r>
      <w:r w:rsidR="00E460FC">
        <w:rPr>
          <w:lang w:val="en-GB"/>
        </w:rPr>
        <w:t xml:space="preserve">.  </w:t>
      </w:r>
      <w:r>
        <w:rPr>
          <w:lang w:val="en-GB"/>
        </w:rPr>
        <w:t>Those facts are an investigation and the communication about 'passing the baton'</w:t>
      </w:r>
      <w:r w:rsidR="00E460FC">
        <w:rPr>
          <w:lang w:val="en-GB"/>
        </w:rPr>
        <w:t xml:space="preserve">.  </w:t>
      </w:r>
      <w:r>
        <w:rPr>
          <w:lang w:val="en-GB"/>
        </w:rPr>
        <w:t>Unless the conduct and findings of the investigations are canvassed, it is difficult to see how the inference can be justified</w:t>
      </w:r>
      <w:r w:rsidR="002E5330">
        <w:rPr>
          <w:lang w:val="en-GB"/>
        </w:rPr>
        <w:t>.</w:t>
      </w:r>
    </w:p>
    <w:p w14:paraId="2B70F2DD" w14:textId="192DE1B5" w:rsidR="00301E46" w:rsidRDefault="00301E46" w:rsidP="00301E46">
      <w:pPr>
        <w:pStyle w:val="ParaNumbering"/>
        <w:tabs>
          <w:tab w:val="num" w:pos="720"/>
        </w:tabs>
        <w:rPr>
          <w:lang w:val="en-GB"/>
        </w:rPr>
      </w:pPr>
      <w:r>
        <w:rPr>
          <w:lang w:val="en-GB"/>
        </w:rPr>
        <w:t>The respondents should not have leave to rely on any part of this section (para</w:t>
      </w:r>
      <w:r w:rsidR="00FB237E">
        <w:rPr>
          <w:lang w:val="en-GB"/>
        </w:rPr>
        <w:t>s </w:t>
      </w:r>
      <w:r>
        <w:rPr>
          <w:lang w:val="en-GB"/>
        </w:rPr>
        <w:t>75-88) as currently pleaded</w:t>
      </w:r>
      <w:r w:rsidR="00E460FC">
        <w:rPr>
          <w:lang w:val="en-GB"/>
        </w:rPr>
        <w:t xml:space="preserve">.  </w:t>
      </w:r>
      <w:r>
        <w:rPr>
          <w:lang w:val="en-GB"/>
        </w:rPr>
        <w:t xml:space="preserve">If they truly wish to allege that </w:t>
      </w:r>
      <w:r w:rsidR="002E5330">
        <w:rPr>
          <w:lang w:val="en-GB"/>
        </w:rPr>
        <w:t>Professor </w:t>
      </w:r>
      <w:r w:rsidRPr="002D427D">
        <w:rPr>
          <w:lang w:val="en-GB"/>
        </w:rPr>
        <w:t>Win</w:t>
      </w:r>
      <w:r>
        <w:rPr>
          <w:lang w:val="en-GB"/>
        </w:rPr>
        <w:t xml:space="preserve">n's employment as Executive Dean was terminated as a result of what the investigation found, they </w:t>
      </w:r>
      <w:proofErr w:type="gramStart"/>
      <w:r>
        <w:rPr>
          <w:lang w:val="en-GB"/>
        </w:rPr>
        <w:t>would</w:t>
      </w:r>
      <w:proofErr w:type="gramEnd"/>
      <w:r>
        <w:rPr>
          <w:lang w:val="en-GB"/>
        </w:rPr>
        <w:t xml:space="preserve"> need, at least, to say what it found, and to draw a link between that and the termination</w:t>
      </w:r>
      <w:r w:rsidR="00E460FC">
        <w:rPr>
          <w:lang w:val="en-GB"/>
        </w:rPr>
        <w:t xml:space="preserve">.  </w:t>
      </w:r>
      <w:r>
        <w:rPr>
          <w:lang w:val="en-GB"/>
        </w:rPr>
        <w:t>And of course, they cannot seek discovery and subpoenas with a view to fishing for those things</w:t>
      </w:r>
      <w:r w:rsidR="00E460FC">
        <w:rPr>
          <w:lang w:val="en-GB"/>
        </w:rPr>
        <w:t xml:space="preserve">.  </w:t>
      </w:r>
      <w:r>
        <w:rPr>
          <w:lang w:val="en-GB"/>
        </w:rPr>
        <w:t xml:space="preserve">And any attempt to invoke the investigation, even on a reasonable factual footing, </w:t>
      </w:r>
      <w:r w:rsidR="0018368C">
        <w:rPr>
          <w:lang w:val="en-GB"/>
        </w:rPr>
        <w:t xml:space="preserve">would </w:t>
      </w:r>
      <w:r>
        <w:rPr>
          <w:lang w:val="en-GB"/>
        </w:rPr>
        <w:t>be scrutinised carefully, in view of the potentially wide field of forensic dispute that it would provoke.</w:t>
      </w:r>
    </w:p>
    <w:p w14:paraId="2721D444" w14:textId="6BFF18E9" w:rsidR="00301E46" w:rsidRDefault="00301E46" w:rsidP="00301E46">
      <w:pPr>
        <w:pStyle w:val="ParaNumbering"/>
        <w:tabs>
          <w:tab w:val="num" w:pos="720"/>
        </w:tabs>
        <w:rPr>
          <w:lang w:val="en-GB"/>
        </w:rPr>
      </w:pPr>
      <w:r>
        <w:rPr>
          <w:lang w:val="en-GB"/>
        </w:rPr>
        <w:t xml:space="preserve">Given these conclusions it is not necessary to rule on </w:t>
      </w:r>
      <w:r w:rsidR="002E5330">
        <w:rPr>
          <w:lang w:val="en-GB"/>
        </w:rPr>
        <w:t>Professor </w:t>
      </w:r>
      <w:r w:rsidRPr="00FC0AE2">
        <w:rPr>
          <w:lang w:val="en-GB"/>
        </w:rPr>
        <w:t>Win</w:t>
      </w:r>
      <w:r>
        <w:rPr>
          <w:lang w:val="en-GB"/>
        </w:rPr>
        <w:t xml:space="preserve">n's specific complaint about the plea that he failed to respond to </w:t>
      </w:r>
      <w:r w:rsidR="000B633E">
        <w:rPr>
          <w:lang w:val="en-GB"/>
        </w:rPr>
        <w:t>Dr </w:t>
      </w:r>
      <w:r>
        <w:rPr>
          <w:lang w:val="en-GB"/>
        </w:rPr>
        <w:t>Prout's communication of 14 October 2021.</w:t>
      </w:r>
    </w:p>
    <w:p w14:paraId="57D8EF39" w14:textId="23EE8835" w:rsidR="00301E46" w:rsidRDefault="00301E46" w:rsidP="00301E46">
      <w:pPr>
        <w:pStyle w:val="Heading2"/>
        <w:rPr>
          <w:lang w:val="en-GB"/>
        </w:rPr>
      </w:pPr>
      <w:r>
        <w:rPr>
          <w:lang w:val="en-GB"/>
        </w:rPr>
        <w:t>Outcome</w:t>
      </w:r>
    </w:p>
    <w:p w14:paraId="385E323A" w14:textId="4B7E0BA5" w:rsidR="00301E46" w:rsidRDefault="00301E46" w:rsidP="00301E46">
      <w:pPr>
        <w:pStyle w:val="ParaNumbering"/>
        <w:tabs>
          <w:tab w:val="num" w:pos="720"/>
        </w:tabs>
        <w:rPr>
          <w:lang w:val="en-GB"/>
        </w:rPr>
      </w:pPr>
      <w:r>
        <w:rPr>
          <w:lang w:val="en-GB"/>
        </w:rPr>
        <w:t xml:space="preserve">As I have already said, the number and nature of the </w:t>
      </w:r>
      <w:r w:rsidRPr="000E1E6B">
        <w:rPr>
          <w:lang w:val="en-GB"/>
        </w:rPr>
        <w:t xml:space="preserve">deficiencies </w:t>
      </w:r>
      <w:r w:rsidRPr="00F46EA2">
        <w:rPr>
          <w:lang w:val="en-GB"/>
        </w:rPr>
        <w:t xml:space="preserve">I have found to exist </w:t>
      </w:r>
      <w:r>
        <w:rPr>
          <w:lang w:val="en-GB"/>
        </w:rPr>
        <w:t>in the proposed amended defence makes it inevitable that leave to rely on it will be refused</w:t>
      </w:r>
      <w:r w:rsidR="002E5330">
        <w:rPr>
          <w:lang w:val="en-GB"/>
        </w:rPr>
        <w:t>.</w:t>
      </w:r>
    </w:p>
    <w:p w14:paraId="10B9B0B7" w14:textId="49D1E8E7" w:rsidR="00301E46" w:rsidRDefault="00437819" w:rsidP="00301E46">
      <w:pPr>
        <w:pStyle w:val="ParaNumbering"/>
        <w:tabs>
          <w:tab w:val="num" w:pos="720"/>
        </w:tabs>
        <w:rPr>
          <w:lang w:val="en-GB"/>
        </w:rPr>
      </w:pPr>
      <w:bookmarkStart w:id="47" w:name="_Ref163398750"/>
      <w:r w:rsidRPr="00911745">
        <w:rPr>
          <w:lang w:val="en-GB"/>
        </w:rPr>
        <w:t xml:space="preserve">As has </w:t>
      </w:r>
      <w:r w:rsidR="004075F4">
        <w:rPr>
          <w:lang w:val="en-GB"/>
        </w:rPr>
        <w:t xml:space="preserve">also </w:t>
      </w:r>
      <w:r w:rsidRPr="00911745">
        <w:rPr>
          <w:lang w:val="en-GB"/>
        </w:rPr>
        <w:t xml:space="preserve">been said, it </w:t>
      </w:r>
      <w:r w:rsidR="00301E46" w:rsidRPr="00911745">
        <w:rPr>
          <w:lang w:val="en-GB"/>
        </w:rPr>
        <w:t xml:space="preserve">was not abundantly clear whether </w:t>
      </w:r>
      <w:r w:rsidR="002E5330" w:rsidRPr="00911745">
        <w:rPr>
          <w:lang w:val="en-GB"/>
        </w:rPr>
        <w:t>Professor </w:t>
      </w:r>
      <w:r w:rsidR="00301E46" w:rsidRPr="00911745">
        <w:rPr>
          <w:lang w:val="en-GB"/>
        </w:rPr>
        <w:t>Winn opposed granting the respondents leave to replead in that situation</w:t>
      </w:r>
      <w:r w:rsidR="00E460FC">
        <w:rPr>
          <w:lang w:val="en-GB"/>
        </w:rPr>
        <w:t xml:space="preserve">.  </w:t>
      </w:r>
      <w:r w:rsidR="00301E46">
        <w:rPr>
          <w:lang w:val="en-GB"/>
        </w:rPr>
        <w:t xml:space="preserve">The thrust of his submissions was </w:t>
      </w:r>
      <w:proofErr w:type="gramStart"/>
      <w:r w:rsidR="00301E46">
        <w:rPr>
          <w:lang w:val="en-GB"/>
        </w:rPr>
        <w:t>that,</w:t>
      </w:r>
      <w:proofErr w:type="gramEnd"/>
      <w:r w:rsidR="00301E46">
        <w:rPr>
          <w:lang w:val="en-GB"/>
        </w:rPr>
        <w:t xml:space="preserve"> nine months after the proceeding was commenced, the respondents have been unable to plead a reasonable defence</w:t>
      </w:r>
      <w:r w:rsidR="00E460FC">
        <w:rPr>
          <w:lang w:val="en-GB"/>
        </w:rPr>
        <w:t xml:space="preserve">.  </w:t>
      </w:r>
      <w:r w:rsidR="00301E46">
        <w:rPr>
          <w:lang w:val="en-GB"/>
        </w:rPr>
        <w:t>Since I have found that they have pleaded a reasonable defence, that falls away</w:t>
      </w:r>
      <w:bookmarkEnd w:id="47"/>
      <w:r w:rsidR="002E5330">
        <w:rPr>
          <w:lang w:val="en-GB"/>
        </w:rPr>
        <w:t>.</w:t>
      </w:r>
    </w:p>
    <w:p w14:paraId="3EBD278F" w14:textId="039F84B0" w:rsidR="00301E46" w:rsidRDefault="002E5330" w:rsidP="00301E46">
      <w:pPr>
        <w:pStyle w:val="ParaNumbering"/>
        <w:tabs>
          <w:tab w:val="num" w:pos="720"/>
        </w:tabs>
        <w:rPr>
          <w:lang w:val="en-GB"/>
        </w:rPr>
      </w:pPr>
      <w:r>
        <w:rPr>
          <w:lang w:val="en-GB"/>
        </w:rPr>
        <w:t>Professor </w:t>
      </w:r>
      <w:r w:rsidR="00301E46" w:rsidRPr="009A3770">
        <w:rPr>
          <w:lang w:val="en-GB"/>
        </w:rPr>
        <w:t>Winn</w:t>
      </w:r>
      <w:r w:rsidR="00301E46">
        <w:rPr>
          <w:lang w:val="en-GB"/>
        </w:rPr>
        <w:t xml:space="preserve"> also pointed to the prejudice that he says he has suffered </w:t>
      </w:r>
      <w:proofErr w:type="gramStart"/>
      <w:r w:rsidR="00301E46">
        <w:rPr>
          <w:lang w:val="en-GB"/>
        </w:rPr>
        <w:t>as a result of</w:t>
      </w:r>
      <w:proofErr w:type="gramEnd"/>
      <w:r w:rsidR="00301E46">
        <w:rPr>
          <w:lang w:val="en-GB"/>
        </w:rPr>
        <w:t xml:space="preserve"> the publication</w:t>
      </w:r>
      <w:r w:rsidR="00E460FC">
        <w:rPr>
          <w:lang w:val="en-GB"/>
        </w:rPr>
        <w:t xml:space="preserve">.  </w:t>
      </w:r>
      <w:r w:rsidR="00301E46">
        <w:rPr>
          <w:lang w:val="en-GB"/>
        </w:rPr>
        <w:t>As already mentioned, his affidavit contains evidence of the effect of the publication on his physical and mental health and deposes to an incident concerning members of his family</w:t>
      </w:r>
      <w:r w:rsidR="00E460FC">
        <w:rPr>
          <w:lang w:val="en-GB"/>
        </w:rPr>
        <w:t xml:space="preserve">.  </w:t>
      </w:r>
      <w:r w:rsidR="00301E46">
        <w:rPr>
          <w:lang w:val="en-GB"/>
        </w:rPr>
        <w:t>Of course</w:t>
      </w:r>
      <w:r w:rsidR="00754432">
        <w:rPr>
          <w:lang w:val="en-GB"/>
        </w:rPr>
        <w:t>,</w:t>
      </w:r>
      <w:r w:rsidR="00301E46">
        <w:rPr>
          <w:lang w:val="en-GB"/>
        </w:rPr>
        <w:t xml:space="preserve"> if these matters are established at trial</w:t>
      </w:r>
      <w:r w:rsidR="00754432">
        <w:rPr>
          <w:lang w:val="en-GB"/>
        </w:rPr>
        <w:t>,</w:t>
      </w:r>
      <w:r w:rsidR="00301E46">
        <w:rPr>
          <w:lang w:val="en-GB"/>
        </w:rPr>
        <w:t xml:space="preserve"> they may be relevant to the question of damages</w:t>
      </w:r>
      <w:r w:rsidR="00E460FC">
        <w:rPr>
          <w:lang w:val="en-GB"/>
        </w:rPr>
        <w:t xml:space="preserve">.  </w:t>
      </w:r>
      <w:r w:rsidR="00301E46">
        <w:rPr>
          <w:lang w:val="en-GB"/>
        </w:rPr>
        <w:t xml:space="preserve">But they do not present any unusual circumstance which would warrant, in effect, ending the proceeding now, certainly not </w:t>
      </w:r>
      <w:proofErr w:type="gramStart"/>
      <w:r w:rsidR="00301E46">
        <w:rPr>
          <w:lang w:val="en-GB"/>
        </w:rPr>
        <w:t>in light of</w:t>
      </w:r>
      <w:proofErr w:type="gramEnd"/>
      <w:r w:rsidR="00301E46">
        <w:rPr>
          <w:lang w:val="en-GB"/>
        </w:rPr>
        <w:t xml:space="preserve"> the mixed findings I have made above</w:t>
      </w:r>
      <w:r w:rsidR="00E460FC">
        <w:rPr>
          <w:lang w:val="en-GB"/>
        </w:rPr>
        <w:t xml:space="preserve">.  </w:t>
      </w:r>
      <w:r w:rsidR="00301E46">
        <w:rPr>
          <w:lang w:val="en-GB"/>
        </w:rPr>
        <w:t xml:space="preserve">And while the Court should always be astute to minimise the impact of delays in litigation, particularly the impact on individuals, </w:t>
      </w:r>
      <w:r>
        <w:rPr>
          <w:lang w:val="en-GB"/>
        </w:rPr>
        <w:t>Professor </w:t>
      </w:r>
      <w:r w:rsidR="00301E46" w:rsidRPr="009C2EDF">
        <w:rPr>
          <w:lang w:val="en-GB"/>
        </w:rPr>
        <w:t>Winn</w:t>
      </w:r>
      <w:r w:rsidR="00301E46">
        <w:rPr>
          <w:lang w:val="en-GB"/>
        </w:rPr>
        <w:t xml:space="preserve">'s counsel rightly accepted that </w:t>
      </w:r>
      <w:r w:rsidR="00301E46">
        <w:rPr>
          <w:lang w:val="en-GB"/>
        </w:rPr>
        <w:lastRenderedPageBreak/>
        <w:t>the delay in this proceeding to date is neither remarkable, nor to be sheeted home to fault on the part of the respondents</w:t>
      </w:r>
      <w:r>
        <w:rPr>
          <w:lang w:val="en-GB"/>
        </w:rPr>
        <w:t>.</w:t>
      </w:r>
    </w:p>
    <w:p w14:paraId="79A372EF" w14:textId="78D6E20E" w:rsidR="00301E46" w:rsidRPr="00911745" w:rsidRDefault="00301E46" w:rsidP="00301E46">
      <w:pPr>
        <w:pStyle w:val="ParaNumbering"/>
        <w:tabs>
          <w:tab w:val="num" w:pos="720"/>
        </w:tabs>
        <w:rPr>
          <w:lang w:val="en-GB"/>
        </w:rPr>
      </w:pPr>
      <w:r>
        <w:rPr>
          <w:lang w:val="en-GB"/>
        </w:rPr>
        <w:t xml:space="preserve">In any event the nature of the deficiencies in the proposed amended defence - broadly, a lack of particularity </w:t>
      </w:r>
      <w:r w:rsidRPr="00911745">
        <w:rPr>
          <w:lang w:val="en-GB"/>
        </w:rPr>
        <w:t xml:space="preserve">that will tend to prejudice </w:t>
      </w:r>
      <w:r w:rsidR="002E5330" w:rsidRPr="00911745">
        <w:rPr>
          <w:lang w:val="en-GB"/>
        </w:rPr>
        <w:t>Professor </w:t>
      </w:r>
      <w:r w:rsidRPr="00911745">
        <w:rPr>
          <w:lang w:val="en-GB"/>
        </w:rPr>
        <w:t>Winn and the Court in the conduct of the proceeding - mean it is not clear that they cannot be fixed</w:t>
      </w:r>
      <w:r w:rsidR="002E5330" w:rsidRPr="00911745">
        <w:rPr>
          <w:lang w:val="en-GB"/>
        </w:rPr>
        <w:t>.</w:t>
      </w:r>
    </w:p>
    <w:p w14:paraId="0E7D40CD" w14:textId="3CBAEACB" w:rsidR="00301E46" w:rsidRDefault="00301E46" w:rsidP="00301E46">
      <w:pPr>
        <w:pStyle w:val="ParaNumbering"/>
        <w:tabs>
          <w:tab w:val="num" w:pos="720"/>
        </w:tabs>
        <w:rPr>
          <w:lang w:val="en-GB"/>
        </w:rPr>
      </w:pPr>
      <w:r>
        <w:rPr>
          <w:lang w:val="en-GB"/>
        </w:rPr>
        <w:t>The respondents will have leave to replead</w:t>
      </w:r>
      <w:r w:rsidR="00E460FC">
        <w:rPr>
          <w:lang w:val="en-GB"/>
        </w:rPr>
        <w:t xml:space="preserve">.  </w:t>
      </w:r>
      <w:r>
        <w:rPr>
          <w:lang w:val="en-GB"/>
        </w:rPr>
        <w:t xml:space="preserve">I will allow </w:t>
      </w:r>
      <w:r w:rsidR="008B7F8E">
        <w:rPr>
          <w:lang w:val="en-GB"/>
        </w:rPr>
        <w:t>four</w:t>
      </w:r>
      <w:r>
        <w:rPr>
          <w:lang w:val="en-GB"/>
        </w:rPr>
        <w:t xml:space="preserve"> weeks for that</w:t>
      </w:r>
      <w:r w:rsidR="00E460FC">
        <w:rPr>
          <w:lang w:val="en-GB"/>
        </w:rPr>
        <w:t xml:space="preserve">.  </w:t>
      </w:r>
      <w:r>
        <w:rPr>
          <w:lang w:val="en-GB"/>
        </w:rPr>
        <w:t>A case management hearing will be listed at a time after the minute of further amended defence is filed to assess the position</w:t>
      </w:r>
      <w:r w:rsidR="00E460FC">
        <w:rPr>
          <w:lang w:val="en-GB"/>
        </w:rPr>
        <w:t xml:space="preserve">.  </w:t>
      </w:r>
      <w:r>
        <w:rPr>
          <w:lang w:val="en-GB"/>
        </w:rPr>
        <w:t>At that hearing, counsel for the parties should be prepared to address the Court on the appropriate costs order in relation to the matters determined in these reasons</w:t>
      </w:r>
      <w:r w:rsidR="002E5330">
        <w:rPr>
          <w:lang w:val="en-GB"/>
        </w:rPr>
        <w:t>.</w:t>
      </w:r>
    </w:p>
    <w:p w14:paraId="3917CDA8" w14:textId="77777777" w:rsidR="00FC4C81" w:rsidRDefault="00FC4C81" w:rsidP="00815065">
      <w:pPr>
        <w:pStyle w:val="BodyText"/>
      </w:pPr>
      <w:bookmarkStart w:id="48" w:name="Certification"/>
    </w:p>
    <w:tbl>
      <w:tblPr>
        <w:tblW w:w="0" w:type="auto"/>
        <w:tblLook w:val="04A0" w:firstRow="1" w:lastRow="0" w:firstColumn="1" w:lastColumn="0" w:noHBand="0" w:noVBand="1"/>
      </w:tblPr>
      <w:tblGrid>
        <w:gridCol w:w="3794"/>
      </w:tblGrid>
      <w:tr w:rsidR="00FC4C81" w:rsidRPr="00FC4C81" w14:paraId="749DEEAF" w14:textId="77777777">
        <w:tc>
          <w:tcPr>
            <w:tcW w:w="3794" w:type="dxa"/>
            <w:shd w:val="clear" w:color="auto" w:fill="auto"/>
          </w:tcPr>
          <w:p w14:paraId="6139772D" w14:textId="3EB38871" w:rsidR="00FC4C81" w:rsidRPr="00FC4C81" w:rsidRDefault="00FC4C81" w:rsidP="00FC4C81">
            <w:pPr>
              <w:pStyle w:val="Normal1linespace"/>
            </w:pPr>
            <w:r w:rsidRPr="00FC4C81">
              <w:t xml:space="preserve">I certify that the preceding </w:t>
            </w:r>
            <w:bookmarkStart w:id="49" w:name="NumberWord"/>
            <w:r w:rsidR="004075F4">
              <w:t>one hundred and thirty-five</w:t>
            </w:r>
            <w:bookmarkEnd w:id="49"/>
            <w:r w:rsidRPr="00FC4C81">
              <w:t xml:space="preserve"> (</w:t>
            </w:r>
            <w:bookmarkStart w:id="50" w:name="NumberNumeral"/>
            <w:r w:rsidR="004075F4">
              <w:t>135</w:t>
            </w:r>
            <w:bookmarkEnd w:id="50"/>
            <w:r w:rsidRPr="00FC4C81">
              <w:t xml:space="preserve">) numbered </w:t>
            </w:r>
            <w:bookmarkStart w:id="51" w:name="CertPara"/>
            <w:r w:rsidR="004075F4">
              <w:t>paragraphs are</w:t>
            </w:r>
            <w:bookmarkEnd w:id="51"/>
            <w:r w:rsidRPr="00FC4C81">
              <w:t xml:space="preserve"> a true copy of the Reasons for Judgment of </w:t>
            </w:r>
            <w:bookmarkStart w:id="52" w:name="bkHonourable"/>
            <w:r w:rsidRPr="00FC4C81">
              <w:t xml:space="preserve">the Honourable </w:t>
            </w:r>
            <w:bookmarkStart w:id="53" w:name="Justice"/>
            <w:bookmarkEnd w:id="52"/>
            <w:r>
              <w:t>Justice Jackson</w:t>
            </w:r>
            <w:bookmarkEnd w:id="53"/>
            <w:r w:rsidRPr="00FC4C81">
              <w:t>.</w:t>
            </w:r>
          </w:p>
        </w:tc>
      </w:tr>
    </w:tbl>
    <w:p w14:paraId="69DA9AA5" w14:textId="3E003F2C" w:rsidR="00FC4C81" w:rsidRDefault="00FC4C81" w:rsidP="00815065">
      <w:pPr>
        <w:pStyle w:val="BodyText"/>
      </w:pPr>
    </w:p>
    <w:p w14:paraId="7539B5D2" w14:textId="01880C5C" w:rsidR="00FC4C81" w:rsidRDefault="00FC4C81" w:rsidP="00815065">
      <w:pPr>
        <w:pStyle w:val="BodyText"/>
      </w:pPr>
    </w:p>
    <w:p w14:paraId="42013333" w14:textId="77777777" w:rsidR="00FC4C81" w:rsidRDefault="00FC4C81" w:rsidP="00815065">
      <w:pPr>
        <w:pStyle w:val="BodyText"/>
      </w:pPr>
      <w:r>
        <w:t>Associate:</w:t>
      </w:r>
    </w:p>
    <w:p w14:paraId="43160A50" w14:textId="77777777" w:rsidR="00FC4C81" w:rsidRDefault="00FC4C81" w:rsidP="00815065">
      <w:pPr>
        <w:pStyle w:val="BodyText"/>
      </w:pPr>
    </w:p>
    <w:p w14:paraId="2274D279" w14:textId="00225E54" w:rsidR="00CD1346" w:rsidRDefault="00FC4C81" w:rsidP="00786911">
      <w:pPr>
        <w:pStyle w:val="BodyText"/>
        <w:tabs>
          <w:tab w:val="left" w:pos="1134"/>
        </w:tabs>
      </w:pPr>
      <w:r>
        <w:t>Dated:</w:t>
      </w:r>
      <w:r>
        <w:tab/>
      </w:r>
      <w:bookmarkStart w:id="54" w:name="CertifyDated"/>
      <w:r>
        <w:t>12 April 2024</w:t>
      </w:r>
      <w:bookmarkEnd w:id="48"/>
      <w:bookmarkEnd w:id="54"/>
    </w:p>
    <w:sectPr w:rsidR="00CD1346" w:rsidSect="002E775B">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23C0" w14:textId="77777777" w:rsidR="00F156FB" w:rsidRDefault="00F156FB">
      <w:pPr>
        <w:spacing w:line="20" w:lineRule="exact"/>
      </w:pPr>
    </w:p>
    <w:p w14:paraId="154E5E29" w14:textId="77777777" w:rsidR="00F156FB" w:rsidRDefault="00F156FB"/>
    <w:p w14:paraId="7A7F0376" w14:textId="77777777" w:rsidR="00F156FB" w:rsidRDefault="00F156FB"/>
  </w:endnote>
  <w:endnote w:type="continuationSeparator" w:id="0">
    <w:p w14:paraId="33EB892E" w14:textId="77777777" w:rsidR="00F156FB" w:rsidRDefault="00F156FB">
      <w:r>
        <w:t xml:space="preserve"> </w:t>
      </w:r>
    </w:p>
    <w:p w14:paraId="6DFA790F" w14:textId="77777777" w:rsidR="00F156FB" w:rsidRDefault="00F156FB"/>
    <w:p w14:paraId="3D031C00" w14:textId="77777777" w:rsidR="00F156FB" w:rsidRDefault="00F156FB"/>
  </w:endnote>
  <w:endnote w:type="continuationNotice" w:id="1">
    <w:p w14:paraId="6E58D8B5" w14:textId="77777777" w:rsidR="00F156FB" w:rsidRDefault="00F156FB">
      <w:r>
        <w:t xml:space="preserve"> </w:t>
      </w:r>
    </w:p>
    <w:p w14:paraId="617E7BEE" w14:textId="77777777" w:rsidR="00F156FB" w:rsidRDefault="00F156FB"/>
    <w:p w14:paraId="4C65541E" w14:textId="77777777" w:rsidR="00F156FB" w:rsidRDefault="00F15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18E6" w14:textId="77777777" w:rsidR="006C087D" w:rsidRDefault="006C0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EDF1" w14:textId="04A5503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2AA4D68D" wp14:editId="10C796E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1816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55A15">
          <w:rPr>
            <w:bCs/>
            <w:sz w:val="18"/>
            <w:szCs w:val="18"/>
          </w:rPr>
          <w:t>Winn v Thompson [2024] FCA 358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5211" w14:textId="16104515" w:rsidR="00395B24" w:rsidRPr="006C087D" w:rsidRDefault="00395B24" w:rsidP="006C0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BC52" w14:textId="7C85841D"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53F4A775" wp14:editId="6BC90C4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97B6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19E17A18C3524B9EAA2C7ECECCB70F2A"/>
        </w:placeholder>
        <w:dataBinding w:prefixMappings="xmlns:ns0='http://schemas.globalmacros.com/FCA'" w:xpath="/ns0:root[1]/ns0:Name[1]" w:storeItemID="{687E7CCB-4AA5-44E7-B148-17BA2B6F57C0}"/>
        <w:text w:multiLine="1"/>
      </w:sdtPr>
      <w:sdtEndPr/>
      <w:sdtContent>
        <w:r w:rsidR="00755A15">
          <w:rPr>
            <w:bCs/>
            <w:sz w:val="18"/>
            <w:szCs w:val="18"/>
          </w:rPr>
          <w:t>Winn v Thompson [2024] FCA 358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B3E9" w14:textId="3CDD88D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1AE97C74" wp14:editId="0A58348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9A51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DF373659D22B423580016CA5DD678C83"/>
        </w:placeholder>
        <w:dataBinding w:prefixMappings="xmlns:ns0='http://schemas.globalmacros.com/FCA'" w:xpath="/ns0:root[1]/ns0:Name[1]" w:storeItemID="{687E7CCB-4AA5-44E7-B148-17BA2B6F57C0}"/>
        <w:text w:multiLine="1"/>
      </w:sdtPr>
      <w:sdtEndPr/>
      <w:sdtContent>
        <w:r w:rsidR="00755A15">
          <w:rPr>
            <w:bCs/>
            <w:sz w:val="18"/>
            <w:szCs w:val="18"/>
          </w:rPr>
          <w:t>Winn v Thompson [2024] FCA 358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D382" w14:textId="31A0A6A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74E2DB7A" wp14:editId="3E0AD46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12CC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8558BAB42A5A46E8AD6A3AF2B7B68B07"/>
        </w:placeholder>
        <w:dataBinding w:prefixMappings="xmlns:ns0='http://schemas.globalmacros.com/FCA'" w:xpath="/ns0:root[1]/ns0:Name[1]" w:storeItemID="{687E7CCB-4AA5-44E7-B148-17BA2B6F57C0}"/>
        <w:text w:multiLine="1"/>
      </w:sdtPr>
      <w:sdtEndPr/>
      <w:sdtContent>
        <w:r w:rsidR="00755A15">
          <w:rPr>
            <w:bCs/>
            <w:sz w:val="18"/>
            <w:szCs w:val="18"/>
          </w:rPr>
          <w:t>Winn v Thompson [2024] FCA 358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B941" w14:textId="5FA58F9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408246DC" wp14:editId="60E5338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754B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7D3D059368EC486081FB5CD7013DDDBC"/>
        </w:placeholder>
        <w:dataBinding w:prefixMappings="xmlns:ns0='http://schemas.globalmacros.com/FCA'" w:xpath="/ns0:root[1]/ns0:Name[1]" w:storeItemID="{687E7CCB-4AA5-44E7-B148-17BA2B6F57C0}"/>
        <w:text w:multiLine="1"/>
      </w:sdtPr>
      <w:sdtEndPr/>
      <w:sdtContent>
        <w:r w:rsidR="00755A15">
          <w:rPr>
            <w:bCs/>
            <w:sz w:val="18"/>
            <w:szCs w:val="18"/>
          </w:rPr>
          <w:t>Winn v Thompson [2024] FCA 358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9413" w14:textId="77777777" w:rsidR="00F156FB" w:rsidRDefault="00F156FB"/>
  </w:footnote>
  <w:footnote w:type="continuationSeparator" w:id="0">
    <w:p w14:paraId="5B81BABE" w14:textId="77777777" w:rsidR="00F156FB" w:rsidRDefault="00F156FB">
      <w:r>
        <w:continuationSeparator/>
      </w:r>
    </w:p>
    <w:p w14:paraId="1AE5FA5F" w14:textId="77777777" w:rsidR="00F156FB" w:rsidRDefault="00F156FB"/>
    <w:p w14:paraId="03C2BED8" w14:textId="77777777" w:rsidR="00F156FB" w:rsidRDefault="00F156FB"/>
  </w:footnote>
  <w:footnote w:type="continuationNotice" w:id="1">
    <w:p w14:paraId="282C461D" w14:textId="77777777" w:rsidR="00F156FB" w:rsidRDefault="00F156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1E01" w14:textId="77777777" w:rsidR="006C087D" w:rsidRDefault="006C0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BEAF" w14:textId="77777777" w:rsidR="006C087D" w:rsidRDefault="006C0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EFD9" w14:textId="77777777" w:rsidR="006C087D" w:rsidRDefault="006C0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A64E"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3B64"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8157"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CC54"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971A"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425424206">
    <w:abstractNumId w:val="14"/>
  </w:num>
  <w:num w:numId="2" w16cid:durableId="322634781">
    <w:abstractNumId w:val="9"/>
  </w:num>
  <w:num w:numId="3" w16cid:durableId="1884900488">
    <w:abstractNumId w:val="7"/>
  </w:num>
  <w:num w:numId="4" w16cid:durableId="1372537522">
    <w:abstractNumId w:val="6"/>
  </w:num>
  <w:num w:numId="5" w16cid:durableId="1068191161">
    <w:abstractNumId w:val="5"/>
  </w:num>
  <w:num w:numId="6" w16cid:durableId="526875112">
    <w:abstractNumId w:val="4"/>
  </w:num>
  <w:num w:numId="7" w16cid:durableId="1804733702">
    <w:abstractNumId w:val="8"/>
  </w:num>
  <w:num w:numId="8" w16cid:durableId="789200892">
    <w:abstractNumId w:val="3"/>
  </w:num>
  <w:num w:numId="9" w16cid:durableId="1011252416">
    <w:abstractNumId w:val="2"/>
  </w:num>
  <w:num w:numId="10" w16cid:durableId="1582643321">
    <w:abstractNumId w:val="1"/>
  </w:num>
  <w:num w:numId="11" w16cid:durableId="1402754914">
    <w:abstractNumId w:val="0"/>
  </w:num>
  <w:num w:numId="12" w16cid:durableId="1198161533">
    <w:abstractNumId w:val="22"/>
  </w:num>
  <w:num w:numId="13" w16cid:durableId="1209953416">
    <w:abstractNumId w:val="20"/>
  </w:num>
  <w:num w:numId="14" w16cid:durableId="1023091572">
    <w:abstractNumId w:val="21"/>
  </w:num>
  <w:num w:numId="15" w16cid:durableId="2134052160">
    <w:abstractNumId w:val="24"/>
  </w:num>
  <w:num w:numId="16" w16cid:durableId="261764570">
    <w:abstractNumId w:val="13"/>
  </w:num>
  <w:num w:numId="17" w16cid:durableId="1220092233">
    <w:abstractNumId w:val="23"/>
  </w:num>
  <w:num w:numId="18" w16cid:durableId="92479154">
    <w:abstractNumId w:val="11"/>
  </w:num>
  <w:num w:numId="19" w16cid:durableId="538667781">
    <w:abstractNumId w:val="18"/>
  </w:num>
  <w:num w:numId="20" w16cid:durableId="1518890815">
    <w:abstractNumId w:val="15"/>
  </w:num>
  <w:num w:numId="21" w16cid:durableId="2036076785">
    <w:abstractNumId w:val="16"/>
  </w:num>
  <w:num w:numId="22" w16cid:durableId="2137673388">
    <w:abstractNumId w:val="19"/>
  </w:num>
  <w:num w:numId="23" w16cid:durableId="132136527">
    <w:abstractNumId w:val="10"/>
  </w:num>
  <w:num w:numId="24" w16cid:durableId="73863691">
    <w:abstractNumId w:val="10"/>
  </w:num>
  <w:num w:numId="25" w16cid:durableId="2137023874">
    <w:abstractNumId w:val="12"/>
  </w:num>
  <w:num w:numId="26" w16cid:durableId="748884891">
    <w:abstractNumId w:val="17"/>
  </w:num>
  <w:num w:numId="27" w16cid:durableId="545028763">
    <w:abstractNumId w:val="17"/>
  </w:num>
  <w:num w:numId="28" w16cid:durableId="1721706040">
    <w:abstractNumId w:val="17"/>
  </w:num>
  <w:num w:numId="29" w16cid:durableId="120528705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44593282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08500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52240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94028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29421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STEPHEN WINN"/>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WAD 104 of 2023"/>
    <w:docVar w:name="Initiators" w:val="(and another named in the Schedule)"/>
    <w:docVar w:name="Judgdate" w:val="12 April 2024"/>
    <w:docVar w:name="Judge" w:val="Jackson"/>
    <w:docVar w:name="JudgeType" w:val="Justice"/>
    <w:docVar w:name="lstEntryList" w:val="-1"/>
    <w:docVar w:name="myEntryList" w:val="Counsel for the Applicant=Mr R Graham with Mr I Priddis|Solicitor for the Applicant=Graham &amp; Associates Lawyers|Counsel for the Respondents=Ms R Young|Solicitor for the Respondents=Minter Elisson"/>
    <w:docVar w:name="NSD" w:val="NSD "/>
    <w:docVar w:name="NumApps" w:val="1"/>
    <w:docVar w:name="NumApps_" w:val="1"/>
    <w:docVar w:name="NumCrossResps" w:val="0"/>
    <w:docVar w:name="NumDefs" w:val="4"/>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Other Federal Jurisdiction"/>
    <w:docVar w:name="RESAndAnother" w:val="True"/>
    <w:docVar w:name="RESAndOthers" w:val="False"/>
    <w:docVar w:name="Respondent" w:val="HOLLY THOMPSON|FAIRFAX DIGITAL AUSTRALIA &amp; NEW ZEALAND PTY LIMITED|THE AGE COMPANY PTY LIMITED|FAIRFAX MEDIA PUBLICATIONS PTY LIMITED"/>
    <w:docVar w:name="ResState" w:val="Western Australia"/>
    <w:docVar w:name="SubArea" w:val="(none)"/>
  </w:docVars>
  <w:rsids>
    <w:rsidRoot w:val="001A78C6"/>
    <w:rsid w:val="000000CE"/>
    <w:rsid w:val="00000747"/>
    <w:rsid w:val="00001AD1"/>
    <w:rsid w:val="00003A84"/>
    <w:rsid w:val="000058F5"/>
    <w:rsid w:val="00006544"/>
    <w:rsid w:val="000069E2"/>
    <w:rsid w:val="000115C5"/>
    <w:rsid w:val="00012296"/>
    <w:rsid w:val="0001469E"/>
    <w:rsid w:val="00015993"/>
    <w:rsid w:val="00016876"/>
    <w:rsid w:val="000209DE"/>
    <w:rsid w:val="00021CCB"/>
    <w:rsid w:val="00022289"/>
    <w:rsid w:val="00022449"/>
    <w:rsid w:val="000237E9"/>
    <w:rsid w:val="000247A2"/>
    <w:rsid w:val="00027398"/>
    <w:rsid w:val="0002757C"/>
    <w:rsid w:val="0002765D"/>
    <w:rsid w:val="00027673"/>
    <w:rsid w:val="000302B8"/>
    <w:rsid w:val="00031F56"/>
    <w:rsid w:val="0003201A"/>
    <w:rsid w:val="0003207A"/>
    <w:rsid w:val="00032F9F"/>
    <w:rsid w:val="0003545C"/>
    <w:rsid w:val="00035B55"/>
    <w:rsid w:val="00037BA0"/>
    <w:rsid w:val="00041A66"/>
    <w:rsid w:val="00041C07"/>
    <w:rsid w:val="00042D23"/>
    <w:rsid w:val="00045BB7"/>
    <w:rsid w:val="00055719"/>
    <w:rsid w:val="0005641B"/>
    <w:rsid w:val="00056741"/>
    <w:rsid w:val="0005699C"/>
    <w:rsid w:val="00061366"/>
    <w:rsid w:val="0006139F"/>
    <w:rsid w:val="0006196A"/>
    <w:rsid w:val="000639AC"/>
    <w:rsid w:val="000644A3"/>
    <w:rsid w:val="000650F0"/>
    <w:rsid w:val="00065B5D"/>
    <w:rsid w:val="0006631D"/>
    <w:rsid w:val="00071FB3"/>
    <w:rsid w:val="000759F7"/>
    <w:rsid w:val="00076715"/>
    <w:rsid w:val="00077768"/>
    <w:rsid w:val="00081497"/>
    <w:rsid w:val="00081684"/>
    <w:rsid w:val="000830B2"/>
    <w:rsid w:val="000831EC"/>
    <w:rsid w:val="00084126"/>
    <w:rsid w:val="00085255"/>
    <w:rsid w:val="000872EC"/>
    <w:rsid w:val="00091813"/>
    <w:rsid w:val="00093F0D"/>
    <w:rsid w:val="00096463"/>
    <w:rsid w:val="00097414"/>
    <w:rsid w:val="000A0449"/>
    <w:rsid w:val="000A2E76"/>
    <w:rsid w:val="000A36AE"/>
    <w:rsid w:val="000A374B"/>
    <w:rsid w:val="000A4807"/>
    <w:rsid w:val="000A4BE4"/>
    <w:rsid w:val="000A5F2E"/>
    <w:rsid w:val="000A692D"/>
    <w:rsid w:val="000B0E96"/>
    <w:rsid w:val="000B633E"/>
    <w:rsid w:val="000C023E"/>
    <w:rsid w:val="000C1A1D"/>
    <w:rsid w:val="000C405D"/>
    <w:rsid w:val="000C5195"/>
    <w:rsid w:val="000C5256"/>
    <w:rsid w:val="000C62EF"/>
    <w:rsid w:val="000C724E"/>
    <w:rsid w:val="000D2137"/>
    <w:rsid w:val="000D3FD2"/>
    <w:rsid w:val="000D4B2E"/>
    <w:rsid w:val="000D606B"/>
    <w:rsid w:val="000D6122"/>
    <w:rsid w:val="000D7A95"/>
    <w:rsid w:val="000E0822"/>
    <w:rsid w:val="000E1980"/>
    <w:rsid w:val="000E1E6B"/>
    <w:rsid w:val="000E3A2A"/>
    <w:rsid w:val="000E3FC8"/>
    <w:rsid w:val="000E448A"/>
    <w:rsid w:val="000E5103"/>
    <w:rsid w:val="000E5D9F"/>
    <w:rsid w:val="000E6862"/>
    <w:rsid w:val="000E7BAE"/>
    <w:rsid w:val="000F133D"/>
    <w:rsid w:val="000F2C5B"/>
    <w:rsid w:val="0010536B"/>
    <w:rsid w:val="00111063"/>
    <w:rsid w:val="0011145C"/>
    <w:rsid w:val="001128BD"/>
    <w:rsid w:val="0011419D"/>
    <w:rsid w:val="00114B02"/>
    <w:rsid w:val="00120F66"/>
    <w:rsid w:val="001226C0"/>
    <w:rsid w:val="00122719"/>
    <w:rsid w:val="00125C92"/>
    <w:rsid w:val="00126EC8"/>
    <w:rsid w:val="0012731C"/>
    <w:rsid w:val="00130D9A"/>
    <w:rsid w:val="00132054"/>
    <w:rsid w:val="00132BFF"/>
    <w:rsid w:val="00134964"/>
    <w:rsid w:val="001351B9"/>
    <w:rsid w:val="00135622"/>
    <w:rsid w:val="001414A1"/>
    <w:rsid w:val="00141778"/>
    <w:rsid w:val="0014334C"/>
    <w:rsid w:val="00143BA9"/>
    <w:rsid w:val="001552DE"/>
    <w:rsid w:val="00155CD2"/>
    <w:rsid w:val="001616F0"/>
    <w:rsid w:val="00165AD3"/>
    <w:rsid w:val="001727A4"/>
    <w:rsid w:val="001732B3"/>
    <w:rsid w:val="0017376C"/>
    <w:rsid w:val="001738AB"/>
    <w:rsid w:val="00175E41"/>
    <w:rsid w:val="001765E0"/>
    <w:rsid w:val="00176A2F"/>
    <w:rsid w:val="00177703"/>
    <w:rsid w:val="00177759"/>
    <w:rsid w:val="00180BB3"/>
    <w:rsid w:val="0018138E"/>
    <w:rsid w:val="00182A78"/>
    <w:rsid w:val="0018368C"/>
    <w:rsid w:val="00185DD6"/>
    <w:rsid w:val="00185E6B"/>
    <w:rsid w:val="001864D8"/>
    <w:rsid w:val="00186C0F"/>
    <w:rsid w:val="00187BBC"/>
    <w:rsid w:val="00192CD1"/>
    <w:rsid w:val="001932F3"/>
    <w:rsid w:val="001962A0"/>
    <w:rsid w:val="0019704A"/>
    <w:rsid w:val="001A0C88"/>
    <w:rsid w:val="001A2B40"/>
    <w:rsid w:val="001A2B45"/>
    <w:rsid w:val="001A4309"/>
    <w:rsid w:val="001A46AE"/>
    <w:rsid w:val="001A6C52"/>
    <w:rsid w:val="001A6FCA"/>
    <w:rsid w:val="001A78C6"/>
    <w:rsid w:val="001B1053"/>
    <w:rsid w:val="001B14AC"/>
    <w:rsid w:val="001B16F1"/>
    <w:rsid w:val="001B37AE"/>
    <w:rsid w:val="001B40C5"/>
    <w:rsid w:val="001B5FF2"/>
    <w:rsid w:val="001B7940"/>
    <w:rsid w:val="001C171A"/>
    <w:rsid w:val="001C1DEF"/>
    <w:rsid w:val="001C2FE0"/>
    <w:rsid w:val="001C358D"/>
    <w:rsid w:val="001C37CA"/>
    <w:rsid w:val="001C3EA9"/>
    <w:rsid w:val="001C3F28"/>
    <w:rsid w:val="001C4085"/>
    <w:rsid w:val="001D1D5C"/>
    <w:rsid w:val="001D248F"/>
    <w:rsid w:val="001D4303"/>
    <w:rsid w:val="001D49D2"/>
    <w:rsid w:val="001D6746"/>
    <w:rsid w:val="001D74B5"/>
    <w:rsid w:val="001E0C61"/>
    <w:rsid w:val="001E2DFE"/>
    <w:rsid w:val="001E3B49"/>
    <w:rsid w:val="001E3D45"/>
    <w:rsid w:val="001E3FF5"/>
    <w:rsid w:val="001E4A05"/>
    <w:rsid w:val="001E6A19"/>
    <w:rsid w:val="001E7388"/>
    <w:rsid w:val="001F13DD"/>
    <w:rsid w:val="001F2473"/>
    <w:rsid w:val="001F2DBC"/>
    <w:rsid w:val="001F73E8"/>
    <w:rsid w:val="002009AA"/>
    <w:rsid w:val="0020262C"/>
    <w:rsid w:val="00202723"/>
    <w:rsid w:val="00210F78"/>
    <w:rsid w:val="00211A3E"/>
    <w:rsid w:val="00213F20"/>
    <w:rsid w:val="00214055"/>
    <w:rsid w:val="00214A53"/>
    <w:rsid w:val="0021521F"/>
    <w:rsid w:val="00215BCA"/>
    <w:rsid w:val="002160F5"/>
    <w:rsid w:val="00216366"/>
    <w:rsid w:val="00216463"/>
    <w:rsid w:val="00217AC4"/>
    <w:rsid w:val="00221461"/>
    <w:rsid w:val="00224537"/>
    <w:rsid w:val="00226AFC"/>
    <w:rsid w:val="0022783F"/>
    <w:rsid w:val="00231313"/>
    <w:rsid w:val="00232258"/>
    <w:rsid w:val="002335CF"/>
    <w:rsid w:val="00234F23"/>
    <w:rsid w:val="0023548D"/>
    <w:rsid w:val="00235956"/>
    <w:rsid w:val="00235ECD"/>
    <w:rsid w:val="00242A6A"/>
    <w:rsid w:val="00243E5E"/>
    <w:rsid w:val="00244301"/>
    <w:rsid w:val="002449E2"/>
    <w:rsid w:val="00245F68"/>
    <w:rsid w:val="002467A6"/>
    <w:rsid w:val="00246A8E"/>
    <w:rsid w:val="00247C9A"/>
    <w:rsid w:val="0025160C"/>
    <w:rsid w:val="002535D0"/>
    <w:rsid w:val="002539B3"/>
    <w:rsid w:val="00255136"/>
    <w:rsid w:val="00256336"/>
    <w:rsid w:val="00257C3E"/>
    <w:rsid w:val="002602C2"/>
    <w:rsid w:val="002603E4"/>
    <w:rsid w:val="002604E7"/>
    <w:rsid w:val="002607F7"/>
    <w:rsid w:val="00263950"/>
    <w:rsid w:val="00263A08"/>
    <w:rsid w:val="002666C9"/>
    <w:rsid w:val="00266755"/>
    <w:rsid w:val="00270136"/>
    <w:rsid w:val="00270FD7"/>
    <w:rsid w:val="00274F5B"/>
    <w:rsid w:val="002761A2"/>
    <w:rsid w:val="002764C2"/>
    <w:rsid w:val="00276608"/>
    <w:rsid w:val="00280836"/>
    <w:rsid w:val="00282E1A"/>
    <w:rsid w:val="00283107"/>
    <w:rsid w:val="002840F1"/>
    <w:rsid w:val="00285922"/>
    <w:rsid w:val="00287705"/>
    <w:rsid w:val="0029089C"/>
    <w:rsid w:val="0029113B"/>
    <w:rsid w:val="002934C0"/>
    <w:rsid w:val="002936AA"/>
    <w:rsid w:val="00293C38"/>
    <w:rsid w:val="00293E1F"/>
    <w:rsid w:val="0029764C"/>
    <w:rsid w:val="002A1B50"/>
    <w:rsid w:val="002B0E91"/>
    <w:rsid w:val="002B132C"/>
    <w:rsid w:val="002B3F23"/>
    <w:rsid w:val="002B4EB5"/>
    <w:rsid w:val="002B5AF5"/>
    <w:rsid w:val="002B6779"/>
    <w:rsid w:val="002B71C0"/>
    <w:rsid w:val="002B7A34"/>
    <w:rsid w:val="002C0629"/>
    <w:rsid w:val="002C1FAD"/>
    <w:rsid w:val="002C31AD"/>
    <w:rsid w:val="002C44AD"/>
    <w:rsid w:val="002C7385"/>
    <w:rsid w:val="002D00BC"/>
    <w:rsid w:val="002D191D"/>
    <w:rsid w:val="002D2DBB"/>
    <w:rsid w:val="002D2F63"/>
    <w:rsid w:val="002D37D8"/>
    <w:rsid w:val="002D54A6"/>
    <w:rsid w:val="002E0836"/>
    <w:rsid w:val="002E1E65"/>
    <w:rsid w:val="002E23B3"/>
    <w:rsid w:val="002E3779"/>
    <w:rsid w:val="002E5330"/>
    <w:rsid w:val="002E5BF9"/>
    <w:rsid w:val="002E6A7A"/>
    <w:rsid w:val="002E775B"/>
    <w:rsid w:val="002F1E49"/>
    <w:rsid w:val="002F3AEF"/>
    <w:rsid w:val="002F4E9C"/>
    <w:rsid w:val="002F5728"/>
    <w:rsid w:val="002F6E15"/>
    <w:rsid w:val="002F722B"/>
    <w:rsid w:val="00300628"/>
    <w:rsid w:val="00301241"/>
    <w:rsid w:val="00301E46"/>
    <w:rsid w:val="00302F4E"/>
    <w:rsid w:val="0030728E"/>
    <w:rsid w:val="00311ABE"/>
    <w:rsid w:val="0031256C"/>
    <w:rsid w:val="00313820"/>
    <w:rsid w:val="00314D6C"/>
    <w:rsid w:val="00314EA9"/>
    <w:rsid w:val="00316D2A"/>
    <w:rsid w:val="00322453"/>
    <w:rsid w:val="00322A7C"/>
    <w:rsid w:val="00322EEC"/>
    <w:rsid w:val="00323061"/>
    <w:rsid w:val="003240C8"/>
    <w:rsid w:val="00324CF0"/>
    <w:rsid w:val="003257D0"/>
    <w:rsid w:val="0032706C"/>
    <w:rsid w:val="003402D3"/>
    <w:rsid w:val="0034068E"/>
    <w:rsid w:val="00340821"/>
    <w:rsid w:val="00343ABC"/>
    <w:rsid w:val="0034411D"/>
    <w:rsid w:val="0034412B"/>
    <w:rsid w:val="00345037"/>
    <w:rsid w:val="003450A3"/>
    <w:rsid w:val="003463FE"/>
    <w:rsid w:val="00347081"/>
    <w:rsid w:val="003472FC"/>
    <w:rsid w:val="00347D41"/>
    <w:rsid w:val="00350EB7"/>
    <w:rsid w:val="00353ECB"/>
    <w:rsid w:val="003554B3"/>
    <w:rsid w:val="00356632"/>
    <w:rsid w:val="0035795D"/>
    <w:rsid w:val="00357C7E"/>
    <w:rsid w:val="00357D2B"/>
    <w:rsid w:val="00357E1A"/>
    <w:rsid w:val="00360387"/>
    <w:rsid w:val="00362676"/>
    <w:rsid w:val="003640F1"/>
    <w:rsid w:val="003653B6"/>
    <w:rsid w:val="0036541D"/>
    <w:rsid w:val="00367AE0"/>
    <w:rsid w:val="0037011F"/>
    <w:rsid w:val="00370327"/>
    <w:rsid w:val="0037108D"/>
    <w:rsid w:val="003721BA"/>
    <w:rsid w:val="00372B5D"/>
    <w:rsid w:val="0037487F"/>
    <w:rsid w:val="00374CC4"/>
    <w:rsid w:val="00374D2D"/>
    <w:rsid w:val="003774B2"/>
    <w:rsid w:val="0037781B"/>
    <w:rsid w:val="00380F2D"/>
    <w:rsid w:val="00383384"/>
    <w:rsid w:val="003845A9"/>
    <w:rsid w:val="003850C9"/>
    <w:rsid w:val="003852AD"/>
    <w:rsid w:val="003870B0"/>
    <w:rsid w:val="00390883"/>
    <w:rsid w:val="003914E8"/>
    <w:rsid w:val="00391AF9"/>
    <w:rsid w:val="003922F8"/>
    <w:rsid w:val="003952EF"/>
    <w:rsid w:val="00395B24"/>
    <w:rsid w:val="003978AA"/>
    <w:rsid w:val="003A2D38"/>
    <w:rsid w:val="003A3193"/>
    <w:rsid w:val="003A5E5E"/>
    <w:rsid w:val="003A79BF"/>
    <w:rsid w:val="003A7ECC"/>
    <w:rsid w:val="003B287E"/>
    <w:rsid w:val="003B2C72"/>
    <w:rsid w:val="003B58B4"/>
    <w:rsid w:val="003C02BB"/>
    <w:rsid w:val="003C1333"/>
    <w:rsid w:val="003C20FF"/>
    <w:rsid w:val="003C550A"/>
    <w:rsid w:val="003C6055"/>
    <w:rsid w:val="003C6FE6"/>
    <w:rsid w:val="003D1A89"/>
    <w:rsid w:val="003D2650"/>
    <w:rsid w:val="003D418C"/>
    <w:rsid w:val="003D560C"/>
    <w:rsid w:val="003D5C00"/>
    <w:rsid w:val="003D6228"/>
    <w:rsid w:val="003D6A3D"/>
    <w:rsid w:val="003D7228"/>
    <w:rsid w:val="003D7B0A"/>
    <w:rsid w:val="003D7FD3"/>
    <w:rsid w:val="003D7FFC"/>
    <w:rsid w:val="003E0607"/>
    <w:rsid w:val="003E27A9"/>
    <w:rsid w:val="003E2FC6"/>
    <w:rsid w:val="003E3154"/>
    <w:rsid w:val="003E3559"/>
    <w:rsid w:val="003E5874"/>
    <w:rsid w:val="003E72D3"/>
    <w:rsid w:val="003F193E"/>
    <w:rsid w:val="003F242C"/>
    <w:rsid w:val="003F34F1"/>
    <w:rsid w:val="003F3F32"/>
    <w:rsid w:val="003F4B78"/>
    <w:rsid w:val="00402B46"/>
    <w:rsid w:val="004031D8"/>
    <w:rsid w:val="00404AB2"/>
    <w:rsid w:val="004075F4"/>
    <w:rsid w:val="004104B6"/>
    <w:rsid w:val="00411AE8"/>
    <w:rsid w:val="00413B5F"/>
    <w:rsid w:val="00413B74"/>
    <w:rsid w:val="00414323"/>
    <w:rsid w:val="00414640"/>
    <w:rsid w:val="00417545"/>
    <w:rsid w:val="004262F8"/>
    <w:rsid w:val="004266D3"/>
    <w:rsid w:val="00430300"/>
    <w:rsid w:val="00431B83"/>
    <w:rsid w:val="00431EB9"/>
    <w:rsid w:val="004340EA"/>
    <w:rsid w:val="004342F3"/>
    <w:rsid w:val="004344A7"/>
    <w:rsid w:val="00435C5F"/>
    <w:rsid w:val="00436155"/>
    <w:rsid w:val="00436460"/>
    <w:rsid w:val="0043718A"/>
    <w:rsid w:val="00437819"/>
    <w:rsid w:val="0044006D"/>
    <w:rsid w:val="0044047E"/>
    <w:rsid w:val="00441E98"/>
    <w:rsid w:val="00443195"/>
    <w:rsid w:val="00443C15"/>
    <w:rsid w:val="00450F3A"/>
    <w:rsid w:val="00452946"/>
    <w:rsid w:val="004532F7"/>
    <w:rsid w:val="004608A7"/>
    <w:rsid w:val="00462747"/>
    <w:rsid w:val="004647F0"/>
    <w:rsid w:val="00464A8F"/>
    <w:rsid w:val="00464D51"/>
    <w:rsid w:val="00465973"/>
    <w:rsid w:val="004667F5"/>
    <w:rsid w:val="00470141"/>
    <w:rsid w:val="00470B27"/>
    <w:rsid w:val="00472027"/>
    <w:rsid w:val="00473851"/>
    <w:rsid w:val="00473DFB"/>
    <w:rsid w:val="00477871"/>
    <w:rsid w:val="00477BA4"/>
    <w:rsid w:val="004804CF"/>
    <w:rsid w:val="00480841"/>
    <w:rsid w:val="00483314"/>
    <w:rsid w:val="00484962"/>
    <w:rsid w:val="00484F6D"/>
    <w:rsid w:val="00484FB7"/>
    <w:rsid w:val="0048554D"/>
    <w:rsid w:val="00485A25"/>
    <w:rsid w:val="00491757"/>
    <w:rsid w:val="0049338A"/>
    <w:rsid w:val="00493B80"/>
    <w:rsid w:val="0049417F"/>
    <w:rsid w:val="00496D41"/>
    <w:rsid w:val="004A48C3"/>
    <w:rsid w:val="004A5650"/>
    <w:rsid w:val="004A6602"/>
    <w:rsid w:val="004B0AC5"/>
    <w:rsid w:val="004B26F5"/>
    <w:rsid w:val="004B2FDA"/>
    <w:rsid w:val="004B3EFA"/>
    <w:rsid w:val="004B456F"/>
    <w:rsid w:val="004B57AB"/>
    <w:rsid w:val="004B689A"/>
    <w:rsid w:val="004C08E7"/>
    <w:rsid w:val="004C2A87"/>
    <w:rsid w:val="004C41FE"/>
    <w:rsid w:val="004C4D7B"/>
    <w:rsid w:val="004C4ED3"/>
    <w:rsid w:val="004C667B"/>
    <w:rsid w:val="004C7ECD"/>
    <w:rsid w:val="004D179E"/>
    <w:rsid w:val="004D2EA5"/>
    <w:rsid w:val="004D32A6"/>
    <w:rsid w:val="004D53E5"/>
    <w:rsid w:val="004D6D23"/>
    <w:rsid w:val="004D76DF"/>
    <w:rsid w:val="004D7950"/>
    <w:rsid w:val="004E1C08"/>
    <w:rsid w:val="004E1F41"/>
    <w:rsid w:val="004E3F26"/>
    <w:rsid w:val="004E4DBD"/>
    <w:rsid w:val="004E5D29"/>
    <w:rsid w:val="004E6DC4"/>
    <w:rsid w:val="004F1A78"/>
    <w:rsid w:val="004F21C1"/>
    <w:rsid w:val="004F67E4"/>
    <w:rsid w:val="00501A12"/>
    <w:rsid w:val="00502FAD"/>
    <w:rsid w:val="0050309C"/>
    <w:rsid w:val="00503537"/>
    <w:rsid w:val="00505C46"/>
    <w:rsid w:val="00505C9F"/>
    <w:rsid w:val="00507481"/>
    <w:rsid w:val="00510CD5"/>
    <w:rsid w:val="005123DE"/>
    <w:rsid w:val="0051327C"/>
    <w:rsid w:val="0051346D"/>
    <w:rsid w:val="00513EAE"/>
    <w:rsid w:val="00513FF4"/>
    <w:rsid w:val="0051434F"/>
    <w:rsid w:val="00516653"/>
    <w:rsid w:val="00516806"/>
    <w:rsid w:val="00516D2E"/>
    <w:rsid w:val="00517333"/>
    <w:rsid w:val="00520469"/>
    <w:rsid w:val="0052098C"/>
    <w:rsid w:val="00524AA7"/>
    <w:rsid w:val="00525A49"/>
    <w:rsid w:val="005262D1"/>
    <w:rsid w:val="00526529"/>
    <w:rsid w:val="0052708F"/>
    <w:rsid w:val="00530876"/>
    <w:rsid w:val="00530ED8"/>
    <w:rsid w:val="0053355B"/>
    <w:rsid w:val="00535613"/>
    <w:rsid w:val="005359EB"/>
    <w:rsid w:val="00536BF9"/>
    <w:rsid w:val="0054197C"/>
    <w:rsid w:val="0054254A"/>
    <w:rsid w:val="00543C95"/>
    <w:rsid w:val="0054500B"/>
    <w:rsid w:val="005463DE"/>
    <w:rsid w:val="005466B5"/>
    <w:rsid w:val="00547583"/>
    <w:rsid w:val="0054782E"/>
    <w:rsid w:val="005506B2"/>
    <w:rsid w:val="0055178B"/>
    <w:rsid w:val="005533CE"/>
    <w:rsid w:val="005534A2"/>
    <w:rsid w:val="00553CD6"/>
    <w:rsid w:val="00554314"/>
    <w:rsid w:val="00562829"/>
    <w:rsid w:val="005629B3"/>
    <w:rsid w:val="00563C66"/>
    <w:rsid w:val="005662B4"/>
    <w:rsid w:val="00566923"/>
    <w:rsid w:val="0057071C"/>
    <w:rsid w:val="00570892"/>
    <w:rsid w:val="0057128A"/>
    <w:rsid w:val="005724F6"/>
    <w:rsid w:val="00572BC1"/>
    <w:rsid w:val="005733BF"/>
    <w:rsid w:val="005734F2"/>
    <w:rsid w:val="00573AC4"/>
    <w:rsid w:val="00576D35"/>
    <w:rsid w:val="005801FC"/>
    <w:rsid w:val="00583675"/>
    <w:rsid w:val="00585BA9"/>
    <w:rsid w:val="00587359"/>
    <w:rsid w:val="005874B5"/>
    <w:rsid w:val="00587618"/>
    <w:rsid w:val="00592A0E"/>
    <w:rsid w:val="00595016"/>
    <w:rsid w:val="00595AEF"/>
    <w:rsid w:val="00596DBC"/>
    <w:rsid w:val="00597AAE"/>
    <w:rsid w:val="005A1B9F"/>
    <w:rsid w:val="005A222C"/>
    <w:rsid w:val="005A4CB3"/>
    <w:rsid w:val="005A4DF8"/>
    <w:rsid w:val="005A78C8"/>
    <w:rsid w:val="005B1426"/>
    <w:rsid w:val="005B52B1"/>
    <w:rsid w:val="005B6E4F"/>
    <w:rsid w:val="005B6ECB"/>
    <w:rsid w:val="005C0A8E"/>
    <w:rsid w:val="005C1767"/>
    <w:rsid w:val="005C185C"/>
    <w:rsid w:val="005C3F70"/>
    <w:rsid w:val="005C42EF"/>
    <w:rsid w:val="005D45DD"/>
    <w:rsid w:val="005D78E3"/>
    <w:rsid w:val="005E01F2"/>
    <w:rsid w:val="005E02F5"/>
    <w:rsid w:val="005E0510"/>
    <w:rsid w:val="005E0991"/>
    <w:rsid w:val="005E176E"/>
    <w:rsid w:val="005E18F6"/>
    <w:rsid w:val="005E218E"/>
    <w:rsid w:val="005E3150"/>
    <w:rsid w:val="005E35A0"/>
    <w:rsid w:val="005E4353"/>
    <w:rsid w:val="005E458B"/>
    <w:rsid w:val="005F0D1B"/>
    <w:rsid w:val="005F1865"/>
    <w:rsid w:val="005F4EA7"/>
    <w:rsid w:val="005F6B34"/>
    <w:rsid w:val="005F6DD0"/>
    <w:rsid w:val="006007BD"/>
    <w:rsid w:val="006013C8"/>
    <w:rsid w:val="0060270D"/>
    <w:rsid w:val="006028AD"/>
    <w:rsid w:val="00603BC7"/>
    <w:rsid w:val="00604342"/>
    <w:rsid w:val="00604611"/>
    <w:rsid w:val="0060750F"/>
    <w:rsid w:val="00607FF5"/>
    <w:rsid w:val="00611586"/>
    <w:rsid w:val="00612D26"/>
    <w:rsid w:val="00615855"/>
    <w:rsid w:val="00616A28"/>
    <w:rsid w:val="00620DA8"/>
    <w:rsid w:val="00621887"/>
    <w:rsid w:val="00621940"/>
    <w:rsid w:val="006219DC"/>
    <w:rsid w:val="00624520"/>
    <w:rsid w:val="006271F5"/>
    <w:rsid w:val="00632300"/>
    <w:rsid w:val="00632BB7"/>
    <w:rsid w:val="00632C4D"/>
    <w:rsid w:val="00635B36"/>
    <w:rsid w:val="00636871"/>
    <w:rsid w:val="00636C20"/>
    <w:rsid w:val="006406AF"/>
    <w:rsid w:val="00640EE1"/>
    <w:rsid w:val="00640F4E"/>
    <w:rsid w:val="00642C0C"/>
    <w:rsid w:val="00643DE0"/>
    <w:rsid w:val="0064437D"/>
    <w:rsid w:val="00644D39"/>
    <w:rsid w:val="00644E85"/>
    <w:rsid w:val="00650B4A"/>
    <w:rsid w:val="00651435"/>
    <w:rsid w:val="006516D8"/>
    <w:rsid w:val="00652C52"/>
    <w:rsid w:val="00655292"/>
    <w:rsid w:val="00656724"/>
    <w:rsid w:val="0066063F"/>
    <w:rsid w:val="00661E2A"/>
    <w:rsid w:val="00662037"/>
    <w:rsid w:val="00662BB0"/>
    <w:rsid w:val="00663878"/>
    <w:rsid w:val="00666508"/>
    <w:rsid w:val="00667773"/>
    <w:rsid w:val="00670097"/>
    <w:rsid w:val="00670291"/>
    <w:rsid w:val="00670743"/>
    <w:rsid w:val="00671A06"/>
    <w:rsid w:val="00671A32"/>
    <w:rsid w:val="00676191"/>
    <w:rsid w:val="00680A85"/>
    <w:rsid w:val="00680FFA"/>
    <w:rsid w:val="00681ADF"/>
    <w:rsid w:val="00683F8B"/>
    <w:rsid w:val="006840E0"/>
    <w:rsid w:val="006852B3"/>
    <w:rsid w:val="006861E4"/>
    <w:rsid w:val="0068758A"/>
    <w:rsid w:val="00690091"/>
    <w:rsid w:val="00690EE2"/>
    <w:rsid w:val="00690F31"/>
    <w:rsid w:val="00691F4D"/>
    <w:rsid w:val="00693547"/>
    <w:rsid w:val="00693556"/>
    <w:rsid w:val="00693649"/>
    <w:rsid w:val="00693854"/>
    <w:rsid w:val="00694140"/>
    <w:rsid w:val="00694BEB"/>
    <w:rsid w:val="006A06C2"/>
    <w:rsid w:val="006A0E20"/>
    <w:rsid w:val="006A24E3"/>
    <w:rsid w:val="006A354C"/>
    <w:rsid w:val="006A4162"/>
    <w:rsid w:val="006A5695"/>
    <w:rsid w:val="006B0439"/>
    <w:rsid w:val="006B1347"/>
    <w:rsid w:val="006B366F"/>
    <w:rsid w:val="006B3904"/>
    <w:rsid w:val="006B3DDD"/>
    <w:rsid w:val="006B5B7D"/>
    <w:rsid w:val="006B6684"/>
    <w:rsid w:val="006B78A4"/>
    <w:rsid w:val="006C087D"/>
    <w:rsid w:val="006C27CC"/>
    <w:rsid w:val="006C2A96"/>
    <w:rsid w:val="006C474D"/>
    <w:rsid w:val="006C49A4"/>
    <w:rsid w:val="006C56D3"/>
    <w:rsid w:val="006C56DA"/>
    <w:rsid w:val="006C5B46"/>
    <w:rsid w:val="006C6E39"/>
    <w:rsid w:val="006D0ECF"/>
    <w:rsid w:val="006D3D5B"/>
    <w:rsid w:val="006D4C92"/>
    <w:rsid w:val="006D4EB6"/>
    <w:rsid w:val="006D4EE2"/>
    <w:rsid w:val="006D7FBC"/>
    <w:rsid w:val="006E35BF"/>
    <w:rsid w:val="006E62ED"/>
    <w:rsid w:val="006E7850"/>
    <w:rsid w:val="006F19D8"/>
    <w:rsid w:val="006F3467"/>
    <w:rsid w:val="006F46D6"/>
    <w:rsid w:val="006F4BBB"/>
    <w:rsid w:val="006F61FC"/>
    <w:rsid w:val="006F7800"/>
    <w:rsid w:val="00700C86"/>
    <w:rsid w:val="007028D9"/>
    <w:rsid w:val="00702D69"/>
    <w:rsid w:val="007045D8"/>
    <w:rsid w:val="00705973"/>
    <w:rsid w:val="00707218"/>
    <w:rsid w:val="00710D04"/>
    <w:rsid w:val="00711550"/>
    <w:rsid w:val="00712B1D"/>
    <w:rsid w:val="007131B7"/>
    <w:rsid w:val="00713298"/>
    <w:rsid w:val="007148F4"/>
    <w:rsid w:val="00714FAD"/>
    <w:rsid w:val="00715751"/>
    <w:rsid w:val="00716D4B"/>
    <w:rsid w:val="007171BA"/>
    <w:rsid w:val="00717616"/>
    <w:rsid w:val="00721128"/>
    <w:rsid w:val="00721E1C"/>
    <w:rsid w:val="00723805"/>
    <w:rsid w:val="00723A34"/>
    <w:rsid w:val="00724301"/>
    <w:rsid w:val="007253C2"/>
    <w:rsid w:val="00727ED5"/>
    <w:rsid w:val="007325D9"/>
    <w:rsid w:val="0073413F"/>
    <w:rsid w:val="00734CC0"/>
    <w:rsid w:val="0073583B"/>
    <w:rsid w:val="007360CA"/>
    <w:rsid w:val="00736CD8"/>
    <w:rsid w:val="00740D3B"/>
    <w:rsid w:val="00740FBB"/>
    <w:rsid w:val="00742428"/>
    <w:rsid w:val="00742607"/>
    <w:rsid w:val="00744146"/>
    <w:rsid w:val="00745BC9"/>
    <w:rsid w:val="0074667B"/>
    <w:rsid w:val="007470BD"/>
    <w:rsid w:val="00747953"/>
    <w:rsid w:val="00747F19"/>
    <w:rsid w:val="00750ECC"/>
    <w:rsid w:val="0075282B"/>
    <w:rsid w:val="0075388D"/>
    <w:rsid w:val="00754432"/>
    <w:rsid w:val="007547C7"/>
    <w:rsid w:val="007548EC"/>
    <w:rsid w:val="00755646"/>
    <w:rsid w:val="00755A15"/>
    <w:rsid w:val="00760CEB"/>
    <w:rsid w:val="00760EC0"/>
    <w:rsid w:val="00761ED2"/>
    <w:rsid w:val="00767F96"/>
    <w:rsid w:val="007711BD"/>
    <w:rsid w:val="007729CA"/>
    <w:rsid w:val="00773B08"/>
    <w:rsid w:val="00774D13"/>
    <w:rsid w:val="0078003A"/>
    <w:rsid w:val="00780771"/>
    <w:rsid w:val="00782031"/>
    <w:rsid w:val="00784771"/>
    <w:rsid w:val="00786911"/>
    <w:rsid w:val="00790CAC"/>
    <w:rsid w:val="007922A0"/>
    <w:rsid w:val="007929CF"/>
    <w:rsid w:val="00792D7F"/>
    <w:rsid w:val="00793965"/>
    <w:rsid w:val="00794E29"/>
    <w:rsid w:val="00797BA8"/>
    <w:rsid w:val="007A0674"/>
    <w:rsid w:val="007A06B4"/>
    <w:rsid w:val="007A081D"/>
    <w:rsid w:val="007A18B6"/>
    <w:rsid w:val="007A1D03"/>
    <w:rsid w:val="007A1E34"/>
    <w:rsid w:val="007A29E9"/>
    <w:rsid w:val="007A2DE6"/>
    <w:rsid w:val="007A49E7"/>
    <w:rsid w:val="007A6F28"/>
    <w:rsid w:val="007B03C6"/>
    <w:rsid w:val="007B0DB1"/>
    <w:rsid w:val="007B1960"/>
    <w:rsid w:val="007B1D13"/>
    <w:rsid w:val="007B228B"/>
    <w:rsid w:val="007B3C87"/>
    <w:rsid w:val="007B5673"/>
    <w:rsid w:val="007B7238"/>
    <w:rsid w:val="007B76FF"/>
    <w:rsid w:val="007B79D3"/>
    <w:rsid w:val="007C0295"/>
    <w:rsid w:val="007C072F"/>
    <w:rsid w:val="007C1EEB"/>
    <w:rsid w:val="007C3BF6"/>
    <w:rsid w:val="007C62D7"/>
    <w:rsid w:val="007C67B3"/>
    <w:rsid w:val="007D0FD2"/>
    <w:rsid w:val="007D19C6"/>
    <w:rsid w:val="007D2EF8"/>
    <w:rsid w:val="007D561F"/>
    <w:rsid w:val="007D5834"/>
    <w:rsid w:val="007D64D6"/>
    <w:rsid w:val="007D7FD2"/>
    <w:rsid w:val="007E13D9"/>
    <w:rsid w:val="007E2AEC"/>
    <w:rsid w:val="007E347C"/>
    <w:rsid w:val="007E41BE"/>
    <w:rsid w:val="007E4DB6"/>
    <w:rsid w:val="007E58F3"/>
    <w:rsid w:val="007E6733"/>
    <w:rsid w:val="007E7CD4"/>
    <w:rsid w:val="007F12AC"/>
    <w:rsid w:val="007F4501"/>
    <w:rsid w:val="007F60DF"/>
    <w:rsid w:val="007F679F"/>
    <w:rsid w:val="007F7A51"/>
    <w:rsid w:val="00801800"/>
    <w:rsid w:val="00801861"/>
    <w:rsid w:val="00801B5B"/>
    <w:rsid w:val="0080280F"/>
    <w:rsid w:val="00803AD3"/>
    <w:rsid w:val="008056DC"/>
    <w:rsid w:val="00805A30"/>
    <w:rsid w:val="0080640A"/>
    <w:rsid w:val="00811D6F"/>
    <w:rsid w:val="00815CDD"/>
    <w:rsid w:val="00816A5F"/>
    <w:rsid w:val="0082034B"/>
    <w:rsid w:val="008206FF"/>
    <w:rsid w:val="008216E7"/>
    <w:rsid w:val="008254AD"/>
    <w:rsid w:val="00825BE6"/>
    <w:rsid w:val="008276B4"/>
    <w:rsid w:val="00831927"/>
    <w:rsid w:val="00834FAC"/>
    <w:rsid w:val="00836CC2"/>
    <w:rsid w:val="00837288"/>
    <w:rsid w:val="00840B55"/>
    <w:rsid w:val="00841BD3"/>
    <w:rsid w:val="0084273D"/>
    <w:rsid w:val="00844CBA"/>
    <w:rsid w:val="00844E3F"/>
    <w:rsid w:val="0084573E"/>
    <w:rsid w:val="00845A83"/>
    <w:rsid w:val="00846BB9"/>
    <w:rsid w:val="00847EA6"/>
    <w:rsid w:val="0085025A"/>
    <w:rsid w:val="00851393"/>
    <w:rsid w:val="00851EA6"/>
    <w:rsid w:val="008552F7"/>
    <w:rsid w:val="008649D5"/>
    <w:rsid w:val="00866D73"/>
    <w:rsid w:val="00867D03"/>
    <w:rsid w:val="008701E5"/>
    <w:rsid w:val="008712BB"/>
    <w:rsid w:val="00871745"/>
    <w:rsid w:val="00871864"/>
    <w:rsid w:val="00873A53"/>
    <w:rsid w:val="00880C4D"/>
    <w:rsid w:val="00882391"/>
    <w:rsid w:val="008830E7"/>
    <w:rsid w:val="00885EBE"/>
    <w:rsid w:val="00890EDE"/>
    <w:rsid w:val="008923D7"/>
    <w:rsid w:val="00892B38"/>
    <w:rsid w:val="0089441E"/>
    <w:rsid w:val="00894F4F"/>
    <w:rsid w:val="008A1741"/>
    <w:rsid w:val="008A2484"/>
    <w:rsid w:val="008A412F"/>
    <w:rsid w:val="008A52F3"/>
    <w:rsid w:val="008A5EC6"/>
    <w:rsid w:val="008A7B09"/>
    <w:rsid w:val="008B1358"/>
    <w:rsid w:val="008B156D"/>
    <w:rsid w:val="008B1C9F"/>
    <w:rsid w:val="008B28C3"/>
    <w:rsid w:val="008B6F83"/>
    <w:rsid w:val="008B7894"/>
    <w:rsid w:val="008B7F8E"/>
    <w:rsid w:val="008C17BF"/>
    <w:rsid w:val="008C23FA"/>
    <w:rsid w:val="008C26D9"/>
    <w:rsid w:val="008C377B"/>
    <w:rsid w:val="008C3D72"/>
    <w:rsid w:val="008C45E3"/>
    <w:rsid w:val="008C5517"/>
    <w:rsid w:val="008C568C"/>
    <w:rsid w:val="008C645E"/>
    <w:rsid w:val="008C6D50"/>
    <w:rsid w:val="008C7167"/>
    <w:rsid w:val="008C7503"/>
    <w:rsid w:val="008D1617"/>
    <w:rsid w:val="008D1D73"/>
    <w:rsid w:val="008D308A"/>
    <w:rsid w:val="008D330F"/>
    <w:rsid w:val="008D3B49"/>
    <w:rsid w:val="008D432A"/>
    <w:rsid w:val="008D461B"/>
    <w:rsid w:val="008D48C1"/>
    <w:rsid w:val="008D51C8"/>
    <w:rsid w:val="008E004C"/>
    <w:rsid w:val="008E2FF6"/>
    <w:rsid w:val="008E6315"/>
    <w:rsid w:val="008F0480"/>
    <w:rsid w:val="008F07FC"/>
    <w:rsid w:val="008F08CA"/>
    <w:rsid w:val="008F11E0"/>
    <w:rsid w:val="008F38E4"/>
    <w:rsid w:val="008F39D5"/>
    <w:rsid w:val="008F3EA7"/>
    <w:rsid w:val="008F728A"/>
    <w:rsid w:val="008F776B"/>
    <w:rsid w:val="008F78BC"/>
    <w:rsid w:val="008F7B63"/>
    <w:rsid w:val="008F7D6A"/>
    <w:rsid w:val="00901C86"/>
    <w:rsid w:val="00902DA6"/>
    <w:rsid w:val="00903603"/>
    <w:rsid w:val="00905057"/>
    <w:rsid w:val="009054CB"/>
    <w:rsid w:val="00905B70"/>
    <w:rsid w:val="00911745"/>
    <w:rsid w:val="00911F8D"/>
    <w:rsid w:val="0091286C"/>
    <w:rsid w:val="00912F94"/>
    <w:rsid w:val="00914043"/>
    <w:rsid w:val="00915837"/>
    <w:rsid w:val="00915D9B"/>
    <w:rsid w:val="00916B79"/>
    <w:rsid w:val="009171BC"/>
    <w:rsid w:val="009236D4"/>
    <w:rsid w:val="0092497E"/>
    <w:rsid w:val="0092590B"/>
    <w:rsid w:val="00925BF3"/>
    <w:rsid w:val="00925E60"/>
    <w:rsid w:val="009264B3"/>
    <w:rsid w:val="00931E4C"/>
    <w:rsid w:val="009322EC"/>
    <w:rsid w:val="00936266"/>
    <w:rsid w:val="009365E0"/>
    <w:rsid w:val="009403DE"/>
    <w:rsid w:val="00942BA2"/>
    <w:rsid w:val="009432B7"/>
    <w:rsid w:val="00944C86"/>
    <w:rsid w:val="00946B8B"/>
    <w:rsid w:val="009472BC"/>
    <w:rsid w:val="00947C02"/>
    <w:rsid w:val="009501A1"/>
    <w:rsid w:val="00950BE6"/>
    <w:rsid w:val="00950C00"/>
    <w:rsid w:val="009518EF"/>
    <w:rsid w:val="009537E4"/>
    <w:rsid w:val="00955CEC"/>
    <w:rsid w:val="009577EA"/>
    <w:rsid w:val="00957DE8"/>
    <w:rsid w:val="00960ECB"/>
    <w:rsid w:val="009615D6"/>
    <w:rsid w:val="009631CE"/>
    <w:rsid w:val="009635C5"/>
    <w:rsid w:val="00967855"/>
    <w:rsid w:val="00970CBF"/>
    <w:rsid w:val="00971CD1"/>
    <w:rsid w:val="00973D1D"/>
    <w:rsid w:val="0097465B"/>
    <w:rsid w:val="00974709"/>
    <w:rsid w:val="009754D2"/>
    <w:rsid w:val="009801AE"/>
    <w:rsid w:val="00980736"/>
    <w:rsid w:val="00981A39"/>
    <w:rsid w:val="00982D56"/>
    <w:rsid w:val="00983DBF"/>
    <w:rsid w:val="0098676E"/>
    <w:rsid w:val="00987097"/>
    <w:rsid w:val="009878E5"/>
    <w:rsid w:val="00991123"/>
    <w:rsid w:val="00991CAB"/>
    <w:rsid w:val="00992F9C"/>
    <w:rsid w:val="009936AE"/>
    <w:rsid w:val="00993E94"/>
    <w:rsid w:val="009948B8"/>
    <w:rsid w:val="00994E99"/>
    <w:rsid w:val="00995622"/>
    <w:rsid w:val="009A1985"/>
    <w:rsid w:val="009A3A9C"/>
    <w:rsid w:val="009A57FB"/>
    <w:rsid w:val="009A584D"/>
    <w:rsid w:val="009B046C"/>
    <w:rsid w:val="009B0FB3"/>
    <w:rsid w:val="009B111D"/>
    <w:rsid w:val="009B126E"/>
    <w:rsid w:val="009B1395"/>
    <w:rsid w:val="009B13FA"/>
    <w:rsid w:val="009B1E2D"/>
    <w:rsid w:val="009B6763"/>
    <w:rsid w:val="009B6DF9"/>
    <w:rsid w:val="009B777B"/>
    <w:rsid w:val="009C2284"/>
    <w:rsid w:val="009C59FB"/>
    <w:rsid w:val="009C5C6F"/>
    <w:rsid w:val="009C6F3B"/>
    <w:rsid w:val="009C6F9C"/>
    <w:rsid w:val="009D1467"/>
    <w:rsid w:val="009D328D"/>
    <w:rsid w:val="009E3ADD"/>
    <w:rsid w:val="009E3E16"/>
    <w:rsid w:val="009E4FA6"/>
    <w:rsid w:val="009E7D93"/>
    <w:rsid w:val="009F2C5E"/>
    <w:rsid w:val="009F3C34"/>
    <w:rsid w:val="009F462C"/>
    <w:rsid w:val="009F5C33"/>
    <w:rsid w:val="009F618A"/>
    <w:rsid w:val="009F6D3D"/>
    <w:rsid w:val="00A026F0"/>
    <w:rsid w:val="00A032C0"/>
    <w:rsid w:val="00A03EAC"/>
    <w:rsid w:val="00A04DBB"/>
    <w:rsid w:val="00A07EA0"/>
    <w:rsid w:val="00A11CA6"/>
    <w:rsid w:val="00A123A1"/>
    <w:rsid w:val="00A20C49"/>
    <w:rsid w:val="00A22932"/>
    <w:rsid w:val="00A235D9"/>
    <w:rsid w:val="00A244A1"/>
    <w:rsid w:val="00A269CA"/>
    <w:rsid w:val="00A276ED"/>
    <w:rsid w:val="00A3286C"/>
    <w:rsid w:val="00A336EE"/>
    <w:rsid w:val="00A33F46"/>
    <w:rsid w:val="00A3427E"/>
    <w:rsid w:val="00A359AC"/>
    <w:rsid w:val="00A36524"/>
    <w:rsid w:val="00A40CBC"/>
    <w:rsid w:val="00A40F83"/>
    <w:rsid w:val="00A410FB"/>
    <w:rsid w:val="00A41413"/>
    <w:rsid w:val="00A4225F"/>
    <w:rsid w:val="00A431E6"/>
    <w:rsid w:val="00A43468"/>
    <w:rsid w:val="00A436E8"/>
    <w:rsid w:val="00A43F4D"/>
    <w:rsid w:val="00A45FB1"/>
    <w:rsid w:val="00A46A0F"/>
    <w:rsid w:val="00A46C1C"/>
    <w:rsid w:val="00A46CCC"/>
    <w:rsid w:val="00A47996"/>
    <w:rsid w:val="00A51CFE"/>
    <w:rsid w:val="00A5204D"/>
    <w:rsid w:val="00A534D6"/>
    <w:rsid w:val="00A53AFD"/>
    <w:rsid w:val="00A56E77"/>
    <w:rsid w:val="00A609B5"/>
    <w:rsid w:val="00A61179"/>
    <w:rsid w:val="00A61605"/>
    <w:rsid w:val="00A6199C"/>
    <w:rsid w:val="00A6359F"/>
    <w:rsid w:val="00A63B92"/>
    <w:rsid w:val="00A64E27"/>
    <w:rsid w:val="00A65F97"/>
    <w:rsid w:val="00A6798A"/>
    <w:rsid w:val="00A704DC"/>
    <w:rsid w:val="00A71031"/>
    <w:rsid w:val="00A72BB0"/>
    <w:rsid w:val="00A73B04"/>
    <w:rsid w:val="00A75E94"/>
    <w:rsid w:val="00A76C13"/>
    <w:rsid w:val="00A834A0"/>
    <w:rsid w:val="00A83B49"/>
    <w:rsid w:val="00A83D40"/>
    <w:rsid w:val="00A842D9"/>
    <w:rsid w:val="00A84FD0"/>
    <w:rsid w:val="00A90133"/>
    <w:rsid w:val="00A90527"/>
    <w:rsid w:val="00A91DFE"/>
    <w:rsid w:val="00A92E79"/>
    <w:rsid w:val="00A93933"/>
    <w:rsid w:val="00A950B6"/>
    <w:rsid w:val="00A9536C"/>
    <w:rsid w:val="00A95D45"/>
    <w:rsid w:val="00AA3E41"/>
    <w:rsid w:val="00AA3EA8"/>
    <w:rsid w:val="00AA7556"/>
    <w:rsid w:val="00AB09BB"/>
    <w:rsid w:val="00AB194E"/>
    <w:rsid w:val="00AB22C2"/>
    <w:rsid w:val="00AB2CD8"/>
    <w:rsid w:val="00AB3294"/>
    <w:rsid w:val="00AB41C1"/>
    <w:rsid w:val="00AB4278"/>
    <w:rsid w:val="00AB42A2"/>
    <w:rsid w:val="00AB42ED"/>
    <w:rsid w:val="00AB4CF2"/>
    <w:rsid w:val="00AB6CCA"/>
    <w:rsid w:val="00AB7788"/>
    <w:rsid w:val="00AC1BAA"/>
    <w:rsid w:val="00AC1BB0"/>
    <w:rsid w:val="00AC223F"/>
    <w:rsid w:val="00AC33B1"/>
    <w:rsid w:val="00AC413B"/>
    <w:rsid w:val="00AC5D38"/>
    <w:rsid w:val="00AC5D54"/>
    <w:rsid w:val="00AC65A8"/>
    <w:rsid w:val="00AD0A56"/>
    <w:rsid w:val="00AD12A8"/>
    <w:rsid w:val="00AD4C4B"/>
    <w:rsid w:val="00AE023F"/>
    <w:rsid w:val="00AE4056"/>
    <w:rsid w:val="00AE565A"/>
    <w:rsid w:val="00AF2182"/>
    <w:rsid w:val="00AF3577"/>
    <w:rsid w:val="00AF35F9"/>
    <w:rsid w:val="00AF4548"/>
    <w:rsid w:val="00B003DB"/>
    <w:rsid w:val="00B02E23"/>
    <w:rsid w:val="00B0424C"/>
    <w:rsid w:val="00B05C7D"/>
    <w:rsid w:val="00B06DA2"/>
    <w:rsid w:val="00B1150B"/>
    <w:rsid w:val="00B12B09"/>
    <w:rsid w:val="00B13BF9"/>
    <w:rsid w:val="00B15D57"/>
    <w:rsid w:val="00B162CC"/>
    <w:rsid w:val="00B16347"/>
    <w:rsid w:val="00B17D6E"/>
    <w:rsid w:val="00B237C9"/>
    <w:rsid w:val="00B23B82"/>
    <w:rsid w:val="00B2435E"/>
    <w:rsid w:val="00B24835"/>
    <w:rsid w:val="00B346C3"/>
    <w:rsid w:val="00B4005C"/>
    <w:rsid w:val="00B413F0"/>
    <w:rsid w:val="00B4227E"/>
    <w:rsid w:val="00B4471C"/>
    <w:rsid w:val="00B447C4"/>
    <w:rsid w:val="00B451A6"/>
    <w:rsid w:val="00B46BCF"/>
    <w:rsid w:val="00B52AF4"/>
    <w:rsid w:val="00B56D6E"/>
    <w:rsid w:val="00B5762C"/>
    <w:rsid w:val="00B641DC"/>
    <w:rsid w:val="00B64347"/>
    <w:rsid w:val="00B6442D"/>
    <w:rsid w:val="00B64A9E"/>
    <w:rsid w:val="00B65DC6"/>
    <w:rsid w:val="00B65F59"/>
    <w:rsid w:val="00B66F47"/>
    <w:rsid w:val="00B6792D"/>
    <w:rsid w:val="00B67AC2"/>
    <w:rsid w:val="00B7098E"/>
    <w:rsid w:val="00B722DE"/>
    <w:rsid w:val="00B73282"/>
    <w:rsid w:val="00B743C8"/>
    <w:rsid w:val="00B74F55"/>
    <w:rsid w:val="00B751E3"/>
    <w:rsid w:val="00B75BA6"/>
    <w:rsid w:val="00B76C44"/>
    <w:rsid w:val="00B80408"/>
    <w:rsid w:val="00B8184A"/>
    <w:rsid w:val="00B82283"/>
    <w:rsid w:val="00B828D8"/>
    <w:rsid w:val="00B83744"/>
    <w:rsid w:val="00B83F87"/>
    <w:rsid w:val="00B853AF"/>
    <w:rsid w:val="00B85697"/>
    <w:rsid w:val="00B87CDC"/>
    <w:rsid w:val="00B904B6"/>
    <w:rsid w:val="00B910C1"/>
    <w:rsid w:val="00B94293"/>
    <w:rsid w:val="00B94B72"/>
    <w:rsid w:val="00B97DD0"/>
    <w:rsid w:val="00BA22FF"/>
    <w:rsid w:val="00BA2CA4"/>
    <w:rsid w:val="00BA2EFA"/>
    <w:rsid w:val="00BA3C68"/>
    <w:rsid w:val="00BA3DBC"/>
    <w:rsid w:val="00BA707A"/>
    <w:rsid w:val="00BA7F5A"/>
    <w:rsid w:val="00BB1AFB"/>
    <w:rsid w:val="00BB27AE"/>
    <w:rsid w:val="00BB2DA2"/>
    <w:rsid w:val="00BB56DC"/>
    <w:rsid w:val="00BB73FB"/>
    <w:rsid w:val="00BC06CB"/>
    <w:rsid w:val="00BC0FDA"/>
    <w:rsid w:val="00BC1ABD"/>
    <w:rsid w:val="00BC1AF0"/>
    <w:rsid w:val="00BD42BD"/>
    <w:rsid w:val="00BD452D"/>
    <w:rsid w:val="00BD59A1"/>
    <w:rsid w:val="00BD743F"/>
    <w:rsid w:val="00BE183D"/>
    <w:rsid w:val="00BE740F"/>
    <w:rsid w:val="00BF0DDC"/>
    <w:rsid w:val="00BF24C2"/>
    <w:rsid w:val="00BF2922"/>
    <w:rsid w:val="00BF2FD4"/>
    <w:rsid w:val="00BF3893"/>
    <w:rsid w:val="00BF40D6"/>
    <w:rsid w:val="00BF5D7A"/>
    <w:rsid w:val="00C00F05"/>
    <w:rsid w:val="00C01C2E"/>
    <w:rsid w:val="00C02D33"/>
    <w:rsid w:val="00C0476B"/>
    <w:rsid w:val="00C04ACA"/>
    <w:rsid w:val="00C04B53"/>
    <w:rsid w:val="00C068D0"/>
    <w:rsid w:val="00C116AA"/>
    <w:rsid w:val="00C1232C"/>
    <w:rsid w:val="00C16A51"/>
    <w:rsid w:val="00C20AC5"/>
    <w:rsid w:val="00C2283F"/>
    <w:rsid w:val="00C27C6B"/>
    <w:rsid w:val="00C327F5"/>
    <w:rsid w:val="00C336B9"/>
    <w:rsid w:val="00C3594D"/>
    <w:rsid w:val="00C36442"/>
    <w:rsid w:val="00C36F4D"/>
    <w:rsid w:val="00C400CE"/>
    <w:rsid w:val="00C410FD"/>
    <w:rsid w:val="00C4211D"/>
    <w:rsid w:val="00C457DE"/>
    <w:rsid w:val="00C46054"/>
    <w:rsid w:val="00C466D7"/>
    <w:rsid w:val="00C47DD3"/>
    <w:rsid w:val="00C5004D"/>
    <w:rsid w:val="00C51E85"/>
    <w:rsid w:val="00C52BBB"/>
    <w:rsid w:val="00C5316F"/>
    <w:rsid w:val="00C53562"/>
    <w:rsid w:val="00C539FB"/>
    <w:rsid w:val="00C54E3D"/>
    <w:rsid w:val="00C5545E"/>
    <w:rsid w:val="00C6004C"/>
    <w:rsid w:val="00C63ED9"/>
    <w:rsid w:val="00C66846"/>
    <w:rsid w:val="00C66AA3"/>
    <w:rsid w:val="00C66E57"/>
    <w:rsid w:val="00C67B99"/>
    <w:rsid w:val="00C724D7"/>
    <w:rsid w:val="00C74150"/>
    <w:rsid w:val="00C74FBF"/>
    <w:rsid w:val="00C75594"/>
    <w:rsid w:val="00C75D5A"/>
    <w:rsid w:val="00C772AA"/>
    <w:rsid w:val="00C80C9D"/>
    <w:rsid w:val="00C80DCB"/>
    <w:rsid w:val="00C838A2"/>
    <w:rsid w:val="00C841D9"/>
    <w:rsid w:val="00C85982"/>
    <w:rsid w:val="00C864AA"/>
    <w:rsid w:val="00C86D73"/>
    <w:rsid w:val="00C86DFA"/>
    <w:rsid w:val="00C9295F"/>
    <w:rsid w:val="00CA0466"/>
    <w:rsid w:val="00CA1D8E"/>
    <w:rsid w:val="00CA246D"/>
    <w:rsid w:val="00CA4453"/>
    <w:rsid w:val="00CA50D9"/>
    <w:rsid w:val="00CA74D5"/>
    <w:rsid w:val="00CB05D7"/>
    <w:rsid w:val="00CB12D2"/>
    <w:rsid w:val="00CB3054"/>
    <w:rsid w:val="00CB39B1"/>
    <w:rsid w:val="00CB5636"/>
    <w:rsid w:val="00CB5DC6"/>
    <w:rsid w:val="00CB5F30"/>
    <w:rsid w:val="00CC037A"/>
    <w:rsid w:val="00CC0723"/>
    <w:rsid w:val="00CC3EE5"/>
    <w:rsid w:val="00CC4EB5"/>
    <w:rsid w:val="00CC5BB2"/>
    <w:rsid w:val="00CC6E47"/>
    <w:rsid w:val="00CD12A2"/>
    <w:rsid w:val="00CD1346"/>
    <w:rsid w:val="00CD2254"/>
    <w:rsid w:val="00CD4D98"/>
    <w:rsid w:val="00CD58F1"/>
    <w:rsid w:val="00CD6E5F"/>
    <w:rsid w:val="00CE11A1"/>
    <w:rsid w:val="00CE2E42"/>
    <w:rsid w:val="00CE425C"/>
    <w:rsid w:val="00CE48AE"/>
    <w:rsid w:val="00CE58AC"/>
    <w:rsid w:val="00CE6453"/>
    <w:rsid w:val="00CF2F82"/>
    <w:rsid w:val="00CF5A80"/>
    <w:rsid w:val="00CF7C0B"/>
    <w:rsid w:val="00D045EE"/>
    <w:rsid w:val="00D047D9"/>
    <w:rsid w:val="00D04A6D"/>
    <w:rsid w:val="00D04DE0"/>
    <w:rsid w:val="00D05091"/>
    <w:rsid w:val="00D10CA6"/>
    <w:rsid w:val="00D10F21"/>
    <w:rsid w:val="00D12ACE"/>
    <w:rsid w:val="00D134CF"/>
    <w:rsid w:val="00D15499"/>
    <w:rsid w:val="00D1573B"/>
    <w:rsid w:val="00D16A4A"/>
    <w:rsid w:val="00D21094"/>
    <w:rsid w:val="00D23B83"/>
    <w:rsid w:val="00D246F8"/>
    <w:rsid w:val="00D24806"/>
    <w:rsid w:val="00D2511B"/>
    <w:rsid w:val="00D25F14"/>
    <w:rsid w:val="00D34040"/>
    <w:rsid w:val="00D34E69"/>
    <w:rsid w:val="00D35CE4"/>
    <w:rsid w:val="00D36C78"/>
    <w:rsid w:val="00D375EE"/>
    <w:rsid w:val="00D377F4"/>
    <w:rsid w:val="00D40278"/>
    <w:rsid w:val="00D40B70"/>
    <w:rsid w:val="00D41D7D"/>
    <w:rsid w:val="00D44B54"/>
    <w:rsid w:val="00D514CC"/>
    <w:rsid w:val="00D52364"/>
    <w:rsid w:val="00D538BB"/>
    <w:rsid w:val="00D55AE8"/>
    <w:rsid w:val="00D56056"/>
    <w:rsid w:val="00D6085F"/>
    <w:rsid w:val="00D60FD7"/>
    <w:rsid w:val="00D618D8"/>
    <w:rsid w:val="00D621B1"/>
    <w:rsid w:val="00D62699"/>
    <w:rsid w:val="00D63548"/>
    <w:rsid w:val="00D66082"/>
    <w:rsid w:val="00D67D72"/>
    <w:rsid w:val="00D708E3"/>
    <w:rsid w:val="00D74B50"/>
    <w:rsid w:val="00D75624"/>
    <w:rsid w:val="00D7577A"/>
    <w:rsid w:val="00D778E9"/>
    <w:rsid w:val="00D812BF"/>
    <w:rsid w:val="00D81337"/>
    <w:rsid w:val="00D82620"/>
    <w:rsid w:val="00D82AD6"/>
    <w:rsid w:val="00D8325E"/>
    <w:rsid w:val="00D8558F"/>
    <w:rsid w:val="00D85707"/>
    <w:rsid w:val="00D862D7"/>
    <w:rsid w:val="00D86F00"/>
    <w:rsid w:val="00D90932"/>
    <w:rsid w:val="00D940C9"/>
    <w:rsid w:val="00D961C3"/>
    <w:rsid w:val="00D9725F"/>
    <w:rsid w:val="00DA01B1"/>
    <w:rsid w:val="00DA11A2"/>
    <w:rsid w:val="00DA14ED"/>
    <w:rsid w:val="00DA26D6"/>
    <w:rsid w:val="00DA372D"/>
    <w:rsid w:val="00DA3B08"/>
    <w:rsid w:val="00DA3C43"/>
    <w:rsid w:val="00DB04B7"/>
    <w:rsid w:val="00DB0592"/>
    <w:rsid w:val="00DB204C"/>
    <w:rsid w:val="00DB24D5"/>
    <w:rsid w:val="00DB2EF1"/>
    <w:rsid w:val="00DB3DE1"/>
    <w:rsid w:val="00DB550A"/>
    <w:rsid w:val="00DB5DA0"/>
    <w:rsid w:val="00DB716C"/>
    <w:rsid w:val="00DC08F2"/>
    <w:rsid w:val="00DC1232"/>
    <w:rsid w:val="00DC1E9B"/>
    <w:rsid w:val="00DC1F30"/>
    <w:rsid w:val="00DC3697"/>
    <w:rsid w:val="00DC376B"/>
    <w:rsid w:val="00DC5C85"/>
    <w:rsid w:val="00DC5E53"/>
    <w:rsid w:val="00DC60E4"/>
    <w:rsid w:val="00DC784B"/>
    <w:rsid w:val="00DC7C5D"/>
    <w:rsid w:val="00DC7D54"/>
    <w:rsid w:val="00DD0B19"/>
    <w:rsid w:val="00DD0E23"/>
    <w:rsid w:val="00DD23A4"/>
    <w:rsid w:val="00DD2EF6"/>
    <w:rsid w:val="00DD3278"/>
    <w:rsid w:val="00DD3A0C"/>
    <w:rsid w:val="00DD4236"/>
    <w:rsid w:val="00DD44F1"/>
    <w:rsid w:val="00DD6957"/>
    <w:rsid w:val="00DD6BDB"/>
    <w:rsid w:val="00DD6E7A"/>
    <w:rsid w:val="00DD7D4A"/>
    <w:rsid w:val="00DE0BAF"/>
    <w:rsid w:val="00DE3067"/>
    <w:rsid w:val="00DE40F5"/>
    <w:rsid w:val="00DE4B22"/>
    <w:rsid w:val="00DE6A67"/>
    <w:rsid w:val="00DF3EEE"/>
    <w:rsid w:val="00DF422F"/>
    <w:rsid w:val="00DF5A7D"/>
    <w:rsid w:val="00DF661B"/>
    <w:rsid w:val="00DF71A3"/>
    <w:rsid w:val="00DF75E1"/>
    <w:rsid w:val="00E01C35"/>
    <w:rsid w:val="00E027BC"/>
    <w:rsid w:val="00E02D0C"/>
    <w:rsid w:val="00E0319E"/>
    <w:rsid w:val="00E045BE"/>
    <w:rsid w:val="00E052BD"/>
    <w:rsid w:val="00E06294"/>
    <w:rsid w:val="00E10CD7"/>
    <w:rsid w:val="00E10F0D"/>
    <w:rsid w:val="00E14EA5"/>
    <w:rsid w:val="00E15F2B"/>
    <w:rsid w:val="00E17338"/>
    <w:rsid w:val="00E201D7"/>
    <w:rsid w:val="00E2070E"/>
    <w:rsid w:val="00E21133"/>
    <w:rsid w:val="00E22614"/>
    <w:rsid w:val="00E2327E"/>
    <w:rsid w:val="00E23577"/>
    <w:rsid w:val="00E23AA4"/>
    <w:rsid w:val="00E24138"/>
    <w:rsid w:val="00E266EF"/>
    <w:rsid w:val="00E326A8"/>
    <w:rsid w:val="00E34284"/>
    <w:rsid w:val="00E3651D"/>
    <w:rsid w:val="00E36E89"/>
    <w:rsid w:val="00E40675"/>
    <w:rsid w:val="00E4429F"/>
    <w:rsid w:val="00E460FC"/>
    <w:rsid w:val="00E462E7"/>
    <w:rsid w:val="00E47428"/>
    <w:rsid w:val="00E51086"/>
    <w:rsid w:val="00E51CDF"/>
    <w:rsid w:val="00E51F79"/>
    <w:rsid w:val="00E54DDE"/>
    <w:rsid w:val="00E55C10"/>
    <w:rsid w:val="00E56C8E"/>
    <w:rsid w:val="00E5716B"/>
    <w:rsid w:val="00E57F1F"/>
    <w:rsid w:val="00E60713"/>
    <w:rsid w:val="00E617EA"/>
    <w:rsid w:val="00E638AD"/>
    <w:rsid w:val="00E66B9F"/>
    <w:rsid w:val="00E70A6A"/>
    <w:rsid w:val="00E710D6"/>
    <w:rsid w:val="00E71F70"/>
    <w:rsid w:val="00E73DA4"/>
    <w:rsid w:val="00E75B17"/>
    <w:rsid w:val="00E76032"/>
    <w:rsid w:val="00E76E45"/>
    <w:rsid w:val="00E777C9"/>
    <w:rsid w:val="00E81DA6"/>
    <w:rsid w:val="00E84212"/>
    <w:rsid w:val="00E846F6"/>
    <w:rsid w:val="00E84CFC"/>
    <w:rsid w:val="00E850B8"/>
    <w:rsid w:val="00E9086C"/>
    <w:rsid w:val="00E90AAA"/>
    <w:rsid w:val="00E912CC"/>
    <w:rsid w:val="00E91A0F"/>
    <w:rsid w:val="00E923A5"/>
    <w:rsid w:val="00E9364D"/>
    <w:rsid w:val="00E94A71"/>
    <w:rsid w:val="00E94CBF"/>
    <w:rsid w:val="00EA03CE"/>
    <w:rsid w:val="00EA1B13"/>
    <w:rsid w:val="00EA1CF0"/>
    <w:rsid w:val="00EA23E5"/>
    <w:rsid w:val="00EA4E2E"/>
    <w:rsid w:val="00EA5B5A"/>
    <w:rsid w:val="00EA776E"/>
    <w:rsid w:val="00EB16E5"/>
    <w:rsid w:val="00EB1D73"/>
    <w:rsid w:val="00EB22DE"/>
    <w:rsid w:val="00EB2417"/>
    <w:rsid w:val="00EB2CCB"/>
    <w:rsid w:val="00EB3E0A"/>
    <w:rsid w:val="00EB506F"/>
    <w:rsid w:val="00EB7A25"/>
    <w:rsid w:val="00EC0F3E"/>
    <w:rsid w:val="00EC57A7"/>
    <w:rsid w:val="00EC6505"/>
    <w:rsid w:val="00ED0817"/>
    <w:rsid w:val="00ED1E21"/>
    <w:rsid w:val="00ED2103"/>
    <w:rsid w:val="00ED2F0F"/>
    <w:rsid w:val="00ED6A28"/>
    <w:rsid w:val="00ED6A63"/>
    <w:rsid w:val="00ED7C62"/>
    <w:rsid w:val="00ED7DD9"/>
    <w:rsid w:val="00EE0FC3"/>
    <w:rsid w:val="00EE17AC"/>
    <w:rsid w:val="00EE4285"/>
    <w:rsid w:val="00EE445B"/>
    <w:rsid w:val="00EE62F1"/>
    <w:rsid w:val="00EE782B"/>
    <w:rsid w:val="00EF099F"/>
    <w:rsid w:val="00EF2483"/>
    <w:rsid w:val="00EF3113"/>
    <w:rsid w:val="00EF3F84"/>
    <w:rsid w:val="00EF47B2"/>
    <w:rsid w:val="00F027BD"/>
    <w:rsid w:val="00F0378C"/>
    <w:rsid w:val="00F05942"/>
    <w:rsid w:val="00F10732"/>
    <w:rsid w:val="00F12149"/>
    <w:rsid w:val="00F156FB"/>
    <w:rsid w:val="00F176AC"/>
    <w:rsid w:val="00F21C95"/>
    <w:rsid w:val="00F226C6"/>
    <w:rsid w:val="00F25D8E"/>
    <w:rsid w:val="00F26F28"/>
    <w:rsid w:val="00F276D6"/>
    <w:rsid w:val="00F27714"/>
    <w:rsid w:val="00F3276E"/>
    <w:rsid w:val="00F3325D"/>
    <w:rsid w:val="00F33D3C"/>
    <w:rsid w:val="00F35B5A"/>
    <w:rsid w:val="00F36A53"/>
    <w:rsid w:val="00F36EAB"/>
    <w:rsid w:val="00F37A91"/>
    <w:rsid w:val="00F408A0"/>
    <w:rsid w:val="00F40A88"/>
    <w:rsid w:val="00F436FC"/>
    <w:rsid w:val="00F439E7"/>
    <w:rsid w:val="00F447C0"/>
    <w:rsid w:val="00F4497F"/>
    <w:rsid w:val="00F45CF5"/>
    <w:rsid w:val="00F46EA2"/>
    <w:rsid w:val="00F47DB0"/>
    <w:rsid w:val="00F50C3F"/>
    <w:rsid w:val="00F50E34"/>
    <w:rsid w:val="00F51ABB"/>
    <w:rsid w:val="00F51AFB"/>
    <w:rsid w:val="00F53E56"/>
    <w:rsid w:val="00F53EF7"/>
    <w:rsid w:val="00F54BF2"/>
    <w:rsid w:val="00F557CC"/>
    <w:rsid w:val="00F55B21"/>
    <w:rsid w:val="00F61E5F"/>
    <w:rsid w:val="00F73652"/>
    <w:rsid w:val="00F73C59"/>
    <w:rsid w:val="00F74E48"/>
    <w:rsid w:val="00F775AC"/>
    <w:rsid w:val="00F8239A"/>
    <w:rsid w:val="00F84A69"/>
    <w:rsid w:val="00F856AF"/>
    <w:rsid w:val="00F86431"/>
    <w:rsid w:val="00F8792F"/>
    <w:rsid w:val="00F9214D"/>
    <w:rsid w:val="00F92355"/>
    <w:rsid w:val="00F93963"/>
    <w:rsid w:val="00F94291"/>
    <w:rsid w:val="00F95FDA"/>
    <w:rsid w:val="00FA298A"/>
    <w:rsid w:val="00FA3C67"/>
    <w:rsid w:val="00FA5B66"/>
    <w:rsid w:val="00FA6D2B"/>
    <w:rsid w:val="00FB0B9C"/>
    <w:rsid w:val="00FB0E1A"/>
    <w:rsid w:val="00FB0EFD"/>
    <w:rsid w:val="00FB1534"/>
    <w:rsid w:val="00FB2149"/>
    <w:rsid w:val="00FB237E"/>
    <w:rsid w:val="00FB30EB"/>
    <w:rsid w:val="00FB38C1"/>
    <w:rsid w:val="00FB729B"/>
    <w:rsid w:val="00FB7982"/>
    <w:rsid w:val="00FC0734"/>
    <w:rsid w:val="00FC0AD9"/>
    <w:rsid w:val="00FC0FC5"/>
    <w:rsid w:val="00FC2DE8"/>
    <w:rsid w:val="00FC375A"/>
    <w:rsid w:val="00FC481C"/>
    <w:rsid w:val="00FC4C81"/>
    <w:rsid w:val="00FC588F"/>
    <w:rsid w:val="00FC5A6C"/>
    <w:rsid w:val="00FC6879"/>
    <w:rsid w:val="00FC7395"/>
    <w:rsid w:val="00FC7904"/>
    <w:rsid w:val="00FD0461"/>
    <w:rsid w:val="00FD1CDD"/>
    <w:rsid w:val="00FD24BF"/>
    <w:rsid w:val="00FD43C2"/>
    <w:rsid w:val="00FD57CC"/>
    <w:rsid w:val="00FE1B30"/>
    <w:rsid w:val="00FE581E"/>
    <w:rsid w:val="00FE7B44"/>
    <w:rsid w:val="00FF0BB7"/>
    <w:rsid w:val="00FF5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27CD"/>
  <w15:docId w15:val="{B8E0E95A-41A8-451D-A993-3CDACE2B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qFormat/>
    <w:rsid w:val="00967855"/>
    <w:pPr>
      <w:numPr>
        <w:numId w:val="1"/>
      </w:numPr>
      <w:tabs>
        <w:tab w:val="clear" w:pos="720"/>
      </w:tabs>
      <w:spacing w:before="180" w:after="180"/>
    </w:pPr>
  </w:style>
  <w:style w:type="paragraph" w:customStyle="1" w:styleId="Quote1">
    <w:name w:val="Quote1"/>
    <w:qFormat/>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qFormat/>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qFormat/>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FooterChar">
    <w:name w:val="Footer Char"/>
    <w:basedOn w:val="DefaultParagraphFont"/>
    <w:link w:val="Footer"/>
    <w:uiPriority w:val="99"/>
    <w:rsid w:val="00301E46"/>
    <w:rPr>
      <w:sz w:val="24"/>
      <w:lang w:eastAsia="en-US"/>
    </w:rPr>
  </w:style>
  <w:style w:type="paragraph" w:customStyle="1" w:styleId="Hanging1">
    <w:name w:val="Hanging 1"/>
    <w:basedOn w:val="Quote1"/>
    <w:qFormat/>
    <w:rsid w:val="00301E46"/>
    <w:pPr>
      <w:widowControl/>
      <w:ind w:left="1474" w:hanging="737"/>
    </w:pPr>
    <w:rPr>
      <w:szCs w:val="21"/>
      <w:lang w:val="en"/>
    </w:rPr>
  </w:style>
  <w:style w:type="paragraph" w:customStyle="1" w:styleId="Hanging2">
    <w:name w:val="Hanging 2"/>
    <w:basedOn w:val="Hanging1"/>
    <w:qFormat/>
    <w:rsid w:val="00301E46"/>
    <w:pPr>
      <w:ind w:left="2211"/>
    </w:pPr>
  </w:style>
  <w:style w:type="paragraph" w:customStyle="1" w:styleId="Default">
    <w:name w:val="Default"/>
    <w:rsid w:val="00301E46"/>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1732B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6E634C8DB48F5A61061F81581B602"/>
        <w:category>
          <w:name w:val="General"/>
          <w:gallery w:val="placeholder"/>
        </w:category>
        <w:types>
          <w:type w:val="bbPlcHdr"/>
        </w:types>
        <w:behaviors>
          <w:behavior w:val="content"/>
        </w:behaviors>
        <w:guid w:val="{CD671D57-82DE-44F5-9537-F7CC5D33FDD7}"/>
      </w:docPartPr>
      <w:docPartBody>
        <w:p w:rsidR="00826E06" w:rsidRDefault="00826E06">
          <w:pPr>
            <w:pStyle w:val="C646E634C8DB48F5A61061F81581B602"/>
          </w:pPr>
          <w:r>
            <w:rPr>
              <w:rStyle w:val="PlaceholderText"/>
            </w:rPr>
            <w:t>MNC Text</w:t>
          </w:r>
        </w:p>
      </w:docPartBody>
    </w:docPart>
    <w:docPart>
      <w:docPartPr>
        <w:name w:val="19E17A18C3524B9EAA2C7ECECCB70F2A"/>
        <w:category>
          <w:name w:val="General"/>
          <w:gallery w:val="placeholder"/>
        </w:category>
        <w:types>
          <w:type w:val="bbPlcHdr"/>
        </w:types>
        <w:behaviors>
          <w:behavior w:val="content"/>
        </w:behaviors>
        <w:guid w:val="{2FB4644C-6B54-4879-9149-A4287F0933B0}"/>
      </w:docPartPr>
      <w:docPartBody>
        <w:p w:rsidR="00826E06" w:rsidRDefault="00826E06">
          <w:pPr>
            <w:pStyle w:val="19E17A18C3524B9EAA2C7ECECCB70F2A"/>
          </w:pPr>
          <w:r w:rsidRPr="005C44BE">
            <w:rPr>
              <w:rStyle w:val="PlaceholderText"/>
            </w:rPr>
            <w:t>Click or tap here to enter text.</w:t>
          </w:r>
        </w:p>
      </w:docPartBody>
    </w:docPart>
    <w:docPart>
      <w:docPartPr>
        <w:name w:val="DF373659D22B423580016CA5DD678C83"/>
        <w:category>
          <w:name w:val="General"/>
          <w:gallery w:val="placeholder"/>
        </w:category>
        <w:types>
          <w:type w:val="bbPlcHdr"/>
        </w:types>
        <w:behaviors>
          <w:behavior w:val="content"/>
        </w:behaviors>
        <w:guid w:val="{AD101F4A-CD99-4DAC-AB98-C3E0276460E8}"/>
      </w:docPartPr>
      <w:docPartBody>
        <w:p w:rsidR="00826E06" w:rsidRDefault="00826E06">
          <w:pPr>
            <w:pStyle w:val="DF373659D22B423580016CA5DD678C83"/>
          </w:pPr>
          <w:r w:rsidRPr="005C44BE">
            <w:rPr>
              <w:rStyle w:val="PlaceholderText"/>
            </w:rPr>
            <w:t>Click or tap here to enter text.</w:t>
          </w:r>
        </w:p>
      </w:docPartBody>
    </w:docPart>
    <w:docPart>
      <w:docPartPr>
        <w:name w:val="8558BAB42A5A46E8AD6A3AF2B7B68B07"/>
        <w:category>
          <w:name w:val="General"/>
          <w:gallery w:val="placeholder"/>
        </w:category>
        <w:types>
          <w:type w:val="bbPlcHdr"/>
        </w:types>
        <w:behaviors>
          <w:behavior w:val="content"/>
        </w:behaviors>
        <w:guid w:val="{C0090382-26E6-4FE2-8767-3F95E377858E}"/>
      </w:docPartPr>
      <w:docPartBody>
        <w:p w:rsidR="00826E06" w:rsidRDefault="00826E06">
          <w:pPr>
            <w:pStyle w:val="8558BAB42A5A46E8AD6A3AF2B7B68B07"/>
          </w:pPr>
          <w:r w:rsidRPr="005C44BE">
            <w:rPr>
              <w:rStyle w:val="PlaceholderText"/>
            </w:rPr>
            <w:t>Click or tap here to enter text.</w:t>
          </w:r>
        </w:p>
      </w:docPartBody>
    </w:docPart>
    <w:docPart>
      <w:docPartPr>
        <w:name w:val="7D3D059368EC486081FB5CD7013DDDBC"/>
        <w:category>
          <w:name w:val="General"/>
          <w:gallery w:val="placeholder"/>
        </w:category>
        <w:types>
          <w:type w:val="bbPlcHdr"/>
        </w:types>
        <w:behaviors>
          <w:behavior w:val="content"/>
        </w:behaviors>
        <w:guid w:val="{E395E72B-BF2D-41DC-910D-A1947BB0544B}"/>
      </w:docPartPr>
      <w:docPartBody>
        <w:p w:rsidR="00826E06" w:rsidRDefault="00826E06">
          <w:pPr>
            <w:pStyle w:val="7D3D059368EC486081FB5CD7013DDDB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06"/>
    <w:rsid w:val="000C4B09"/>
    <w:rsid w:val="000F79B2"/>
    <w:rsid w:val="0013169D"/>
    <w:rsid w:val="00146D42"/>
    <w:rsid w:val="00156C42"/>
    <w:rsid w:val="00826E06"/>
    <w:rsid w:val="0084451E"/>
    <w:rsid w:val="008F15FB"/>
    <w:rsid w:val="00B03538"/>
    <w:rsid w:val="00FA0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6E634C8DB48F5A61061F81581B602">
    <w:name w:val="C646E634C8DB48F5A61061F81581B602"/>
  </w:style>
  <w:style w:type="paragraph" w:customStyle="1" w:styleId="19E17A18C3524B9EAA2C7ECECCB70F2A">
    <w:name w:val="19E17A18C3524B9EAA2C7ECECCB70F2A"/>
  </w:style>
  <w:style w:type="paragraph" w:customStyle="1" w:styleId="DF373659D22B423580016CA5DD678C83">
    <w:name w:val="DF373659D22B423580016CA5DD678C83"/>
  </w:style>
  <w:style w:type="paragraph" w:customStyle="1" w:styleId="8558BAB42A5A46E8AD6A3AF2B7B68B07">
    <w:name w:val="8558BAB42A5A46E8AD6A3AF2B7B68B07"/>
  </w:style>
  <w:style w:type="paragraph" w:customStyle="1" w:styleId="7D3D059368EC486081FB5CD7013DDDBC">
    <w:name w:val="7D3D059368EC486081FB5CD7013DD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Winn v Thompson [2024] FCA 358</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6</TotalTime>
  <Pages>32</Pages>
  <Words>12631</Words>
  <Characters>62781</Characters>
  <Application>Microsoft Office Word</Application>
  <DocSecurity>0</DocSecurity>
  <Lines>1046</Lines>
  <Paragraphs>332</Paragraphs>
  <ScaleCrop>false</ScaleCrop>
  <HeadingPairs>
    <vt:vector size="2" baseType="variant">
      <vt:variant>
        <vt:lpstr>Title</vt:lpstr>
      </vt:variant>
      <vt:variant>
        <vt:i4>1</vt:i4>
      </vt:variant>
    </vt:vector>
  </HeadingPairs>
  <TitlesOfParts>
    <vt:vector size="1" baseType="lpstr">
      <vt:lpstr>Winn v Thompson [2024] FCA 358</vt:lpstr>
    </vt:vector>
  </TitlesOfParts>
  <Company>Federal Court of Australia</Company>
  <LinksUpToDate>false</LinksUpToDate>
  <CharactersWithSpaces>75080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Winn v Thompson [2024] FCA 358</dc:title>
  <dc:creator>Federal Court of Australia</dc:creator>
  <dc:description>v1.3</dc:description>
  <cp:lastModifiedBy>Federal Court of Australia</cp:lastModifiedBy>
  <cp:revision>3</cp:revision>
  <cp:lastPrinted>2024-04-11T07:44:00Z</cp:lastPrinted>
  <dcterms:created xsi:type="dcterms:W3CDTF">2024-04-12T01:47:00Z</dcterms:created>
  <dcterms:modified xsi:type="dcterms:W3CDTF">2024-04-12T01:54:00Z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Other Federal Jurisdiction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