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9311" w14:textId="09B6CEDC" w:rsidR="00395B24" w:rsidRDefault="00D1768B" w:rsidP="00A22932">
      <w:pPr>
        <w:pStyle w:val="CourtTitle"/>
      </w:pPr>
      <w:fldSimple w:instr=" DOCPROPERTY  Court  \* MERGEFORMAT ">
        <w:r w:rsidR="00B50438">
          <w:t>Federal Court of Australia</w:t>
        </w:r>
      </w:fldSimple>
    </w:p>
    <w:p w14:paraId="350CD9B9" w14:textId="77777777" w:rsidR="004D7950" w:rsidRDefault="004D7950">
      <w:pPr>
        <w:pStyle w:val="NormalHeadings"/>
        <w:jc w:val="center"/>
        <w:rPr>
          <w:sz w:val="32"/>
        </w:rPr>
      </w:pPr>
    </w:p>
    <w:bookmarkStart w:id="0" w:name="MNC"/>
    <w:p w14:paraId="49096559" w14:textId="75B32F93" w:rsidR="00374CC4" w:rsidRDefault="00B26C7A" w:rsidP="001A2B40">
      <w:pPr>
        <w:pStyle w:val="MNC"/>
      </w:pPr>
      <w:sdt>
        <w:sdtPr>
          <w:alias w:val="MNC"/>
          <w:tag w:val="MNC"/>
          <w:id w:val="343289786"/>
          <w:lock w:val="sdtLocked"/>
          <w:placeholder>
            <w:docPart w:val="7EF6C4BCC5A943028A4D9EBAA8C9F1C8"/>
          </w:placeholder>
          <w:dataBinding w:prefixMappings="xmlns:ns0='http://schemas.globalmacros.com/FCA'" w:xpath="/ns0:root[1]/ns0:Name[1]" w:storeItemID="{687E7CCB-4AA5-44E7-B148-17BA2B6F57C0}"/>
          <w:text w:multiLine="1"/>
        </w:sdtPr>
        <w:sdtEndPr/>
        <w:sdtContent>
          <w:r w:rsidR="00B50438">
            <w:t xml:space="preserve">Mentha v Australian Securities and Investments Commission (Costs) [2024] FCA </w:t>
          </w:r>
          <w:r w:rsidR="00264E72">
            <w:t>375</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3BF776FF" w14:textId="77777777" w:rsidTr="003763EA">
        <w:tc>
          <w:tcPr>
            <w:tcW w:w="3083" w:type="dxa"/>
            <w:shd w:val="clear" w:color="auto" w:fill="auto"/>
          </w:tcPr>
          <w:p w14:paraId="46CF9711" w14:textId="77777777" w:rsidR="00395B24" w:rsidRDefault="002C7385" w:rsidP="00663878">
            <w:pPr>
              <w:pStyle w:val="Normal1linespace"/>
              <w:widowControl w:val="0"/>
              <w:jc w:val="left"/>
            </w:pPr>
            <w:r>
              <w:t>File number(s):</w:t>
            </w:r>
          </w:p>
        </w:tc>
        <w:tc>
          <w:tcPr>
            <w:tcW w:w="5989" w:type="dxa"/>
            <w:shd w:val="clear" w:color="auto" w:fill="auto"/>
          </w:tcPr>
          <w:p w14:paraId="24E33866" w14:textId="6B32096E" w:rsidR="00395B24" w:rsidRPr="00B50438" w:rsidRDefault="00362CA2" w:rsidP="00B50438">
            <w:pPr>
              <w:pStyle w:val="Normal1linespace"/>
              <w:jc w:val="left"/>
            </w:pPr>
            <w:fldSimple w:instr=" REF  FileNo  \* MERGEFORMAT " w:fldLock="1">
              <w:r w:rsidR="00B50438" w:rsidRPr="00B50438">
                <w:t>VID 200 of 2023</w:t>
              </w:r>
            </w:fldSimple>
          </w:p>
        </w:tc>
      </w:tr>
      <w:tr w:rsidR="00395B24" w14:paraId="35443F88" w14:textId="77777777" w:rsidTr="003763EA">
        <w:tc>
          <w:tcPr>
            <w:tcW w:w="3083" w:type="dxa"/>
            <w:shd w:val="clear" w:color="auto" w:fill="auto"/>
          </w:tcPr>
          <w:p w14:paraId="1F9CFB97" w14:textId="77777777" w:rsidR="00395B24" w:rsidRDefault="00395B24" w:rsidP="00663878">
            <w:pPr>
              <w:pStyle w:val="Normal1linespace"/>
              <w:widowControl w:val="0"/>
              <w:jc w:val="left"/>
            </w:pPr>
          </w:p>
        </w:tc>
        <w:tc>
          <w:tcPr>
            <w:tcW w:w="5989" w:type="dxa"/>
            <w:shd w:val="clear" w:color="auto" w:fill="auto"/>
          </w:tcPr>
          <w:p w14:paraId="646C995C" w14:textId="77777777" w:rsidR="00395B24" w:rsidRDefault="00395B24" w:rsidP="00663878">
            <w:pPr>
              <w:pStyle w:val="Normal1linespace"/>
              <w:widowControl w:val="0"/>
              <w:jc w:val="left"/>
            </w:pPr>
          </w:p>
        </w:tc>
      </w:tr>
      <w:tr w:rsidR="00395B24" w14:paraId="6F9A1093" w14:textId="77777777" w:rsidTr="003763EA">
        <w:tc>
          <w:tcPr>
            <w:tcW w:w="3083" w:type="dxa"/>
            <w:shd w:val="clear" w:color="auto" w:fill="auto"/>
          </w:tcPr>
          <w:p w14:paraId="1646077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7994FE0" w14:textId="20BD6F63" w:rsidR="00395B24" w:rsidRDefault="002C7385" w:rsidP="00663878">
            <w:pPr>
              <w:pStyle w:val="Normal1linespace"/>
              <w:widowControl w:val="0"/>
              <w:jc w:val="left"/>
              <w:rPr>
                <w:b/>
              </w:rPr>
            </w:pPr>
            <w:r w:rsidRPr="00B50438">
              <w:rPr>
                <w:b/>
              </w:rPr>
              <w:fldChar w:fldCharType="begin" w:fldLock="1"/>
            </w:r>
            <w:r w:rsidRPr="00B50438">
              <w:rPr>
                <w:b/>
              </w:rPr>
              <w:instrText xml:space="preserve"> REF  Judge  \* MERGEFORMAT </w:instrText>
            </w:r>
            <w:r w:rsidRPr="00B50438">
              <w:rPr>
                <w:b/>
              </w:rPr>
              <w:fldChar w:fldCharType="separate"/>
            </w:r>
            <w:r w:rsidR="00B50438" w:rsidRPr="00B50438">
              <w:rPr>
                <w:b/>
                <w:caps/>
                <w:szCs w:val="24"/>
              </w:rPr>
              <w:t>BUTTON J</w:t>
            </w:r>
            <w:r w:rsidRPr="00B50438">
              <w:rPr>
                <w:b/>
              </w:rPr>
              <w:fldChar w:fldCharType="end"/>
            </w:r>
          </w:p>
        </w:tc>
      </w:tr>
      <w:tr w:rsidR="00395B24" w14:paraId="0EDEC5C6" w14:textId="77777777" w:rsidTr="003763EA">
        <w:tc>
          <w:tcPr>
            <w:tcW w:w="3083" w:type="dxa"/>
            <w:shd w:val="clear" w:color="auto" w:fill="auto"/>
          </w:tcPr>
          <w:p w14:paraId="047ACD32" w14:textId="77777777" w:rsidR="00395B24" w:rsidRDefault="00395B24" w:rsidP="00663878">
            <w:pPr>
              <w:pStyle w:val="Normal1linespace"/>
              <w:widowControl w:val="0"/>
              <w:jc w:val="left"/>
            </w:pPr>
          </w:p>
        </w:tc>
        <w:tc>
          <w:tcPr>
            <w:tcW w:w="5989" w:type="dxa"/>
            <w:shd w:val="clear" w:color="auto" w:fill="auto"/>
          </w:tcPr>
          <w:p w14:paraId="761E98F4" w14:textId="77777777" w:rsidR="00395B24" w:rsidRDefault="00395B24" w:rsidP="00663878">
            <w:pPr>
              <w:pStyle w:val="Normal1linespace"/>
              <w:widowControl w:val="0"/>
              <w:jc w:val="left"/>
            </w:pPr>
          </w:p>
        </w:tc>
      </w:tr>
      <w:tr w:rsidR="00395B24" w14:paraId="2CCBE34A" w14:textId="77777777" w:rsidTr="003763EA">
        <w:tc>
          <w:tcPr>
            <w:tcW w:w="3083" w:type="dxa"/>
            <w:shd w:val="clear" w:color="auto" w:fill="auto"/>
          </w:tcPr>
          <w:p w14:paraId="1355FD99" w14:textId="77777777" w:rsidR="00395B24" w:rsidRDefault="002C7385" w:rsidP="00663878">
            <w:pPr>
              <w:pStyle w:val="Normal1linespace"/>
              <w:widowControl w:val="0"/>
              <w:jc w:val="left"/>
            </w:pPr>
            <w:r>
              <w:t>Date of judgment:</w:t>
            </w:r>
          </w:p>
        </w:tc>
        <w:tc>
          <w:tcPr>
            <w:tcW w:w="5989" w:type="dxa"/>
            <w:shd w:val="clear" w:color="auto" w:fill="auto"/>
          </w:tcPr>
          <w:p w14:paraId="64EE80B1" w14:textId="09C15C0D" w:rsidR="00395B24" w:rsidRDefault="00950662" w:rsidP="00663878">
            <w:pPr>
              <w:pStyle w:val="Normal1linespace"/>
              <w:widowControl w:val="0"/>
              <w:jc w:val="left"/>
            </w:pPr>
            <w:bookmarkStart w:id="1" w:name="JudgmentDate"/>
            <w:r>
              <w:t>16</w:t>
            </w:r>
            <w:r w:rsidR="00B50438">
              <w:t xml:space="preserve"> April 2024</w:t>
            </w:r>
            <w:bookmarkEnd w:id="1"/>
          </w:p>
        </w:tc>
      </w:tr>
      <w:tr w:rsidR="00395B24" w14:paraId="7575E4D1" w14:textId="77777777" w:rsidTr="003763EA">
        <w:tc>
          <w:tcPr>
            <w:tcW w:w="3083" w:type="dxa"/>
            <w:shd w:val="clear" w:color="auto" w:fill="auto"/>
          </w:tcPr>
          <w:p w14:paraId="24DB5152" w14:textId="77777777" w:rsidR="00395B24" w:rsidRDefault="00395B24" w:rsidP="00663878">
            <w:pPr>
              <w:pStyle w:val="Normal1linespace"/>
              <w:widowControl w:val="0"/>
              <w:jc w:val="left"/>
            </w:pPr>
          </w:p>
        </w:tc>
        <w:tc>
          <w:tcPr>
            <w:tcW w:w="5989" w:type="dxa"/>
            <w:shd w:val="clear" w:color="auto" w:fill="auto"/>
          </w:tcPr>
          <w:p w14:paraId="0CCB7C8D" w14:textId="77777777" w:rsidR="00395B24" w:rsidRDefault="00395B24" w:rsidP="00663878">
            <w:pPr>
              <w:pStyle w:val="Normal1linespace"/>
              <w:widowControl w:val="0"/>
              <w:jc w:val="left"/>
            </w:pPr>
          </w:p>
        </w:tc>
      </w:tr>
      <w:tr w:rsidR="00395B24" w14:paraId="05F7921F" w14:textId="77777777" w:rsidTr="003763EA">
        <w:tc>
          <w:tcPr>
            <w:tcW w:w="3083" w:type="dxa"/>
            <w:shd w:val="clear" w:color="auto" w:fill="auto"/>
          </w:tcPr>
          <w:p w14:paraId="46D81D96" w14:textId="77777777" w:rsidR="00395B24" w:rsidRDefault="002C7385" w:rsidP="00663878">
            <w:pPr>
              <w:pStyle w:val="Normal1linespace"/>
              <w:widowControl w:val="0"/>
              <w:jc w:val="left"/>
            </w:pPr>
            <w:r>
              <w:t>Catchwords:</w:t>
            </w:r>
          </w:p>
        </w:tc>
        <w:tc>
          <w:tcPr>
            <w:tcW w:w="5989" w:type="dxa"/>
            <w:shd w:val="clear" w:color="auto" w:fill="auto"/>
          </w:tcPr>
          <w:p w14:paraId="6BF3E07A" w14:textId="23C076B9" w:rsidR="00395B24" w:rsidRDefault="006D2F86" w:rsidP="00663878">
            <w:pPr>
              <w:pStyle w:val="Normal1linespace"/>
              <w:widowControl w:val="0"/>
              <w:jc w:val="left"/>
            </w:pPr>
            <w:bookmarkStart w:id="2" w:name="Catchwords"/>
            <w:r>
              <w:rPr>
                <w:b/>
                <w:bCs/>
              </w:rPr>
              <w:t>COSTS</w:t>
            </w:r>
            <w:r w:rsidR="009A34D9">
              <w:t xml:space="preserve"> – </w:t>
            </w:r>
            <w:r w:rsidR="00DC3ACD">
              <w:t xml:space="preserve">where proceedings </w:t>
            </w:r>
            <w:r w:rsidR="00ED73AA">
              <w:t>dismissed by consent</w:t>
            </w:r>
            <w:r w:rsidR="00477190">
              <w:t xml:space="preserve"> </w:t>
            </w:r>
            <w:r w:rsidR="00B94AE8">
              <w:t>with</w:t>
            </w:r>
            <w:r w:rsidR="00477190">
              <w:t xml:space="preserve"> no hearing on the merits</w:t>
            </w:r>
            <w:r w:rsidR="00ED73AA">
              <w:t xml:space="preserve"> – whether </w:t>
            </w:r>
            <w:r w:rsidR="00662B5D">
              <w:t>R</w:t>
            </w:r>
            <w:r w:rsidR="00AC7298">
              <w:t xml:space="preserve">espondents </w:t>
            </w:r>
            <w:r w:rsidR="00B61F1B">
              <w:t xml:space="preserve">“in substance </w:t>
            </w:r>
            <w:r w:rsidR="008851EC">
              <w:t xml:space="preserve">surrendered or </w:t>
            </w:r>
            <w:r w:rsidR="000E4419">
              <w:t>capitulated” –</w:t>
            </w:r>
            <w:r w:rsidR="008F3410">
              <w:t xml:space="preserve"> </w:t>
            </w:r>
            <w:r w:rsidR="00240065">
              <w:t xml:space="preserve">whether </w:t>
            </w:r>
            <w:r w:rsidR="00653407">
              <w:t>A</w:t>
            </w:r>
            <w:r w:rsidR="00240065">
              <w:t xml:space="preserve">pplicants entitled to costs of the proceeding – whether </w:t>
            </w:r>
            <w:r w:rsidR="00662B5D">
              <w:t>R</w:t>
            </w:r>
            <w:r w:rsidR="008B6612">
              <w:t>espondents’ conduct</w:t>
            </w:r>
            <w:r w:rsidR="000E4419">
              <w:t xml:space="preserve"> following judgment delivery in related proceedings unreasonable – whether </w:t>
            </w:r>
            <w:r w:rsidR="00662B5D">
              <w:t>A</w:t>
            </w:r>
            <w:r w:rsidR="000E4419">
              <w:t xml:space="preserve">pplicants entitled to indemnity costs </w:t>
            </w:r>
            <w:r w:rsidR="005C6E41">
              <w:t>–</w:t>
            </w:r>
            <w:r w:rsidR="005A0586">
              <w:t xml:space="preserve"> </w:t>
            </w:r>
            <w:r w:rsidR="00FC027E">
              <w:t>application dismissed</w:t>
            </w:r>
            <w:r w:rsidR="005A0586">
              <w:t xml:space="preserve"> </w:t>
            </w:r>
            <w:bookmarkEnd w:id="2"/>
          </w:p>
        </w:tc>
      </w:tr>
      <w:tr w:rsidR="00395B24" w14:paraId="43FC8997" w14:textId="77777777" w:rsidTr="003763EA">
        <w:tc>
          <w:tcPr>
            <w:tcW w:w="3083" w:type="dxa"/>
            <w:shd w:val="clear" w:color="auto" w:fill="auto"/>
          </w:tcPr>
          <w:p w14:paraId="05AD7506" w14:textId="77777777" w:rsidR="00395B24" w:rsidRDefault="00395B24" w:rsidP="00663878">
            <w:pPr>
              <w:pStyle w:val="Normal1linespace"/>
              <w:widowControl w:val="0"/>
              <w:jc w:val="left"/>
            </w:pPr>
          </w:p>
        </w:tc>
        <w:tc>
          <w:tcPr>
            <w:tcW w:w="5989" w:type="dxa"/>
            <w:shd w:val="clear" w:color="auto" w:fill="auto"/>
          </w:tcPr>
          <w:p w14:paraId="6A6F1EC6" w14:textId="77777777" w:rsidR="00395B24" w:rsidRDefault="00395B24" w:rsidP="00663878">
            <w:pPr>
              <w:pStyle w:val="Normal1linespace"/>
              <w:widowControl w:val="0"/>
              <w:jc w:val="left"/>
            </w:pPr>
          </w:p>
        </w:tc>
      </w:tr>
      <w:tr w:rsidR="00395B24" w14:paraId="0E50EF27" w14:textId="77777777" w:rsidTr="003763EA">
        <w:tc>
          <w:tcPr>
            <w:tcW w:w="3083" w:type="dxa"/>
            <w:shd w:val="clear" w:color="auto" w:fill="auto"/>
          </w:tcPr>
          <w:p w14:paraId="4A3742C4" w14:textId="77777777" w:rsidR="00395B24" w:rsidRDefault="002C7385" w:rsidP="00663878">
            <w:pPr>
              <w:pStyle w:val="Normal1linespace"/>
              <w:widowControl w:val="0"/>
              <w:jc w:val="left"/>
            </w:pPr>
            <w:r>
              <w:t>Legislation:</w:t>
            </w:r>
          </w:p>
        </w:tc>
        <w:tc>
          <w:tcPr>
            <w:tcW w:w="5989" w:type="dxa"/>
            <w:shd w:val="clear" w:color="auto" w:fill="auto"/>
          </w:tcPr>
          <w:p w14:paraId="0272B44F" w14:textId="1CB1D910" w:rsidR="007D7B3F" w:rsidRPr="007D7B3F" w:rsidRDefault="007D7B3F" w:rsidP="007D7B3F">
            <w:pPr>
              <w:pStyle w:val="CasesLegislationAppealFrom"/>
              <w:spacing w:after="60"/>
            </w:pPr>
            <w:bookmarkStart w:id="3" w:name="Legislation"/>
            <w:r w:rsidRPr="007D7B3F">
              <w:rPr>
                <w:i/>
                <w:iCs/>
              </w:rPr>
              <w:t xml:space="preserve">Administrative Decisions (Judicial Review) Act 1977 </w:t>
            </w:r>
            <w:r w:rsidRPr="007D7B3F">
              <w:t>(Cth)</w:t>
            </w:r>
            <w:r w:rsidR="003614C9">
              <w:t xml:space="preserve"> ss 5, 15, 16</w:t>
            </w:r>
          </w:p>
          <w:p w14:paraId="057BDD52" w14:textId="2446E9E6" w:rsidR="007D7B3F" w:rsidRPr="005F7E6E" w:rsidRDefault="007D7B3F" w:rsidP="007D7B3F">
            <w:pPr>
              <w:pStyle w:val="CasesLegislationAppealFrom"/>
              <w:spacing w:after="60"/>
            </w:pPr>
            <w:r w:rsidRPr="007D7B3F">
              <w:rPr>
                <w:i/>
                <w:iCs/>
              </w:rPr>
              <w:t>Corporation</w:t>
            </w:r>
            <w:r>
              <w:rPr>
                <w:i/>
                <w:iCs/>
              </w:rPr>
              <w:t>s</w:t>
            </w:r>
            <w:r w:rsidRPr="007D7B3F">
              <w:rPr>
                <w:i/>
                <w:iCs/>
              </w:rPr>
              <w:t xml:space="preserve"> Act 2001 </w:t>
            </w:r>
            <w:r w:rsidRPr="007D7B3F">
              <w:t>(Cth)</w:t>
            </w:r>
            <w:r w:rsidR="00A204DD">
              <w:t xml:space="preserve"> s 447A, </w:t>
            </w:r>
            <w:r w:rsidR="00843FA3">
              <w:t xml:space="preserve">Pt 5.3A, </w:t>
            </w:r>
            <w:r w:rsidR="00163210">
              <w:t xml:space="preserve">Pt 5.9, Div 1, </w:t>
            </w:r>
            <w:r w:rsidR="005F7E6E">
              <w:t>Sch 2 (</w:t>
            </w:r>
            <w:r w:rsidR="005F7E6E">
              <w:rPr>
                <w:i/>
                <w:iCs/>
              </w:rPr>
              <w:t>Insolvency Practice Schedule (Corporations)</w:t>
            </w:r>
            <w:r w:rsidR="005F7E6E">
              <w:t>) s</w:t>
            </w:r>
            <w:r w:rsidR="00BF657B">
              <w:t> </w:t>
            </w:r>
            <w:r w:rsidR="005F7E6E">
              <w:t>90-15</w:t>
            </w:r>
          </w:p>
          <w:p w14:paraId="45093C09" w14:textId="06F2BD47" w:rsidR="007D7B3F" w:rsidRPr="007D7B3F" w:rsidRDefault="007D7B3F" w:rsidP="007D7B3F">
            <w:pPr>
              <w:pStyle w:val="CasesLegislationAppealFrom"/>
              <w:spacing w:after="60"/>
            </w:pPr>
            <w:r w:rsidRPr="007D7B3F">
              <w:rPr>
                <w:i/>
                <w:iCs/>
              </w:rPr>
              <w:t xml:space="preserve">Judiciary Act 1903 </w:t>
            </w:r>
            <w:r w:rsidRPr="007D7B3F">
              <w:t>(Cth)</w:t>
            </w:r>
            <w:r w:rsidR="00E97A54">
              <w:t xml:space="preserve"> s 39B</w:t>
            </w:r>
            <w:bookmarkEnd w:id="3"/>
          </w:p>
        </w:tc>
      </w:tr>
      <w:tr w:rsidR="00395B24" w14:paraId="3AA55BF5" w14:textId="77777777" w:rsidTr="003763EA">
        <w:tc>
          <w:tcPr>
            <w:tcW w:w="3083" w:type="dxa"/>
            <w:shd w:val="clear" w:color="auto" w:fill="auto"/>
          </w:tcPr>
          <w:p w14:paraId="51F36264" w14:textId="77777777" w:rsidR="00395B24" w:rsidRDefault="00395B24" w:rsidP="00663878">
            <w:pPr>
              <w:pStyle w:val="Normal1linespace"/>
              <w:widowControl w:val="0"/>
              <w:jc w:val="left"/>
            </w:pPr>
          </w:p>
        </w:tc>
        <w:tc>
          <w:tcPr>
            <w:tcW w:w="5989" w:type="dxa"/>
            <w:shd w:val="clear" w:color="auto" w:fill="auto"/>
          </w:tcPr>
          <w:p w14:paraId="01126B27" w14:textId="77777777" w:rsidR="00395B24" w:rsidRDefault="00395B24" w:rsidP="00663878">
            <w:pPr>
              <w:pStyle w:val="Normal1linespace"/>
              <w:widowControl w:val="0"/>
              <w:jc w:val="left"/>
            </w:pPr>
          </w:p>
        </w:tc>
      </w:tr>
      <w:tr w:rsidR="00395B24" w14:paraId="54029D71" w14:textId="77777777" w:rsidTr="003763EA">
        <w:tc>
          <w:tcPr>
            <w:tcW w:w="3083" w:type="dxa"/>
            <w:shd w:val="clear" w:color="auto" w:fill="auto"/>
          </w:tcPr>
          <w:p w14:paraId="74C5A6F6" w14:textId="77777777" w:rsidR="00395B24" w:rsidRDefault="002C7385" w:rsidP="00663878">
            <w:pPr>
              <w:pStyle w:val="Normal1linespace"/>
              <w:widowControl w:val="0"/>
              <w:jc w:val="left"/>
            </w:pPr>
            <w:r>
              <w:t>Cases cited:</w:t>
            </w:r>
          </w:p>
        </w:tc>
        <w:tc>
          <w:tcPr>
            <w:tcW w:w="5989" w:type="dxa"/>
            <w:shd w:val="clear" w:color="auto" w:fill="auto"/>
          </w:tcPr>
          <w:p w14:paraId="28760535" w14:textId="77777777" w:rsidR="007D7B3F" w:rsidRPr="007D7B3F" w:rsidRDefault="007D7B3F" w:rsidP="007D7B3F">
            <w:pPr>
              <w:pStyle w:val="CasesLegislationAppealFrom"/>
              <w:spacing w:after="60"/>
            </w:pPr>
            <w:bookmarkStart w:id="4" w:name="Cases_Cited"/>
            <w:r w:rsidRPr="007D7B3F">
              <w:rPr>
                <w:i/>
                <w:iCs/>
              </w:rPr>
              <w:t xml:space="preserve">Balanggarra Aboriginal Corporation v State of Western Australia </w:t>
            </w:r>
            <w:r w:rsidRPr="007D7B3F">
              <w:t>[2018] FCA 1538</w:t>
            </w:r>
          </w:p>
          <w:p w14:paraId="52B27F3F" w14:textId="77777777" w:rsidR="007D7B3F" w:rsidRPr="007D7B3F" w:rsidRDefault="007D7B3F" w:rsidP="007D7B3F">
            <w:pPr>
              <w:pStyle w:val="CasesLegislationAppealFrom"/>
              <w:spacing w:after="60"/>
            </w:pPr>
            <w:r w:rsidRPr="007D7B3F">
              <w:rPr>
                <w:i/>
                <w:iCs/>
              </w:rPr>
              <w:t>FCA US LLC v Mahindra Automotive Australia Pty Ltd</w:t>
            </w:r>
            <w:r w:rsidRPr="007D7B3F">
              <w:t xml:space="preserve"> [2021] FCA 1091</w:t>
            </w:r>
          </w:p>
          <w:p w14:paraId="375193D0" w14:textId="44263771" w:rsidR="007D7B3F" w:rsidRPr="007D7B3F" w:rsidRDefault="007D7B3F" w:rsidP="007D7B3F">
            <w:pPr>
              <w:pStyle w:val="CasesLegislationAppealFrom"/>
              <w:spacing w:after="60"/>
            </w:pPr>
            <w:r w:rsidRPr="007D7B3F">
              <w:rPr>
                <w:i/>
                <w:iCs/>
              </w:rPr>
              <w:t>In the matter of ACN 004 410 833 Ltd (formerly Arrium Limited) (in liq)</w:t>
            </w:r>
            <w:r w:rsidRPr="007D7B3F">
              <w:t xml:space="preserve"> [2023] NSWSC 461</w:t>
            </w:r>
          </w:p>
          <w:p w14:paraId="580F813A" w14:textId="49292887" w:rsidR="007D7B3F" w:rsidRPr="007D7B3F" w:rsidRDefault="007D7B3F" w:rsidP="007D7B3F">
            <w:pPr>
              <w:pStyle w:val="CasesLegislationAppealFrom"/>
              <w:spacing w:after="60"/>
            </w:pPr>
            <w:r w:rsidRPr="007D7B3F">
              <w:rPr>
                <w:i/>
                <w:iCs/>
              </w:rPr>
              <w:t>Mentha v Australian Securities and Investments Commission</w:t>
            </w:r>
            <w:r w:rsidRPr="007D7B3F">
              <w:t xml:space="preserve"> [2023] FCA 667</w:t>
            </w:r>
          </w:p>
          <w:p w14:paraId="5DA31251" w14:textId="3BC8778C" w:rsidR="007D7B3F" w:rsidRPr="007D7B3F" w:rsidRDefault="007D7B3F" w:rsidP="007D7B3F">
            <w:pPr>
              <w:pStyle w:val="CasesLegislationAppealFrom"/>
              <w:spacing w:after="60"/>
            </w:pPr>
            <w:r w:rsidRPr="007D7B3F">
              <w:rPr>
                <w:i/>
                <w:iCs/>
              </w:rPr>
              <w:t>Re Minister for Immigration and Ethnic Affairs of the Commonwealth of Australia; ex parte Lai Qin</w:t>
            </w:r>
            <w:r w:rsidRPr="007D7B3F">
              <w:t xml:space="preserve"> (1997) 186 CLR 622; [1997] HCA 6</w:t>
            </w:r>
            <w:bookmarkEnd w:id="4"/>
          </w:p>
        </w:tc>
      </w:tr>
      <w:tr w:rsidR="00B50438" w14:paraId="0B1CEA72" w14:textId="77777777" w:rsidTr="003763EA">
        <w:tc>
          <w:tcPr>
            <w:tcW w:w="3083" w:type="dxa"/>
            <w:shd w:val="clear" w:color="auto" w:fill="auto"/>
          </w:tcPr>
          <w:p w14:paraId="6F1275CB" w14:textId="77777777" w:rsidR="00B50438" w:rsidRDefault="00B50438" w:rsidP="002F7154">
            <w:pPr>
              <w:pStyle w:val="Normal1linespace"/>
              <w:widowControl w:val="0"/>
            </w:pPr>
          </w:p>
        </w:tc>
        <w:tc>
          <w:tcPr>
            <w:tcW w:w="5989" w:type="dxa"/>
            <w:shd w:val="clear" w:color="auto" w:fill="auto"/>
          </w:tcPr>
          <w:p w14:paraId="323DE23C" w14:textId="77777777" w:rsidR="00B50438" w:rsidRDefault="00B50438" w:rsidP="002F7154">
            <w:pPr>
              <w:pStyle w:val="Normal1linespace"/>
              <w:widowControl w:val="0"/>
              <w:jc w:val="left"/>
            </w:pPr>
          </w:p>
        </w:tc>
      </w:tr>
      <w:tr w:rsidR="00B50438" w14:paraId="3B403865" w14:textId="77777777" w:rsidTr="003763EA">
        <w:tc>
          <w:tcPr>
            <w:tcW w:w="3083" w:type="dxa"/>
            <w:shd w:val="clear" w:color="auto" w:fill="auto"/>
          </w:tcPr>
          <w:p w14:paraId="6F5AD84D" w14:textId="77777777" w:rsidR="00B50438" w:rsidRDefault="00B50438" w:rsidP="00501A12">
            <w:pPr>
              <w:pStyle w:val="Normal1linespace"/>
              <w:widowControl w:val="0"/>
            </w:pPr>
            <w:r>
              <w:t>Division:</w:t>
            </w:r>
          </w:p>
        </w:tc>
        <w:tc>
          <w:tcPr>
            <w:tcW w:w="5989" w:type="dxa"/>
            <w:shd w:val="clear" w:color="auto" w:fill="auto"/>
          </w:tcPr>
          <w:p w14:paraId="0B28E75B" w14:textId="6D3A54AA" w:rsidR="00B50438" w:rsidRPr="00F17599" w:rsidRDefault="00362CA2" w:rsidP="00501A12">
            <w:pPr>
              <w:pStyle w:val="Normal1linespace"/>
              <w:widowControl w:val="0"/>
              <w:jc w:val="left"/>
            </w:pPr>
            <w:fldSimple w:instr=" DOCPROPERTY  Division ">
              <w:r w:rsidR="00B50438">
                <w:t>General Division</w:t>
              </w:r>
            </w:fldSimple>
          </w:p>
        </w:tc>
      </w:tr>
      <w:tr w:rsidR="00B50438" w14:paraId="0F2E528B" w14:textId="77777777" w:rsidTr="003763EA">
        <w:tc>
          <w:tcPr>
            <w:tcW w:w="3083" w:type="dxa"/>
            <w:shd w:val="clear" w:color="auto" w:fill="auto"/>
          </w:tcPr>
          <w:p w14:paraId="29C04639" w14:textId="77777777" w:rsidR="00B50438" w:rsidRDefault="00B50438" w:rsidP="00501A12">
            <w:pPr>
              <w:pStyle w:val="Normal1linespace"/>
              <w:widowControl w:val="0"/>
            </w:pPr>
            <w:bookmarkStart w:id="5" w:name="Registry_rows" w:colFirst="0" w:colLast="1"/>
          </w:p>
        </w:tc>
        <w:tc>
          <w:tcPr>
            <w:tcW w:w="5989" w:type="dxa"/>
            <w:shd w:val="clear" w:color="auto" w:fill="auto"/>
          </w:tcPr>
          <w:p w14:paraId="5052AFC7" w14:textId="77777777" w:rsidR="00B50438" w:rsidRDefault="00B50438" w:rsidP="00501A12">
            <w:pPr>
              <w:pStyle w:val="Normal1linespace"/>
              <w:widowControl w:val="0"/>
              <w:jc w:val="left"/>
            </w:pPr>
          </w:p>
        </w:tc>
      </w:tr>
      <w:tr w:rsidR="00B50438" w14:paraId="3AA22BC8" w14:textId="77777777" w:rsidTr="003763EA">
        <w:tc>
          <w:tcPr>
            <w:tcW w:w="3083" w:type="dxa"/>
            <w:shd w:val="clear" w:color="auto" w:fill="auto"/>
          </w:tcPr>
          <w:p w14:paraId="7F214B86" w14:textId="77777777" w:rsidR="00B50438" w:rsidRDefault="00B50438" w:rsidP="00501A12">
            <w:pPr>
              <w:pStyle w:val="Normal1linespace"/>
              <w:widowControl w:val="0"/>
            </w:pPr>
            <w:r>
              <w:t>Registry:</w:t>
            </w:r>
          </w:p>
        </w:tc>
        <w:tc>
          <w:tcPr>
            <w:tcW w:w="5989" w:type="dxa"/>
            <w:shd w:val="clear" w:color="auto" w:fill="auto"/>
          </w:tcPr>
          <w:p w14:paraId="3B5B5A40" w14:textId="2CFD1799" w:rsidR="00B50438" w:rsidRPr="00F17599" w:rsidRDefault="00362CA2" w:rsidP="00501A12">
            <w:pPr>
              <w:pStyle w:val="Normal1linespace"/>
              <w:widowControl w:val="0"/>
              <w:jc w:val="left"/>
            </w:pPr>
            <w:fldSimple w:instr=" DOCPROPERTY  Registry ">
              <w:r w:rsidR="00B50438">
                <w:t>Victoria</w:t>
              </w:r>
            </w:fldSimple>
          </w:p>
        </w:tc>
      </w:tr>
      <w:tr w:rsidR="00B50438" w14:paraId="52CAD462" w14:textId="77777777" w:rsidTr="003763EA">
        <w:tc>
          <w:tcPr>
            <w:tcW w:w="3083" w:type="dxa"/>
            <w:shd w:val="clear" w:color="auto" w:fill="auto"/>
          </w:tcPr>
          <w:p w14:paraId="3023806F" w14:textId="77777777" w:rsidR="00B50438" w:rsidRDefault="00B50438" w:rsidP="00501A12">
            <w:pPr>
              <w:pStyle w:val="Normal1linespace"/>
              <w:widowControl w:val="0"/>
            </w:pPr>
            <w:bookmarkStart w:id="6" w:name="NPARow" w:colFirst="0" w:colLast="1"/>
            <w:bookmarkEnd w:id="5"/>
          </w:p>
        </w:tc>
        <w:tc>
          <w:tcPr>
            <w:tcW w:w="5989" w:type="dxa"/>
            <w:shd w:val="clear" w:color="auto" w:fill="auto"/>
          </w:tcPr>
          <w:p w14:paraId="5D02E2FC" w14:textId="77777777" w:rsidR="00B50438" w:rsidRPr="00F17599" w:rsidRDefault="00B50438" w:rsidP="00501A12">
            <w:pPr>
              <w:pStyle w:val="Normal1linespace"/>
              <w:widowControl w:val="0"/>
              <w:jc w:val="left"/>
              <w:rPr>
                <w:b/>
              </w:rPr>
            </w:pPr>
          </w:p>
        </w:tc>
      </w:tr>
      <w:tr w:rsidR="00B50438" w14:paraId="1A5E6702" w14:textId="77777777" w:rsidTr="003763EA">
        <w:tc>
          <w:tcPr>
            <w:tcW w:w="3083" w:type="dxa"/>
            <w:shd w:val="clear" w:color="auto" w:fill="auto"/>
          </w:tcPr>
          <w:p w14:paraId="4A429096" w14:textId="77777777" w:rsidR="00B50438" w:rsidRDefault="00B50438" w:rsidP="00501A12">
            <w:pPr>
              <w:pStyle w:val="Normal1linespace"/>
              <w:widowControl w:val="0"/>
            </w:pPr>
            <w:r>
              <w:t>National Practice Area:</w:t>
            </w:r>
          </w:p>
        </w:tc>
        <w:tc>
          <w:tcPr>
            <w:tcW w:w="5989" w:type="dxa"/>
            <w:shd w:val="clear" w:color="auto" w:fill="auto"/>
          </w:tcPr>
          <w:p w14:paraId="76B1B44A" w14:textId="1ADCEBFB" w:rsidR="00B50438" w:rsidRPr="00F17599" w:rsidRDefault="00362CA2" w:rsidP="00171DBB">
            <w:pPr>
              <w:pStyle w:val="Normal1linespace"/>
              <w:widowControl w:val="0"/>
              <w:jc w:val="left"/>
              <w:rPr>
                <w:b/>
              </w:rPr>
            </w:pPr>
            <w:fldSimple w:instr=" DOCPROPERTY  &quot;Practice Area&quot;  \* MERGEFORMAT ">
              <w:r w:rsidR="00B50438">
                <w:t>Commercial and Corporations</w:t>
              </w:r>
            </w:fldSimple>
          </w:p>
        </w:tc>
      </w:tr>
      <w:tr w:rsidR="00B50438" w14:paraId="1FB34695" w14:textId="77777777" w:rsidTr="003763EA">
        <w:tc>
          <w:tcPr>
            <w:tcW w:w="3083" w:type="dxa"/>
            <w:shd w:val="clear" w:color="auto" w:fill="auto"/>
          </w:tcPr>
          <w:p w14:paraId="32A26F66" w14:textId="77777777" w:rsidR="00B50438" w:rsidRDefault="00B50438" w:rsidP="00501A12">
            <w:pPr>
              <w:pStyle w:val="Normal1linespace"/>
              <w:widowControl w:val="0"/>
            </w:pPr>
            <w:bookmarkStart w:id="7" w:name="SubAreaRow" w:colFirst="0" w:colLast="1"/>
            <w:bookmarkEnd w:id="6"/>
          </w:p>
        </w:tc>
        <w:tc>
          <w:tcPr>
            <w:tcW w:w="5989" w:type="dxa"/>
            <w:shd w:val="clear" w:color="auto" w:fill="auto"/>
          </w:tcPr>
          <w:p w14:paraId="1C987453" w14:textId="77777777" w:rsidR="00B50438" w:rsidRDefault="00B50438" w:rsidP="00171DBB">
            <w:pPr>
              <w:pStyle w:val="Normal1linespace"/>
              <w:widowControl w:val="0"/>
              <w:jc w:val="left"/>
            </w:pPr>
          </w:p>
        </w:tc>
      </w:tr>
      <w:tr w:rsidR="00B50438" w14:paraId="6C2A06E7" w14:textId="77777777" w:rsidTr="003763EA">
        <w:tc>
          <w:tcPr>
            <w:tcW w:w="3083" w:type="dxa"/>
            <w:shd w:val="clear" w:color="auto" w:fill="auto"/>
          </w:tcPr>
          <w:p w14:paraId="3BA77EF9" w14:textId="77777777" w:rsidR="00B50438" w:rsidRDefault="00B50438" w:rsidP="00501A12">
            <w:pPr>
              <w:pStyle w:val="Normal1linespace"/>
              <w:widowControl w:val="0"/>
            </w:pPr>
            <w:r>
              <w:t>Sub-area:</w:t>
            </w:r>
          </w:p>
        </w:tc>
        <w:tc>
          <w:tcPr>
            <w:tcW w:w="5989" w:type="dxa"/>
            <w:shd w:val="clear" w:color="auto" w:fill="auto"/>
          </w:tcPr>
          <w:p w14:paraId="23BEDCD1" w14:textId="7B37ECF1" w:rsidR="00B50438" w:rsidRPr="00837288" w:rsidRDefault="00362CA2" w:rsidP="00435936">
            <w:pPr>
              <w:pStyle w:val="Normal1linespace"/>
              <w:widowControl w:val="0"/>
              <w:jc w:val="left"/>
            </w:pPr>
            <w:fldSimple w:instr=" DOCPROPERTY  &quot;Sub Area&quot;  \* MERGEFORMAT ">
              <w:r w:rsidR="00B50438" w:rsidRPr="00B50438">
                <w:rPr>
                  <w:lang w:val="en-US"/>
                </w:rPr>
                <w:t>Corporations and Corporate</w:t>
              </w:r>
              <w:r w:rsidR="00B50438">
                <w:t xml:space="preserve"> Insolvency</w:t>
              </w:r>
            </w:fldSimple>
          </w:p>
        </w:tc>
      </w:tr>
      <w:bookmarkEnd w:id="7"/>
      <w:tr w:rsidR="00B50438" w14:paraId="12230E87" w14:textId="77777777" w:rsidTr="003763EA">
        <w:tc>
          <w:tcPr>
            <w:tcW w:w="3083" w:type="dxa"/>
            <w:shd w:val="clear" w:color="auto" w:fill="auto"/>
          </w:tcPr>
          <w:p w14:paraId="10ED8310" w14:textId="77777777" w:rsidR="00B50438" w:rsidRDefault="00B50438" w:rsidP="00501A12">
            <w:pPr>
              <w:pStyle w:val="Normal1linespace"/>
              <w:widowControl w:val="0"/>
            </w:pPr>
          </w:p>
        </w:tc>
        <w:tc>
          <w:tcPr>
            <w:tcW w:w="5989" w:type="dxa"/>
            <w:shd w:val="clear" w:color="auto" w:fill="auto"/>
          </w:tcPr>
          <w:p w14:paraId="02C9C8A5" w14:textId="77777777" w:rsidR="00B50438" w:rsidRDefault="00B50438" w:rsidP="00501A12">
            <w:pPr>
              <w:pStyle w:val="Normal1linespace"/>
              <w:widowControl w:val="0"/>
              <w:jc w:val="left"/>
            </w:pPr>
          </w:p>
        </w:tc>
      </w:tr>
      <w:tr w:rsidR="00B50438" w14:paraId="18CEE456" w14:textId="77777777" w:rsidTr="003763EA">
        <w:tc>
          <w:tcPr>
            <w:tcW w:w="3083" w:type="dxa"/>
            <w:shd w:val="clear" w:color="auto" w:fill="auto"/>
          </w:tcPr>
          <w:p w14:paraId="65F10771" w14:textId="77777777" w:rsidR="00B50438" w:rsidRDefault="00B50438" w:rsidP="00501A12">
            <w:pPr>
              <w:pStyle w:val="Normal1linespace"/>
              <w:widowControl w:val="0"/>
            </w:pPr>
            <w:r>
              <w:lastRenderedPageBreak/>
              <w:t>Number of paragraphs:</w:t>
            </w:r>
          </w:p>
        </w:tc>
        <w:tc>
          <w:tcPr>
            <w:tcW w:w="5989" w:type="dxa"/>
            <w:shd w:val="clear" w:color="auto" w:fill="auto"/>
          </w:tcPr>
          <w:p w14:paraId="6AB765F2" w14:textId="078D757E" w:rsidR="00B50438" w:rsidRDefault="000247AB" w:rsidP="00501A12">
            <w:pPr>
              <w:pStyle w:val="Normal1linespace"/>
              <w:widowControl w:val="0"/>
              <w:jc w:val="left"/>
            </w:pPr>
            <w:bookmarkStart w:id="8" w:name="PlaceCategoryParagraphs"/>
            <w:r w:rsidRPr="00E723DA">
              <w:t>50</w:t>
            </w:r>
            <w:bookmarkEnd w:id="8"/>
          </w:p>
        </w:tc>
      </w:tr>
      <w:tr w:rsidR="00B50438" w14:paraId="3FBB61EF" w14:textId="77777777" w:rsidTr="003763EA">
        <w:tc>
          <w:tcPr>
            <w:tcW w:w="3083" w:type="dxa"/>
            <w:shd w:val="clear" w:color="auto" w:fill="auto"/>
          </w:tcPr>
          <w:p w14:paraId="1FD21082" w14:textId="77777777" w:rsidR="00B50438" w:rsidRDefault="00B50438" w:rsidP="00B50438">
            <w:pPr>
              <w:pStyle w:val="Normal1linespace"/>
              <w:widowControl w:val="0"/>
              <w:jc w:val="left"/>
            </w:pPr>
          </w:p>
        </w:tc>
        <w:tc>
          <w:tcPr>
            <w:tcW w:w="5989" w:type="dxa"/>
            <w:shd w:val="clear" w:color="auto" w:fill="auto"/>
          </w:tcPr>
          <w:p w14:paraId="58D00778" w14:textId="77777777" w:rsidR="00B50438" w:rsidRDefault="00B50438" w:rsidP="00B50438">
            <w:pPr>
              <w:pStyle w:val="Normal1linespace"/>
              <w:widowControl w:val="0"/>
              <w:jc w:val="left"/>
            </w:pPr>
          </w:p>
        </w:tc>
      </w:tr>
      <w:tr w:rsidR="00B50438" w14:paraId="69A019D2" w14:textId="77777777" w:rsidTr="003763EA">
        <w:tc>
          <w:tcPr>
            <w:tcW w:w="3083" w:type="dxa"/>
            <w:shd w:val="clear" w:color="auto" w:fill="auto"/>
          </w:tcPr>
          <w:p w14:paraId="12A8D16A" w14:textId="77777777" w:rsidR="00B50438" w:rsidRDefault="00B50438" w:rsidP="00B50438">
            <w:pPr>
              <w:pStyle w:val="Normal1linespace"/>
              <w:widowControl w:val="0"/>
              <w:jc w:val="left"/>
            </w:pPr>
            <w:r>
              <w:t>Date of last submission/s:</w:t>
            </w:r>
          </w:p>
        </w:tc>
        <w:tc>
          <w:tcPr>
            <w:tcW w:w="5989" w:type="dxa"/>
            <w:shd w:val="clear" w:color="auto" w:fill="auto"/>
          </w:tcPr>
          <w:p w14:paraId="71767CD6" w14:textId="7D795E85" w:rsidR="00B50438" w:rsidRDefault="002F0560" w:rsidP="00B50438">
            <w:pPr>
              <w:pStyle w:val="Normal1linespace"/>
              <w:widowControl w:val="0"/>
              <w:jc w:val="left"/>
            </w:pPr>
            <w:r>
              <w:t>27 March 2024</w:t>
            </w:r>
          </w:p>
        </w:tc>
      </w:tr>
      <w:tr w:rsidR="00B50438" w14:paraId="4EC3A62D" w14:textId="77777777" w:rsidTr="003763EA">
        <w:tc>
          <w:tcPr>
            <w:tcW w:w="3083" w:type="dxa"/>
            <w:shd w:val="clear" w:color="auto" w:fill="auto"/>
          </w:tcPr>
          <w:p w14:paraId="3E0B85B3" w14:textId="77777777" w:rsidR="00B50438" w:rsidRDefault="00B50438" w:rsidP="00B50438">
            <w:pPr>
              <w:pStyle w:val="Normal1linespace"/>
              <w:widowControl w:val="0"/>
              <w:jc w:val="left"/>
            </w:pPr>
          </w:p>
        </w:tc>
        <w:tc>
          <w:tcPr>
            <w:tcW w:w="5989" w:type="dxa"/>
            <w:shd w:val="clear" w:color="auto" w:fill="auto"/>
          </w:tcPr>
          <w:p w14:paraId="5B14F9E5" w14:textId="77777777" w:rsidR="00B50438" w:rsidRDefault="00B50438" w:rsidP="00B50438">
            <w:pPr>
              <w:pStyle w:val="Normal1linespace"/>
              <w:widowControl w:val="0"/>
              <w:jc w:val="left"/>
            </w:pPr>
          </w:p>
        </w:tc>
      </w:tr>
      <w:tr w:rsidR="00B50438" w14:paraId="0A0F4C63" w14:textId="77777777" w:rsidTr="003763EA">
        <w:tc>
          <w:tcPr>
            <w:tcW w:w="3083" w:type="dxa"/>
            <w:shd w:val="clear" w:color="auto" w:fill="auto"/>
          </w:tcPr>
          <w:p w14:paraId="42CAD9F9" w14:textId="77777777" w:rsidR="00B50438" w:rsidRDefault="00B50438" w:rsidP="00B50438">
            <w:pPr>
              <w:pStyle w:val="Normal1linespace"/>
              <w:widowControl w:val="0"/>
              <w:jc w:val="left"/>
            </w:pPr>
            <w:bookmarkStart w:id="9" w:name="CounselDate" w:colFirst="0" w:colLast="2"/>
            <w:r w:rsidRPr="006A24E3">
              <w:t>Date of hearing:</w:t>
            </w:r>
          </w:p>
        </w:tc>
        <w:tc>
          <w:tcPr>
            <w:tcW w:w="5989" w:type="dxa"/>
            <w:shd w:val="clear" w:color="auto" w:fill="auto"/>
          </w:tcPr>
          <w:p w14:paraId="7B190630" w14:textId="21503C1D" w:rsidR="00B50438" w:rsidRDefault="00B110D9" w:rsidP="00B50438">
            <w:pPr>
              <w:pStyle w:val="Normal1linespace"/>
              <w:widowControl w:val="0"/>
              <w:jc w:val="left"/>
            </w:pPr>
            <w:r>
              <w:t>Determined on the papers</w:t>
            </w:r>
          </w:p>
        </w:tc>
      </w:tr>
      <w:tr w:rsidR="00B50438" w14:paraId="1C4E897A" w14:textId="77777777" w:rsidTr="003763EA">
        <w:tc>
          <w:tcPr>
            <w:tcW w:w="3083" w:type="dxa"/>
            <w:shd w:val="clear" w:color="auto" w:fill="auto"/>
          </w:tcPr>
          <w:p w14:paraId="07F229A4" w14:textId="77777777" w:rsidR="00B50438" w:rsidRDefault="00B50438" w:rsidP="00B50438">
            <w:pPr>
              <w:pStyle w:val="Normal1linespace"/>
              <w:widowControl w:val="0"/>
              <w:jc w:val="left"/>
            </w:pPr>
          </w:p>
        </w:tc>
        <w:tc>
          <w:tcPr>
            <w:tcW w:w="5989" w:type="dxa"/>
            <w:shd w:val="clear" w:color="auto" w:fill="auto"/>
          </w:tcPr>
          <w:p w14:paraId="70342A7A" w14:textId="77777777" w:rsidR="00B50438" w:rsidRDefault="00B50438" w:rsidP="00B50438">
            <w:pPr>
              <w:pStyle w:val="Normal1linespace"/>
              <w:widowControl w:val="0"/>
              <w:jc w:val="left"/>
            </w:pPr>
          </w:p>
        </w:tc>
      </w:tr>
      <w:tr w:rsidR="00E8125A" w14:paraId="422A05E7" w14:textId="77777777" w:rsidTr="003763EA">
        <w:tc>
          <w:tcPr>
            <w:tcW w:w="3083" w:type="dxa"/>
            <w:shd w:val="clear" w:color="auto" w:fill="auto"/>
          </w:tcPr>
          <w:p w14:paraId="384A16CE" w14:textId="20EA4D60" w:rsidR="00E8125A" w:rsidRDefault="00E8125A" w:rsidP="00E8125A">
            <w:pPr>
              <w:pStyle w:val="Normal1linespace"/>
              <w:widowControl w:val="0"/>
              <w:jc w:val="left"/>
            </w:pPr>
            <w:bookmarkStart w:id="10" w:name="Counsel" w:colFirst="0" w:colLast="2"/>
            <w:bookmarkEnd w:id="9"/>
            <w:r>
              <w:t>Counsel for the Applicants:</w:t>
            </w:r>
          </w:p>
        </w:tc>
        <w:tc>
          <w:tcPr>
            <w:tcW w:w="5989" w:type="dxa"/>
            <w:shd w:val="clear" w:color="auto" w:fill="auto"/>
          </w:tcPr>
          <w:p w14:paraId="0D599EB4" w14:textId="21283889" w:rsidR="00E8125A" w:rsidRDefault="00E8125A" w:rsidP="00E8125A">
            <w:pPr>
              <w:pStyle w:val="Normal1linespace"/>
              <w:widowControl w:val="0"/>
              <w:jc w:val="left"/>
            </w:pPr>
            <w:bookmarkStart w:id="11" w:name="AppCounsel"/>
            <w:bookmarkEnd w:id="11"/>
            <w:r>
              <w:t>V Whittaker SC with A Di Stefano</w:t>
            </w:r>
          </w:p>
        </w:tc>
      </w:tr>
      <w:tr w:rsidR="00E8125A" w14:paraId="000AF0C8" w14:textId="77777777" w:rsidTr="003763EA">
        <w:tc>
          <w:tcPr>
            <w:tcW w:w="3083" w:type="dxa"/>
            <w:shd w:val="clear" w:color="auto" w:fill="auto"/>
          </w:tcPr>
          <w:p w14:paraId="3E6DEBE6" w14:textId="77777777" w:rsidR="00E8125A" w:rsidRDefault="00E8125A" w:rsidP="00E8125A">
            <w:pPr>
              <w:pStyle w:val="Normal1linespace"/>
              <w:widowControl w:val="0"/>
              <w:jc w:val="left"/>
            </w:pPr>
          </w:p>
        </w:tc>
        <w:tc>
          <w:tcPr>
            <w:tcW w:w="5989" w:type="dxa"/>
            <w:shd w:val="clear" w:color="auto" w:fill="auto"/>
          </w:tcPr>
          <w:p w14:paraId="19FFA934" w14:textId="77777777" w:rsidR="00E8125A" w:rsidRDefault="00E8125A" w:rsidP="00E8125A">
            <w:pPr>
              <w:pStyle w:val="Normal1linespace"/>
              <w:widowControl w:val="0"/>
              <w:jc w:val="left"/>
            </w:pPr>
          </w:p>
        </w:tc>
      </w:tr>
      <w:tr w:rsidR="00E8125A" w14:paraId="53E06B54" w14:textId="77777777" w:rsidTr="003763EA">
        <w:tc>
          <w:tcPr>
            <w:tcW w:w="3083" w:type="dxa"/>
            <w:shd w:val="clear" w:color="auto" w:fill="auto"/>
          </w:tcPr>
          <w:p w14:paraId="74DB3E5E" w14:textId="638246BC" w:rsidR="00E8125A" w:rsidRDefault="00E8125A" w:rsidP="00E8125A">
            <w:pPr>
              <w:pStyle w:val="Normal1linespace"/>
              <w:widowControl w:val="0"/>
              <w:jc w:val="left"/>
            </w:pPr>
            <w:r>
              <w:t>Solicitor for the Applicants:</w:t>
            </w:r>
          </w:p>
        </w:tc>
        <w:tc>
          <w:tcPr>
            <w:tcW w:w="5989" w:type="dxa"/>
            <w:shd w:val="clear" w:color="auto" w:fill="auto"/>
          </w:tcPr>
          <w:p w14:paraId="19F48008" w14:textId="17E0969B" w:rsidR="00E8125A" w:rsidRDefault="00E8125A" w:rsidP="00E8125A">
            <w:pPr>
              <w:pStyle w:val="Normal1linespace"/>
              <w:widowControl w:val="0"/>
              <w:jc w:val="left"/>
            </w:pPr>
            <w:r>
              <w:t>Arnold Bloch Leibler</w:t>
            </w:r>
          </w:p>
        </w:tc>
      </w:tr>
      <w:tr w:rsidR="00E8125A" w14:paraId="37FB6672" w14:textId="77777777" w:rsidTr="003763EA">
        <w:tc>
          <w:tcPr>
            <w:tcW w:w="3083" w:type="dxa"/>
            <w:shd w:val="clear" w:color="auto" w:fill="auto"/>
          </w:tcPr>
          <w:p w14:paraId="7243F58E" w14:textId="77777777" w:rsidR="00E8125A" w:rsidRDefault="00E8125A" w:rsidP="00E8125A">
            <w:pPr>
              <w:pStyle w:val="Normal1linespace"/>
              <w:widowControl w:val="0"/>
              <w:jc w:val="left"/>
            </w:pPr>
          </w:p>
        </w:tc>
        <w:tc>
          <w:tcPr>
            <w:tcW w:w="5989" w:type="dxa"/>
            <w:shd w:val="clear" w:color="auto" w:fill="auto"/>
          </w:tcPr>
          <w:p w14:paraId="34303203" w14:textId="77777777" w:rsidR="00E8125A" w:rsidRDefault="00E8125A" w:rsidP="00E8125A">
            <w:pPr>
              <w:pStyle w:val="Normal1linespace"/>
              <w:widowControl w:val="0"/>
              <w:jc w:val="left"/>
            </w:pPr>
          </w:p>
        </w:tc>
      </w:tr>
      <w:tr w:rsidR="00E8125A" w14:paraId="686257EC" w14:textId="77777777" w:rsidTr="003763EA">
        <w:tc>
          <w:tcPr>
            <w:tcW w:w="3083" w:type="dxa"/>
            <w:shd w:val="clear" w:color="auto" w:fill="auto"/>
          </w:tcPr>
          <w:p w14:paraId="3B9591A4" w14:textId="1FD3E3A9" w:rsidR="00E8125A" w:rsidRDefault="00E8125A" w:rsidP="00E8125A">
            <w:pPr>
              <w:pStyle w:val="Normal1linespace"/>
              <w:widowControl w:val="0"/>
              <w:jc w:val="left"/>
            </w:pPr>
            <w:r>
              <w:t>Counsel for the First Respondent:</w:t>
            </w:r>
          </w:p>
        </w:tc>
        <w:tc>
          <w:tcPr>
            <w:tcW w:w="5989" w:type="dxa"/>
            <w:shd w:val="clear" w:color="auto" w:fill="auto"/>
          </w:tcPr>
          <w:p w14:paraId="740113D2" w14:textId="3FDA2B13" w:rsidR="00E8125A" w:rsidRDefault="00E8125A" w:rsidP="00E8125A">
            <w:pPr>
              <w:pStyle w:val="Normal1linespace"/>
              <w:widowControl w:val="0"/>
              <w:jc w:val="left"/>
            </w:pPr>
            <w:r>
              <w:t>R Knowles KC with A Carruthers</w:t>
            </w:r>
          </w:p>
        </w:tc>
      </w:tr>
      <w:tr w:rsidR="00E8125A" w14:paraId="0B742BD2" w14:textId="77777777" w:rsidTr="003763EA">
        <w:tc>
          <w:tcPr>
            <w:tcW w:w="3083" w:type="dxa"/>
            <w:shd w:val="clear" w:color="auto" w:fill="auto"/>
          </w:tcPr>
          <w:p w14:paraId="211C2DD8" w14:textId="77777777" w:rsidR="00E8125A" w:rsidRDefault="00E8125A" w:rsidP="00E8125A">
            <w:pPr>
              <w:pStyle w:val="Normal1linespace"/>
              <w:widowControl w:val="0"/>
              <w:jc w:val="left"/>
            </w:pPr>
          </w:p>
        </w:tc>
        <w:tc>
          <w:tcPr>
            <w:tcW w:w="5989" w:type="dxa"/>
            <w:shd w:val="clear" w:color="auto" w:fill="auto"/>
          </w:tcPr>
          <w:p w14:paraId="511771C3" w14:textId="77777777" w:rsidR="00E8125A" w:rsidRDefault="00E8125A" w:rsidP="00E8125A">
            <w:pPr>
              <w:pStyle w:val="Normal1linespace"/>
              <w:widowControl w:val="0"/>
              <w:jc w:val="left"/>
            </w:pPr>
          </w:p>
        </w:tc>
      </w:tr>
      <w:tr w:rsidR="00E8125A" w14:paraId="498DE03B" w14:textId="77777777" w:rsidTr="003763EA">
        <w:tc>
          <w:tcPr>
            <w:tcW w:w="3083" w:type="dxa"/>
            <w:shd w:val="clear" w:color="auto" w:fill="auto"/>
          </w:tcPr>
          <w:p w14:paraId="22E68ADA" w14:textId="62E015B1" w:rsidR="00E8125A" w:rsidRDefault="00E8125A" w:rsidP="00E8125A">
            <w:pPr>
              <w:pStyle w:val="Normal1linespace"/>
              <w:widowControl w:val="0"/>
              <w:jc w:val="left"/>
            </w:pPr>
            <w:r>
              <w:t>Solicitor for the First Respondent:</w:t>
            </w:r>
          </w:p>
        </w:tc>
        <w:tc>
          <w:tcPr>
            <w:tcW w:w="5989" w:type="dxa"/>
            <w:shd w:val="clear" w:color="auto" w:fill="auto"/>
          </w:tcPr>
          <w:p w14:paraId="01698E89" w14:textId="49AD1FEF" w:rsidR="00E8125A" w:rsidRDefault="00E8125A" w:rsidP="00E8125A">
            <w:pPr>
              <w:pStyle w:val="Normal1linespace"/>
              <w:widowControl w:val="0"/>
              <w:jc w:val="left"/>
            </w:pPr>
            <w:r>
              <w:t>Australian Securities and Investments Commission</w:t>
            </w:r>
          </w:p>
        </w:tc>
      </w:tr>
      <w:tr w:rsidR="00E8125A" w14:paraId="4601E958" w14:textId="77777777" w:rsidTr="003763EA">
        <w:tc>
          <w:tcPr>
            <w:tcW w:w="3083" w:type="dxa"/>
            <w:shd w:val="clear" w:color="auto" w:fill="auto"/>
          </w:tcPr>
          <w:p w14:paraId="5BA324A4" w14:textId="77777777" w:rsidR="00E8125A" w:rsidRDefault="00E8125A" w:rsidP="00E8125A">
            <w:pPr>
              <w:pStyle w:val="Normal1linespace"/>
              <w:widowControl w:val="0"/>
              <w:jc w:val="left"/>
            </w:pPr>
          </w:p>
        </w:tc>
        <w:tc>
          <w:tcPr>
            <w:tcW w:w="5989" w:type="dxa"/>
            <w:shd w:val="clear" w:color="auto" w:fill="auto"/>
          </w:tcPr>
          <w:p w14:paraId="1CC17DC0" w14:textId="77777777" w:rsidR="00E8125A" w:rsidRDefault="00E8125A" w:rsidP="00E8125A">
            <w:pPr>
              <w:pStyle w:val="Normal1linespace"/>
              <w:widowControl w:val="0"/>
              <w:jc w:val="left"/>
            </w:pPr>
          </w:p>
        </w:tc>
      </w:tr>
      <w:tr w:rsidR="00E8125A" w14:paraId="6A9BD0CF" w14:textId="77777777" w:rsidTr="003763EA">
        <w:tc>
          <w:tcPr>
            <w:tcW w:w="3083" w:type="dxa"/>
            <w:shd w:val="clear" w:color="auto" w:fill="auto"/>
          </w:tcPr>
          <w:p w14:paraId="1413BA00" w14:textId="76A68E94" w:rsidR="00E8125A" w:rsidRDefault="00E8125A" w:rsidP="009533A3">
            <w:pPr>
              <w:pStyle w:val="Normal1linespace"/>
              <w:keepNext/>
              <w:widowControl w:val="0"/>
              <w:jc w:val="left"/>
            </w:pPr>
            <w:r>
              <w:t>Counsel for the Second Respondent:</w:t>
            </w:r>
          </w:p>
        </w:tc>
        <w:tc>
          <w:tcPr>
            <w:tcW w:w="5989" w:type="dxa"/>
            <w:shd w:val="clear" w:color="auto" w:fill="auto"/>
          </w:tcPr>
          <w:p w14:paraId="53D3421A" w14:textId="5DE51579" w:rsidR="00E8125A" w:rsidRDefault="00E8125A" w:rsidP="009533A3">
            <w:pPr>
              <w:pStyle w:val="Normal1linespace"/>
              <w:keepNext/>
              <w:widowControl w:val="0"/>
              <w:jc w:val="left"/>
            </w:pPr>
            <w:r>
              <w:t>D J Williams KC</w:t>
            </w:r>
          </w:p>
        </w:tc>
      </w:tr>
      <w:tr w:rsidR="00E8125A" w14:paraId="178B28D3" w14:textId="77777777" w:rsidTr="003763EA">
        <w:tc>
          <w:tcPr>
            <w:tcW w:w="3083" w:type="dxa"/>
            <w:shd w:val="clear" w:color="auto" w:fill="auto"/>
          </w:tcPr>
          <w:p w14:paraId="1FED73F9" w14:textId="77777777" w:rsidR="00E8125A" w:rsidRDefault="00E8125A" w:rsidP="00E8125A">
            <w:pPr>
              <w:pStyle w:val="Normal1linespace"/>
              <w:widowControl w:val="0"/>
              <w:jc w:val="left"/>
            </w:pPr>
          </w:p>
        </w:tc>
        <w:tc>
          <w:tcPr>
            <w:tcW w:w="5989" w:type="dxa"/>
            <w:shd w:val="clear" w:color="auto" w:fill="auto"/>
          </w:tcPr>
          <w:p w14:paraId="7386DAF7" w14:textId="77777777" w:rsidR="00E8125A" w:rsidRDefault="00E8125A" w:rsidP="00E8125A">
            <w:pPr>
              <w:pStyle w:val="Normal1linespace"/>
              <w:widowControl w:val="0"/>
              <w:jc w:val="left"/>
            </w:pPr>
          </w:p>
        </w:tc>
      </w:tr>
      <w:tr w:rsidR="00E8125A" w14:paraId="3E62AAA4" w14:textId="77777777" w:rsidTr="003763EA">
        <w:tc>
          <w:tcPr>
            <w:tcW w:w="3083" w:type="dxa"/>
            <w:shd w:val="clear" w:color="auto" w:fill="auto"/>
          </w:tcPr>
          <w:p w14:paraId="74DA2DC8" w14:textId="6A3921A1" w:rsidR="00E8125A" w:rsidRDefault="00E8125A" w:rsidP="00E8125A">
            <w:pPr>
              <w:pStyle w:val="Normal1linespace"/>
              <w:widowControl w:val="0"/>
              <w:jc w:val="left"/>
            </w:pPr>
            <w:r>
              <w:t>Solicitor for the Second Respondent:</w:t>
            </w:r>
          </w:p>
        </w:tc>
        <w:tc>
          <w:tcPr>
            <w:tcW w:w="5989" w:type="dxa"/>
            <w:shd w:val="clear" w:color="auto" w:fill="auto"/>
          </w:tcPr>
          <w:p w14:paraId="711B463E" w14:textId="2CCC0557" w:rsidR="00E8125A" w:rsidRDefault="00E8125A" w:rsidP="00E8125A">
            <w:pPr>
              <w:pStyle w:val="Normal1linespace"/>
              <w:widowControl w:val="0"/>
              <w:jc w:val="left"/>
            </w:pPr>
            <w:r>
              <w:t>Polczynski Robinson</w:t>
            </w:r>
          </w:p>
        </w:tc>
      </w:tr>
      <w:bookmarkEnd w:id="10"/>
    </w:tbl>
    <w:p w14:paraId="344E8B7A" w14:textId="77777777" w:rsidR="007470BD" w:rsidRDefault="007470BD">
      <w:pPr>
        <w:pStyle w:val="Normal1linespace"/>
      </w:pPr>
    </w:p>
    <w:p w14:paraId="44499D1D" w14:textId="77777777" w:rsidR="00E94CBF" w:rsidRDefault="00E94CBF">
      <w:pPr>
        <w:pStyle w:val="Normal1linespace"/>
      </w:pPr>
    </w:p>
    <w:p w14:paraId="571D3A8D"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175C04F9"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9E18CE9" w14:textId="77777777" w:rsidTr="00E81DA6">
        <w:tc>
          <w:tcPr>
            <w:tcW w:w="6912" w:type="dxa"/>
            <w:gridSpan w:val="2"/>
          </w:tcPr>
          <w:p w14:paraId="40377E74" w14:textId="77777777" w:rsidR="00A46CCC" w:rsidRPr="001765E0" w:rsidRDefault="00A46CCC" w:rsidP="00525A49">
            <w:pPr>
              <w:pStyle w:val="NormalHeadings"/>
            </w:pPr>
          </w:p>
        </w:tc>
        <w:tc>
          <w:tcPr>
            <w:tcW w:w="2330" w:type="dxa"/>
          </w:tcPr>
          <w:p w14:paraId="552C2703" w14:textId="72DBFB92" w:rsidR="00A46CCC" w:rsidRDefault="00B50438" w:rsidP="00F92355">
            <w:pPr>
              <w:pStyle w:val="NormalHeadings"/>
              <w:jc w:val="right"/>
            </w:pPr>
            <w:bookmarkStart w:id="12" w:name="FileNo"/>
            <w:r>
              <w:t>VID 200 of 2023</w:t>
            </w:r>
            <w:bookmarkEnd w:id="12"/>
          </w:p>
        </w:tc>
      </w:tr>
      <w:tr w:rsidR="00A76C13" w14:paraId="5AFC3E20" w14:textId="77777777" w:rsidTr="00F461A4">
        <w:tc>
          <w:tcPr>
            <w:tcW w:w="9242" w:type="dxa"/>
            <w:gridSpan w:val="3"/>
          </w:tcPr>
          <w:p w14:paraId="7CE792EB" w14:textId="00933E59" w:rsidR="00A76C13" w:rsidRPr="00A76C13" w:rsidRDefault="00B50438" w:rsidP="00B50438">
            <w:pPr>
              <w:pStyle w:val="NormalHeadings"/>
              <w:jc w:val="left"/>
            </w:pPr>
            <w:bookmarkStart w:id="13" w:name="InTheMatterOf"/>
            <w:r>
              <w:t xml:space="preserve"> </w:t>
            </w:r>
            <w:bookmarkEnd w:id="13"/>
          </w:p>
        </w:tc>
      </w:tr>
      <w:tr w:rsidR="00A46CCC" w14:paraId="770E5C08" w14:textId="77777777" w:rsidTr="005041F0">
        <w:trPr>
          <w:trHeight w:val="386"/>
        </w:trPr>
        <w:tc>
          <w:tcPr>
            <w:tcW w:w="2376" w:type="dxa"/>
          </w:tcPr>
          <w:p w14:paraId="19E83C1A"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3E92D738" w14:textId="77777777" w:rsidR="00B50438" w:rsidRDefault="00B50438" w:rsidP="00B50438">
            <w:pPr>
              <w:pStyle w:val="NormalHeadings"/>
              <w:jc w:val="left"/>
            </w:pPr>
            <w:bookmarkStart w:id="15" w:name="Applicant"/>
            <w:r>
              <w:t>MARK FRANCIS XAVIER MENTHA</w:t>
            </w:r>
          </w:p>
          <w:p w14:paraId="09A6AD0A" w14:textId="77777777" w:rsidR="00B50438" w:rsidRDefault="00B50438" w:rsidP="00B50438">
            <w:pPr>
              <w:pStyle w:val="PartyType"/>
            </w:pPr>
            <w:r>
              <w:t>First Applicant</w:t>
            </w:r>
          </w:p>
          <w:p w14:paraId="3D6596BC" w14:textId="77777777" w:rsidR="00B50438" w:rsidRDefault="00B50438" w:rsidP="005041F0">
            <w:pPr>
              <w:pStyle w:val="NormalHeadings"/>
              <w:jc w:val="left"/>
              <w:rPr>
                <w:szCs w:val="24"/>
              </w:rPr>
            </w:pPr>
          </w:p>
          <w:p w14:paraId="2E60E442" w14:textId="77777777" w:rsidR="00B50438" w:rsidRDefault="00B50438" w:rsidP="00B50438">
            <w:pPr>
              <w:pStyle w:val="NormalHeadings"/>
              <w:jc w:val="left"/>
            </w:pPr>
            <w:r>
              <w:t>MARTIN MADDEN</w:t>
            </w:r>
          </w:p>
          <w:p w14:paraId="6037585B" w14:textId="77777777" w:rsidR="00B50438" w:rsidRDefault="00B50438" w:rsidP="00B50438">
            <w:pPr>
              <w:pStyle w:val="PartyType"/>
            </w:pPr>
            <w:r>
              <w:t>Second Applicant</w:t>
            </w:r>
          </w:p>
          <w:p w14:paraId="74209083" w14:textId="77777777" w:rsidR="00B50438" w:rsidRDefault="00B50438" w:rsidP="005041F0">
            <w:pPr>
              <w:pStyle w:val="NormalHeadings"/>
              <w:jc w:val="left"/>
              <w:rPr>
                <w:szCs w:val="24"/>
              </w:rPr>
            </w:pPr>
          </w:p>
          <w:p w14:paraId="769BC12E" w14:textId="77777777" w:rsidR="00B50438" w:rsidRDefault="00B50438" w:rsidP="00B50438">
            <w:pPr>
              <w:pStyle w:val="NormalHeadings"/>
              <w:jc w:val="left"/>
            </w:pPr>
            <w:r>
              <w:t>BRYAN WEBSTER</w:t>
            </w:r>
          </w:p>
          <w:p w14:paraId="7ECA8534" w14:textId="77777777" w:rsidR="00B50438" w:rsidRDefault="00B50438" w:rsidP="00B50438">
            <w:pPr>
              <w:pStyle w:val="PartyType"/>
            </w:pPr>
            <w:r>
              <w:t>Third Applicant</w:t>
            </w:r>
          </w:p>
          <w:bookmarkEnd w:id="15"/>
          <w:p w14:paraId="7D566930" w14:textId="504EEC42" w:rsidR="00A46CCC" w:rsidRPr="006555B4" w:rsidRDefault="00A46CCC" w:rsidP="005041F0">
            <w:pPr>
              <w:pStyle w:val="NormalHeadings"/>
              <w:jc w:val="left"/>
            </w:pPr>
          </w:p>
        </w:tc>
      </w:tr>
      <w:tr w:rsidR="00A46CCC" w14:paraId="5210E53D" w14:textId="77777777" w:rsidTr="005041F0">
        <w:trPr>
          <w:trHeight w:val="386"/>
        </w:trPr>
        <w:tc>
          <w:tcPr>
            <w:tcW w:w="2376" w:type="dxa"/>
          </w:tcPr>
          <w:p w14:paraId="7CED9A03" w14:textId="77777777" w:rsidR="00A46CCC" w:rsidRDefault="00A46CCC" w:rsidP="005041F0">
            <w:pPr>
              <w:pStyle w:val="NormalHeadings"/>
              <w:jc w:val="left"/>
              <w:rPr>
                <w:caps/>
                <w:szCs w:val="24"/>
              </w:rPr>
            </w:pPr>
            <w:r>
              <w:rPr>
                <w:caps/>
                <w:szCs w:val="24"/>
              </w:rPr>
              <w:t>AND:</w:t>
            </w:r>
          </w:p>
        </w:tc>
        <w:tc>
          <w:tcPr>
            <w:tcW w:w="6866" w:type="dxa"/>
            <w:gridSpan w:val="2"/>
          </w:tcPr>
          <w:p w14:paraId="27E5433F" w14:textId="77777777" w:rsidR="00B50438" w:rsidRDefault="00B50438" w:rsidP="00B50438">
            <w:pPr>
              <w:pStyle w:val="NormalHeadings"/>
              <w:jc w:val="left"/>
            </w:pPr>
            <w:bookmarkStart w:id="16" w:name="Respondent"/>
            <w:r>
              <w:t>AUSTRALIAN SECURITIES AND INVESTMENTS COMMISSION</w:t>
            </w:r>
          </w:p>
          <w:p w14:paraId="50A291AD" w14:textId="77777777" w:rsidR="00B50438" w:rsidRDefault="00B50438" w:rsidP="00B50438">
            <w:pPr>
              <w:pStyle w:val="PartyType"/>
            </w:pPr>
            <w:r>
              <w:t>First Respondent</w:t>
            </w:r>
          </w:p>
          <w:p w14:paraId="3FBEDCAD" w14:textId="77777777" w:rsidR="00B50438" w:rsidRDefault="00B50438" w:rsidP="005041F0">
            <w:pPr>
              <w:pStyle w:val="NormalHeadings"/>
              <w:jc w:val="left"/>
              <w:rPr>
                <w:szCs w:val="24"/>
              </w:rPr>
            </w:pPr>
          </w:p>
          <w:p w14:paraId="51ABA9D6" w14:textId="77777777" w:rsidR="00B50438" w:rsidRDefault="00B50438" w:rsidP="00B50438">
            <w:pPr>
              <w:pStyle w:val="NormalHeadings"/>
              <w:jc w:val="left"/>
            </w:pPr>
            <w:r>
              <w:t>ATRADIUS CREDITO Y CAUCION SA SEGUROS Y REASEGUROS</w:t>
            </w:r>
          </w:p>
          <w:p w14:paraId="16C3C2BC" w14:textId="77777777" w:rsidR="00B50438" w:rsidRDefault="00B50438" w:rsidP="00B50438">
            <w:pPr>
              <w:pStyle w:val="PartyType"/>
            </w:pPr>
            <w:r>
              <w:t>Second Respondent</w:t>
            </w:r>
          </w:p>
          <w:bookmarkEnd w:id="16"/>
          <w:p w14:paraId="423A4FB7" w14:textId="419F4917" w:rsidR="00A46CCC" w:rsidRPr="006555B4" w:rsidRDefault="00A46CCC" w:rsidP="005041F0">
            <w:pPr>
              <w:pStyle w:val="NormalHeadings"/>
              <w:jc w:val="left"/>
            </w:pPr>
          </w:p>
        </w:tc>
      </w:tr>
    </w:tbl>
    <w:p w14:paraId="6D37331E"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76141B4" w14:textId="77777777">
        <w:tc>
          <w:tcPr>
            <w:tcW w:w="2376" w:type="dxa"/>
          </w:tcPr>
          <w:p w14:paraId="79B0FD8E"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15FC33F0" w14:textId="7BBF7F47" w:rsidR="00395B24" w:rsidRDefault="00B50438">
            <w:pPr>
              <w:pStyle w:val="NormalHeadings"/>
              <w:jc w:val="left"/>
              <w:rPr>
                <w:caps/>
                <w:szCs w:val="24"/>
              </w:rPr>
            </w:pPr>
            <w:bookmarkStart w:id="19" w:name="Judge"/>
            <w:r>
              <w:rPr>
                <w:caps/>
                <w:szCs w:val="24"/>
              </w:rPr>
              <w:t>BUTTON J</w:t>
            </w:r>
            <w:bookmarkEnd w:id="19"/>
          </w:p>
        </w:tc>
      </w:tr>
      <w:tr w:rsidR="00395B24" w14:paraId="12C90F51" w14:textId="77777777">
        <w:tc>
          <w:tcPr>
            <w:tcW w:w="2376" w:type="dxa"/>
          </w:tcPr>
          <w:p w14:paraId="39223CC1" w14:textId="77777777" w:rsidR="00395B24" w:rsidRDefault="002C7385">
            <w:pPr>
              <w:pStyle w:val="NormalHeadings"/>
              <w:spacing w:after="120"/>
              <w:jc w:val="left"/>
              <w:rPr>
                <w:caps/>
                <w:szCs w:val="24"/>
              </w:rPr>
            </w:pPr>
            <w:r>
              <w:rPr>
                <w:caps/>
                <w:szCs w:val="24"/>
              </w:rPr>
              <w:t>DATE OF ORDER:</w:t>
            </w:r>
          </w:p>
        </w:tc>
        <w:tc>
          <w:tcPr>
            <w:tcW w:w="6866" w:type="dxa"/>
          </w:tcPr>
          <w:p w14:paraId="718191F3" w14:textId="30455CDC" w:rsidR="00395B24" w:rsidRDefault="001C5D28">
            <w:pPr>
              <w:pStyle w:val="NormalHeadings"/>
              <w:jc w:val="left"/>
              <w:rPr>
                <w:caps/>
                <w:szCs w:val="24"/>
              </w:rPr>
            </w:pPr>
            <w:bookmarkStart w:id="20" w:name="Judgment_Dated"/>
            <w:r>
              <w:rPr>
                <w:caps/>
                <w:szCs w:val="24"/>
              </w:rPr>
              <w:t>16</w:t>
            </w:r>
            <w:r w:rsidR="00B50438">
              <w:rPr>
                <w:caps/>
                <w:szCs w:val="24"/>
              </w:rPr>
              <w:t xml:space="preserve"> APRIL 2024</w:t>
            </w:r>
            <w:bookmarkEnd w:id="20"/>
          </w:p>
        </w:tc>
      </w:tr>
    </w:tbl>
    <w:p w14:paraId="465D499A" w14:textId="77777777" w:rsidR="00395B24" w:rsidRDefault="00395B24">
      <w:pPr>
        <w:pStyle w:val="NormalHeadings"/>
        <w:rPr>
          <w:b w:val="0"/>
        </w:rPr>
      </w:pPr>
    </w:p>
    <w:p w14:paraId="03DD751C" w14:textId="77777777" w:rsidR="008D1617" w:rsidRDefault="008D1617">
      <w:pPr>
        <w:pStyle w:val="NormalHeadings"/>
        <w:rPr>
          <w:b w:val="0"/>
        </w:rPr>
      </w:pPr>
    </w:p>
    <w:p w14:paraId="61E276AE" w14:textId="77777777" w:rsidR="00395B24" w:rsidRDefault="002C7385">
      <w:pPr>
        <w:pStyle w:val="NormalHeadings"/>
      </w:pPr>
      <w:r>
        <w:t>THE COURT ORDERS THAT:</w:t>
      </w:r>
    </w:p>
    <w:p w14:paraId="47EFE44D" w14:textId="77777777" w:rsidR="007F60DF" w:rsidRDefault="007F60DF" w:rsidP="00243E5E">
      <w:pPr>
        <w:pStyle w:val="NormalHeadings"/>
      </w:pPr>
    </w:p>
    <w:p w14:paraId="591637CF" w14:textId="164169A7" w:rsidR="001A6C52" w:rsidRDefault="00600937" w:rsidP="001A6C52">
      <w:pPr>
        <w:pStyle w:val="Order1"/>
      </w:pPr>
      <w:r>
        <w:t>The Ap</w:t>
      </w:r>
      <w:r w:rsidRPr="009465DF">
        <w:t xml:space="preserve">plicants’ application for costs </w:t>
      </w:r>
      <w:r w:rsidR="0003590F" w:rsidRPr="009465DF">
        <w:t>be</w:t>
      </w:r>
      <w:r w:rsidR="0003590F">
        <w:t xml:space="preserve"> dismissed. </w:t>
      </w:r>
    </w:p>
    <w:p w14:paraId="59481227" w14:textId="77777777" w:rsidR="00403C82" w:rsidRDefault="0058131E" w:rsidP="001A6C52">
      <w:pPr>
        <w:pStyle w:val="Order1"/>
      </w:pPr>
      <w:r>
        <w:t>Subject to</w:t>
      </w:r>
      <w:r w:rsidR="00403C82">
        <w:t>:</w:t>
      </w:r>
    </w:p>
    <w:p w14:paraId="7B14F7C6" w14:textId="37D13010" w:rsidR="008C39AE" w:rsidRDefault="004D7386" w:rsidP="00403C82">
      <w:pPr>
        <w:pStyle w:val="Order2"/>
      </w:pPr>
      <w:r>
        <w:t xml:space="preserve">paragraph 2 </w:t>
      </w:r>
      <w:r w:rsidR="00102B24">
        <w:t>of the order</w:t>
      </w:r>
      <w:r w:rsidR="00004134">
        <w:t>s</w:t>
      </w:r>
      <w:r w:rsidR="00102B24">
        <w:t xml:space="preserve"> made on 20 June 2023</w:t>
      </w:r>
      <w:r w:rsidR="008C39AE">
        <w:t>;</w:t>
      </w:r>
      <w:r w:rsidR="009F7E7F">
        <w:t xml:space="preserve"> </w:t>
      </w:r>
      <w:r w:rsidR="003B5945">
        <w:t>and</w:t>
      </w:r>
    </w:p>
    <w:p w14:paraId="0C11C6F9" w14:textId="17AD55CD" w:rsidR="002178E3" w:rsidRDefault="002445E7" w:rsidP="00403C82">
      <w:pPr>
        <w:pStyle w:val="Order2"/>
      </w:pPr>
      <w:r>
        <w:t>paragraph 3 of these orders,</w:t>
      </w:r>
    </w:p>
    <w:p w14:paraId="59B0E971" w14:textId="5B158900" w:rsidR="0029620A" w:rsidRDefault="002445E7" w:rsidP="002445E7">
      <w:pPr>
        <w:pStyle w:val="Order2"/>
        <w:numPr>
          <w:ilvl w:val="0"/>
          <w:numId w:val="0"/>
        </w:numPr>
        <w:ind w:left="720"/>
      </w:pPr>
      <w:r>
        <w:t>each party bear its own costs of the proceeding.</w:t>
      </w:r>
    </w:p>
    <w:p w14:paraId="62A3237E" w14:textId="6315E98A" w:rsidR="00F80EB4" w:rsidRDefault="00884922" w:rsidP="001A6C52">
      <w:pPr>
        <w:pStyle w:val="Order1"/>
      </w:pPr>
      <w:r>
        <w:t xml:space="preserve">The Applicants </w:t>
      </w:r>
      <w:r w:rsidR="005B3617">
        <w:t xml:space="preserve">pay </w:t>
      </w:r>
      <w:r w:rsidR="0023209B">
        <w:t>the</w:t>
      </w:r>
      <w:r w:rsidR="005B3617">
        <w:t xml:space="preserve"> Resp</w:t>
      </w:r>
      <w:r w:rsidR="005B3617" w:rsidRPr="001C5B48">
        <w:t>ondents’ costs of and incidental to the Applicants’ application for costs</w:t>
      </w:r>
      <w:r w:rsidR="00835B58" w:rsidRPr="001C5B48">
        <w:t>, to be taxed if not agreed</w:t>
      </w:r>
      <w:r w:rsidR="005B3617" w:rsidRPr="001C5B48">
        <w:t>.</w:t>
      </w:r>
      <w:r w:rsidR="005B3617">
        <w:t xml:space="preserve"> </w:t>
      </w:r>
    </w:p>
    <w:p w14:paraId="4467F83C" w14:textId="77777777" w:rsidR="001A6C52" w:rsidRDefault="001A6C52" w:rsidP="001A6C52">
      <w:pPr>
        <w:pStyle w:val="BodyText"/>
      </w:pPr>
    </w:p>
    <w:p w14:paraId="63AAEF2F" w14:textId="77777777" w:rsidR="00A431E6" w:rsidRDefault="00A431E6" w:rsidP="001A6C52">
      <w:pPr>
        <w:pStyle w:val="BodyText"/>
      </w:pPr>
    </w:p>
    <w:p w14:paraId="2FA6D2AA" w14:textId="52826660" w:rsidR="0050309C" w:rsidRDefault="00B50438"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2DEC8F83" w14:textId="77777777" w:rsidR="00E23577" w:rsidRDefault="00E23577" w:rsidP="002B0E91">
      <w:pPr>
        <w:pStyle w:val="BodyText"/>
      </w:pPr>
    </w:p>
    <w:p w14:paraId="674A6091"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2B677B8F"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3BFBF178" w14:textId="7B1239B8" w:rsidR="00694BEB" w:rsidRDefault="00E8125A" w:rsidP="005E0510">
      <w:pPr>
        <w:pStyle w:val="NormalHeadings"/>
        <w:spacing w:line="360" w:lineRule="auto"/>
        <w:jc w:val="left"/>
        <w:rPr>
          <w:sz w:val="26"/>
          <w:szCs w:val="26"/>
        </w:rPr>
      </w:pPr>
      <w:r>
        <w:rPr>
          <w:sz w:val="26"/>
          <w:szCs w:val="26"/>
        </w:rPr>
        <w:t>BUTTON J:</w:t>
      </w:r>
    </w:p>
    <w:p w14:paraId="62859A6C" w14:textId="7E2D8CEE" w:rsidR="00C1631B" w:rsidRDefault="00B74958" w:rsidP="0092008F">
      <w:pPr>
        <w:pStyle w:val="Heading1"/>
      </w:pPr>
      <w:r>
        <w:t>Background</w:t>
      </w:r>
    </w:p>
    <w:p w14:paraId="098152E2" w14:textId="7AD60272" w:rsidR="00407EAB" w:rsidRDefault="001C384A" w:rsidP="00B74958">
      <w:pPr>
        <w:pStyle w:val="ParaNumbering"/>
      </w:pPr>
      <w:r>
        <w:t>In early April 2023</w:t>
      </w:r>
      <w:r w:rsidR="00066EC0">
        <w:t xml:space="preserve">, the </w:t>
      </w:r>
      <w:r w:rsidR="006E5722">
        <w:t>A</w:t>
      </w:r>
      <w:r w:rsidR="00066EC0">
        <w:t>pplicants (</w:t>
      </w:r>
      <w:r w:rsidR="00066EC0">
        <w:rPr>
          <w:b/>
          <w:bCs/>
        </w:rPr>
        <w:t>Liquidators</w:t>
      </w:r>
      <w:r w:rsidR="00066EC0">
        <w:t xml:space="preserve">) </w:t>
      </w:r>
      <w:r w:rsidR="00862650">
        <w:t xml:space="preserve">commenced this proceeding seeking </w:t>
      </w:r>
      <w:r w:rsidR="00F438E5">
        <w:t xml:space="preserve">judicial </w:t>
      </w:r>
      <w:r w:rsidR="00862650">
        <w:t xml:space="preserve">review of a decision by the </w:t>
      </w:r>
      <w:r w:rsidR="006E5722">
        <w:t>F</w:t>
      </w:r>
      <w:r w:rsidR="00862650">
        <w:t xml:space="preserve">irst </w:t>
      </w:r>
      <w:r w:rsidR="00662B5D">
        <w:t>R</w:t>
      </w:r>
      <w:r w:rsidR="00862650">
        <w:t>espondent</w:t>
      </w:r>
      <w:r w:rsidR="00B84C8F">
        <w:t xml:space="preserve"> (</w:t>
      </w:r>
      <w:r w:rsidR="00B84C8F">
        <w:rPr>
          <w:b/>
          <w:bCs/>
        </w:rPr>
        <w:t>ASIC</w:t>
      </w:r>
      <w:r w:rsidR="00B84C8F">
        <w:t xml:space="preserve">) </w:t>
      </w:r>
      <w:r w:rsidR="00F54288">
        <w:t xml:space="preserve">to authorise </w:t>
      </w:r>
      <w:r w:rsidR="00144D70">
        <w:t xml:space="preserve">the </w:t>
      </w:r>
      <w:r w:rsidR="006E5722">
        <w:t>S</w:t>
      </w:r>
      <w:r w:rsidR="00144D70">
        <w:t xml:space="preserve">econd </w:t>
      </w:r>
      <w:r w:rsidR="00662B5D">
        <w:t>R</w:t>
      </w:r>
      <w:r w:rsidR="00144D70">
        <w:t>espondent (</w:t>
      </w:r>
      <w:r w:rsidR="00144D70">
        <w:rPr>
          <w:b/>
          <w:bCs/>
        </w:rPr>
        <w:t>Atradius</w:t>
      </w:r>
      <w:r w:rsidR="00144D70">
        <w:t xml:space="preserve">) </w:t>
      </w:r>
      <w:r w:rsidR="0020504C">
        <w:t xml:space="preserve">as an eligible applicant for the purposes of Div 1 of Pt 5.9 of the </w:t>
      </w:r>
      <w:r w:rsidR="0020504C" w:rsidRPr="007D7B3F">
        <w:rPr>
          <w:i/>
          <w:iCs/>
        </w:rPr>
        <w:t>Corporation</w:t>
      </w:r>
      <w:r w:rsidR="007D7B3F">
        <w:rPr>
          <w:i/>
          <w:iCs/>
        </w:rPr>
        <w:t>s</w:t>
      </w:r>
      <w:r w:rsidR="0020504C" w:rsidRPr="007D7B3F">
        <w:rPr>
          <w:i/>
          <w:iCs/>
        </w:rPr>
        <w:t xml:space="preserve"> Act 2001 </w:t>
      </w:r>
      <w:r w:rsidR="0020504C" w:rsidRPr="007D7B3F">
        <w:t>(Cth)</w:t>
      </w:r>
      <w:r w:rsidR="00640E7B">
        <w:t xml:space="preserve"> (</w:t>
      </w:r>
      <w:r w:rsidR="00C92517">
        <w:t>the </w:t>
      </w:r>
      <w:r w:rsidR="00640E7B">
        <w:rPr>
          <w:b/>
          <w:bCs/>
        </w:rPr>
        <w:t>Act</w:t>
      </w:r>
      <w:r w:rsidR="00640E7B">
        <w:t>)</w:t>
      </w:r>
      <w:r w:rsidR="00A33EA1">
        <w:t xml:space="preserve"> in relation to </w:t>
      </w:r>
      <w:r w:rsidR="006376B3">
        <w:t>A</w:t>
      </w:r>
      <w:r w:rsidR="004C3C14">
        <w:t xml:space="preserve">C Distribution Company </w:t>
      </w:r>
      <w:r w:rsidR="00FE2CC1">
        <w:t xml:space="preserve">Pty Limited </w:t>
      </w:r>
      <w:r w:rsidR="00206950">
        <w:t>(formally known as</w:t>
      </w:r>
      <w:r w:rsidR="00EC3808">
        <w:t xml:space="preserve">, </w:t>
      </w:r>
      <w:r w:rsidR="00EC3808" w:rsidRPr="00EC3808">
        <w:t>inter alia</w:t>
      </w:r>
      <w:r w:rsidR="00EC3808">
        <w:t>,</w:t>
      </w:r>
      <w:r w:rsidR="00206950">
        <w:t xml:space="preserve"> the</w:t>
      </w:r>
      <w:r w:rsidR="00FF2582">
        <w:t xml:space="preserve"> Arrium Creditor Distribution Company Pty Limited</w:t>
      </w:r>
      <w:r w:rsidR="00206950">
        <w:t xml:space="preserve"> </w:t>
      </w:r>
      <w:r w:rsidR="00FE2CC1">
        <w:t>and SSX Pty Limited</w:t>
      </w:r>
      <w:r w:rsidR="00FF2582">
        <w:t>)</w:t>
      </w:r>
      <w:r w:rsidR="005361E1">
        <w:t xml:space="preserve"> (</w:t>
      </w:r>
      <w:r w:rsidR="005361E1" w:rsidRPr="00625C1B">
        <w:t xml:space="preserve">subject </w:t>
      </w:r>
      <w:r w:rsidR="00657B3E" w:rsidRPr="00625C1B">
        <w:t>to Deed of Company Arrangement</w:t>
      </w:r>
      <w:r w:rsidR="00386AC2">
        <w:t>) (ACN 082 181 726)</w:t>
      </w:r>
      <w:r w:rsidR="00413096">
        <w:t xml:space="preserve"> (the </w:t>
      </w:r>
      <w:r w:rsidR="00413096">
        <w:rPr>
          <w:b/>
          <w:bCs/>
        </w:rPr>
        <w:t>Authorisation Decision</w:t>
      </w:r>
      <w:r w:rsidR="00413096">
        <w:t>)</w:t>
      </w:r>
      <w:r w:rsidR="009A45E7">
        <w:t>.</w:t>
      </w:r>
      <w:r w:rsidR="00E35F68">
        <w:t xml:space="preserve"> </w:t>
      </w:r>
    </w:p>
    <w:p w14:paraId="73F4B2A3" w14:textId="16FD2BAD" w:rsidR="006E5722" w:rsidRDefault="00E35F68" w:rsidP="00B74958">
      <w:pPr>
        <w:pStyle w:val="ParaNumbering"/>
      </w:pPr>
      <w:r>
        <w:t>The Authorisation Decision was made on 7 June 2022.</w:t>
      </w:r>
      <w:r w:rsidR="00407EAB" w:rsidRPr="00407EAB">
        <w:t xml:space="preserve"> </w:t>
      </w:r>
      <w:r w:rsidR="00407EAB">
        <w:t xml:space="preserve">ASIC determined, on 14 August 2023, to revoke Atradius’ eligible applicant status (the </w:t>
      </w:r>
      <w:r w:rsidR="00407EAB" w:rsidRPr="00627C3B">
        <w:rPr>
          <w:b/>
          <w:bCs/>
        </w:rPr>
        <w:t>Revocation Decision</w:t>
      </w:r>
      <w:r w:rsidR="00407EAB">
        <w:t>).</w:t>
      </w:r>
    </w:p>
    <w:p w14:paraId="1BC1F526" w14:textId="77777777" w:rsidR="006E5722" w:rsidRDefault="006E5722" w:rsidP="00B74958">
      <w:pPr>
        <w:pStyle w:val="ParaNumbering"/>
      </w:pPr>
      <w:r>
        <w:t xml:space="preserve">On 12 September 2023, the Court made orders, by consent, dismissing the proceeding, while preserving the Liquidators’ ability to pursue an application for costs. </w:t>
      </w:r>
    </w:p>
    <w:p w14:paraId="50881228" w14:textId="40EBFEA7" w:rsidR="006E5722" w:rsidRDefault="006E5722" w:rsidP="00B74958">
      <w:pPr>
        <w:pStyle w:val="ParaNumbering"/>
      </w:pPr>
      <w:r>
        <w:t xml:space="preserve">While no formal application (in the sense of an interlocutory application) was filed by the Liquidators, on 3 October 2023, the Liquidators filed submissions seeking orders for their costs of the proceeding. The submissions were supported by an affidavit of the Liquidators’ solicitor. All parties proceeded on the basis that the Liquidators’ submissions and affidavit constituted their application for costs, in accordance with the orders made on 12 September 2023 (the </w:t>
      </w:r>
      <w:r>
        <w:rPr>
          <w:b/>
          <w:bCs/>
        </w:rPr>
        <w:t>costs application</w:t>
      </w:r>
      <w:r>
        <w:t>).</w:t>
      </w:r>
    </w:p>
    <w:p w14:paraId="4F9831E1" w14:textId="26B4D3A9" w:rsidR="00E35F68" w:rsidRDefault="006E5722" w:rsidP="00B74958">
      <w:pPr>
        <w:pStyle w:val="ParaNumbering"/>
      </w:pPr>
      <w:r>
        <w:t>By their costs application, the Liquidators sought their costs of the entire proceeding, with those costs on an indemnity basis from 4 May 2023.</w:t>
      </w:r>
      <w:r w:rsidR="00E35F68">
        <w:t xml:space="preserve"> Both ASIC and Atradius contended that each party should bear its own costs, but that the Liquidators’ should pay their costs of the costs application as </w:t>
      </w:r>
      <w:r w:rsidR="00E910E8">
        <w:t xml:space="preserve">the Liquidators had rejected ASIC and Atradius’ </w:t>
      </w:r>
      <w:r w:rsidR="00E35F68">
        <w:t xml:space="preserve">repeated </w:t>
      </w:r>
      <w:r w:rsidR="00E910E8">
        <w:t xml:space="preserve">offers </w:t>
      </w:r>
      <w:r w:rsidR="00E35F68">
        <w:t xml:space="preserve">to resolve the proceeding on the basis </w:t>
      </w:r>
      <w:r w:rsidR="00892898">
        <w:t>that</w:t>
      </w:r>
      <w:r w:rsidR="00E35F68">
        <w:t xml:space="preserve"> the parties bear their own costs</w:t>
      </w:r>
      <w:r w:rsidR="00E910E8">
        <w:t xml:space="preserve">. </w:t>
      </w:r>
    </w:p>
    <w:p w14:paraId="7EB0FCA3" w14:textId="35055883" w:rsidR="009D273C" w:rsidRDefault="00E35F68" w:rsidP="00B74958">
      <w:pPr>
        <w:pStyle w:val="ParaNumbering"/>
      </w:pPr>
      <w:r>
        <w:t>No party sought to disturb costs orders that were made in respect of a</w:t>
      </w:r>
      <w:r w:rsidR="00E910E8">
        <w:t>n</w:t>
      </w:r>
      <w:r>
        <w:t xml:space="preserve"> application brought by Atradius, seeking suppression orders over certain information in a bundle of documents produced by ASIC: see </w:t>
      </w:r>
      <w:r w:rsidRPr="007D7B3F">
        <w:rPr>
          <w:i/>
          <w:iCs/>
        </w:rPr>
        <w:t>Mentha v Australian Securities and Investments Commission</w:t>
      </w:r>
      <w:r w:rsidRPr="007D7B3F">
        <w:t xml:space="preserve"> [2023] FCA 667</w:t>
      </w:r>
      <w:r>
        <w:t xml:space="preserve"> (</w:t>
      </w:r>
      <w:r>
        <w:rPr>
          <w:b/>
          <w:bCs/>
          <w:i/>
          <w:iCs/>
        </w:rPr>
        <w:t>Mentha v ASIC</w:t>
      </w:r>
      <w:r>
        <w:t>).</w:t>
      </w:r>
    </w:p>
    <w:p w14:paraId="0E5B5483" w14:textId="5F1DC92A" w:rsidR="00707E80" w:rsidRDefault="008C200F" w:rsidP="00B74958">
      <w:pPr>
        <w:pStyle w:val="ParaNumbering"/>
      </w:pPr>
      <w:r>
        <w:t xml:space="preserve">Two costs orders were made in respect of </w:t>
      </w:r>
      <w:r w:rsidR="001E7096">
        <w:t>the suppression application</w:t>
      </w:r>
      <w:r w:rsidR="00AB6D80">
        <w:t>:</w:t>
      </w:r>
    </w:p>
    <w:p w14:paraId="55162D21" w14:textId="5F43D3CE" w:rsidR="00AB6D80" w:rsidRDefault="000F1A97" w:rsidP="00245611">
      <w:pPr>
        <w:pStyle w:val="ListNo1alt"/>
      </w:pPr>
      <w:r>
        <w:lastRenderedPageBreak/>
        <w:t>o</w:t>
      </w:r>
      <w:r w:rsidR="002F4CAD">
        <w:t xml:space="preserve">n 20 June 2023, I ordered that </w:t>
      </w:r>
      <w:r w:rsidR="00CA5FB5">
        <w:t xml:space="preserve">Atradius pay the Liquidators’ costs </w:t>
      </w:r>
      <w:r w:rsidR="00244CCA">
        <w:t xml:space="preserve">of the </w:t>
      </w:r>
      <w:r w:rsidR="00BA5DD2">
        <w:t>suppression application; and</w:t>
      </w:r>
    </w:p>
    <w:p w14:paraId="76DBA3D4" w14:textId="4371F1B1" w:rsidR="00BA5DD2" w:rsidRDefault="00573456" w:rsidP="00245611">
      <w:pPr>
        <w:pStyle w:val="ListNo1alt"/>
      </w:pPr>
      <w:r>
        <w:t xml:space="preserve">on </w:t>
      </w:r>
      <w:r w:rsidR="00206FF1">
        <w:t xml:space="preserve">11 July 2023, </w:t>
      </w:r>
      <w:r w:rsidR="00BD0BD1">
        <w:t xml:space="preserve">following </w:t>
      </w:r>
      <w:r w:rsidR="009B263C">
        <w:t xml:space="preserve">receipt of further submissions from the parties, I ordered that </w:t>
      </w:r>
      <w:r w:rsidR="00AC5659">
        <w:t xml:space="preserve">ASIC bear its own costs </w:t>
      </w:r>
      <w:r w:rsidR="005B7A39">
        <w:t xml:space="preserve">in relation to the suppression application. </w:t>
      </w:r>
    </w:p>
    <w:p w14:paraId="398EF985" w14:textId="478621D1" w:rsidR="00E35F68" w:rsidRDefault="00E35F68" w:rsidP="009E743C">
      <w:pPr>
        <w:pStyle w:val="ParaNumbering"/>
      </w:pPr>
      <w:r>
        <w:t>As noted, the Authorisation Decision was made on 7 June 2022. About two months later, on 1</w:t>
      </w:r>
      <w:r w:rsidR="00C80B30">
        <w:t> </w:t>
      </w:r>
      <w:r>
        <w:t xml:space="preserve">August 2022, Atradius commenced proceedings in the Supreme Court of New South Wales </w:t>
      </w:r>
      <w:r w:rsidR="00D411BB">
        <w:t xml:space="preserve">against persons including the Liquidators and </w:t>
      </w:r>
      <w:r w:rsidR="00C77224">
        <w:t>some 60 or so financiers of the Arrium</w:t>
      </w:r>
      <w:r w:rsidR="00F949EA">
        <w:t xml:space="preserve"> group of companies</w:t>
      </w:r>
      <w:r w:rsidR="00CB2712">
        <w:t xml:space="preserve"> (</w:t>
      </w:r>
      <w:r w:rsidR="00CB2712">
        <w:rPr>
          <w:b/>
          <w:bCs/>
        </w:rPr>
        <w:t>Arrium Group</w:t>
      </w:r>
      <w:r w:rsidR="00CB2712">
        <w:t>)</w:t>
      </w:r>
      <w:r>
        <w:t xml:space="preserve">. </w:t>
      </w:r>
    </w:p>
    <w:p w14:paraId="783A6C52" w14:textId="5EF3791A" w:rsidR="00E35F68" w:rsidRDefault="00E35F68" w:rsidP="00E35F68">
      <w:pPr>
        <w:pStyle w:val="ParaNumbering"/>
      </w:pPr>
      <w:r>
        <w:t>Over three days in early April 2023, Black J heard</w:t>
      </w:r>
      <w:r w:rsidR="008200F5">
        <w:t xml:space="preserve"> an</w:t>
      </w:r>
      <w:r>
        <w:t xml:space="preserve"> interlocutory </w:t>
      </w:r>
      <w:r w:rsidR="00B15403">
        <w:t xml:space="preserve">process </w:t>
      </w:r>
      <w:r w:rsidR="00FD3B92">
        <w:t>brought</w:t>
      </w:r>
      <w:r>
        <w:t xml:space="preserve"> </w:t>
      </w:r>
      <w:r w:rsidR="008E52AB">
        <w:t xml:space="preserve">by </w:t>
      </w:r>
      <w:r>
        <w:t>Atradius to extend</w:t>
      </w:r>
      <w:r w:rsidR="00DF3DDE">
        <w:t xml:space="preserve"> the</w:t>
      </w:r>
      <w:r>
        <w:t xml:space="preserve"> time </w:t>
      </w:r>
      <w:r w:rsidR="00DF3DDE">
        <w:t>for service of</w:t>
      </w:r>
      <w:r>
        <w:t xml:space="preserve"> </w:t>
      </w:r>
      <w:r w:rsidR="00AC4D79">
        <w:t xml:space="preserve">its </w:t>
      </w:r>
      <w:r w:rsidR="00DF3DDE">
        <w:t xml:space="preserve">originating process </w:t>
      </w:r>
      <w:r>
        <w:t>in the NSW proceedings, and an application by the Liquidators</w:t>
      </w:r>
      <w:r w:rsidR="0057278D">
        <w:t xml:space="preserve"> (and financiers)</w:t>
      </w:r>
      <w:r>
        <w:t xml:space="preserve"> seeking the summary dismissal of the NSW proceedings (or other relief). In a judgment running to 100 pages, Black J delivered judgment on those applications on 3 May 2023:</w:t>
      </w:r>
      <w:r w:rsidR="000104D2">
        <w:t xml:space="preserve"> </w:t>
      </w:r>
      <w:r w:rsidR="00430FA3" w:rsidRPr="007D7B3F">
        <w:rPr>
          <w:i/>
          <w:iCs/>
        </w:rPr>
        <w:t>In the matter of ACN 004 410 833 Ltd (formerly Arrium Limited) (in liq)</w:t>
      </w:r>
      <w:r w:rsidR="00430FA3" w:rsidRPr="007D7B3F">
        <w:t xml:space="preserve"> [2023] NSWSC 461</w:t>
      </w:r>
      <w:r w:rsidR="00430FA3">
        <w:t xml:space="preserve"> (the </w:t>
      </w:r>
      <w:r w:rsidR="00430FA3">
        <w:rPr>
          <w:b/>
          <w:bCs/>
        </w:rPr>
        <w:t>NSW Judgment</w:t>
      </w:r>
      <w:r w:rsidR="00430FA3">
        <w:t xml:space="preserve">). </w:t>
      </w:r>
      <w:r w:rsidR="00593C23">
        <w:t>The background t</w:t>
      </w:r>
      <w:r w:rsidR="00B92E0C">
        <w:t xml:space="preserve">o that </w:t>
      </w:r>
      <w:r w:rsidR="005F63A8">
        <w:t>proceeding</w:t>
      </w:r>
      <w:r w:rsidR="00B92E0C">
        <w:t xml:space="preserve"> is </w:t>
      </w:r>
      <w:r w:rsidR="00FE63FF">
        <w:t>summarised</w:t>
      </w:r>
      <w:r w:rsidR="00B92E0C">
        <w:t xml:space="preserve"> </w:t>
      </w:r>
      <w:r w:rsidR="009F3679">
        <w:t>at</w:t>
      </w:r>
      <w:r w:rsidR="00FE63FF">
        <w:t xml:space="preserve"> </w:t>
      </w:r>
      <w:r w:rsidR="00BD79BF">
        <w:t xml:space="preserve">[5]–[9] of </w:t>
      </w:r>
      <w:r w:rsidR="00920809">
        <w:rPr>
          <w:i/>
          <w:iCs/>
        </w:rPr>
        <w:t xml:space="preserve">Mentha </w:t>
      </w:r>
      <w:r w:rsidR="00474891">
        <w:rPr>
          <w:i/>
          <w:iCs/>
        </w:rPr>
        <w:t xml:space="preserve">v </w:t>
      </w:r>
      <w:r w:rsidR="009E743C">
        <w:rPr>
          <w:i/>
          <w:iCs/>
        </w:rPr>
        <w:t>ASIC</w:t>
      </w:r>
      <w:r w:rsidR="00474891">
        <w:t>.</w:t>
      </w:r>
      <w:r w:rsidR="006A7BD2">
        <w:t xml:space="preserve"> I need not repeat it here.</w:t>
      </w:r>
    </w:p>
    <w:p w14:paraId="1DBBD8C4" w14:textId="45DC71B5" w:rsidR="00C27554" w:rsidRDefault="00E35F68" w:rsidP="00E35F68">
      <w:pPr>
        <w:pStyle w:val="ParaNumbering"/>
      </w:pPr>
      <w:r>
        <w:t xml:space="preserve">The findings made by Black J included that Atradius was no longer a creditor of any Arrium Group entity. Black J did not, however, exclude that Atradius may be an “interested person” </w:t>
      </w:r>
      <w:r w:rsidR="00E910E8">
        <w:t xml:space="preserve">with standing to make an application under s 447A of the Act, </w:t>
      </w:r>
      <w:r w:rsidR="00C67020">
        <w:t>due to its economic interest as the credit insurer of several trade creditors of companies</w:t>
      </w:r>
      <w:r w:rsidR="00C03CD0">
        <w:t xml:space="preserve"> within the Arrium Group</w:t>
      </w:r>
      <w:r w:rsidR="00C67020">
        <w:t>.</w:t>
      </w:r>
      <w:r>
        <w:t xml:space="preserve">  </w:t>
      </w:r>
    </w:p>
    <w:p w14:paraId="48879912" w14:textId="250D003C" w:rsidR="00F53EB9" w:rsidRDefault="003D3D4E" w:rsidP="00B74958">
      <w:pPr>
        <w:pStyle w:val="ParaNumbering"/>
      </w:pPr>
      <w:r>
        <w:t>On 3 May 2023, f</w:t>
      </w:r>
      <w:r w:rsidR="001E62F7">
        <w:t xml:space="preserve">ollowing delivery of </w:t>
      </w:r>
      <w:r w:rsidR="00C81951">
        <w:t xml:space="preserve">the NSW Judgment, </w:t>
      </w:r>
      <w:r w:rsidR="0089770C">
        <w:t>the solicitors for the Liquidators (</w:t>
      </w:r>
      <w:r w:rsidR="0089770C">
        <w:rPr>
          <w:b/>
          <w:bCs/>
        </w:rPr>
        <w:t>ABL</w:t>
      </w:r>
      <w:r w:rsidR="0089770C">
        <w:t>)</w:t>
      </w:r>
      <w:r w:rsidR="00E774B7">
        <w:t xml:space="preserve"> </w:t>
      </w:r>
      <w:r w:rsidR="007E0261">
        <w:t xml:space="preserve">sent a copy of the judgment </w:t>
      </w:r>
      <w:r w:rsidR="00D14E15">
        <w:t>to ASIC</w:t>
      </w:r>
      <w:r w:rsidR="009952F2">
        <w:t xml:space="preserve"> and</w:t>
      </w:r>
      <w:r w:rsidR="00352BCF">
        <w:t xml:space="preserve"> referred ASIC </w:t>
      </w:r>
      <w:r w:rsidR="007C678E">
        <w:t>to certain findings</w:t>
      </w:r>
      <w:r w:rsidR="000F591B">
        <w:t>,</w:t>
      </w:r>
      <w:r w:rsidR="007C678E">
        <w:t xml:space="preserve"> including </w:t>
      </w:r>
      <w:r w:rsidR="00473122">
        <w:t xml:space="preserve">the </w:t>
      </w:r>
      <w:r w:rsidR="001262E4">
        <w:t xml:space="preserve">finding </w:t>
      </w:r>
      <w:r w:rsidR="00A96065">
        <w:t>(at</w:t>
      </w:r>
      <w:r w:rsidR="00CF3596">
        <w:t> </w:t>
      </w:r>
      <w:r w:rsidR="00A96065">
        <w:t>[19</w:t>
      </w:r>
      <w:r w:rsidR="00AB1E08">
        <w:t>7</w:t>
      </w:r>
      <w:r w:rsidR="00A96065">
        <w:t xml:space="preserve">]) that </w:t>
      </w:r>
      <w:r w:rsidR="000055B9">
        <w:t xml:space="preserve">Atradius was not a creditor of </w:t>
      </w:r>
      <w:r w:rsidR="00650F59">
        <w:t xml:space="preserve">OneSteel </w:t>
      </w:r>
      <w:r w:rsidR="00686772">
        <w:t>Trading</w:t>
      </w:r>
      <w:r w:rsidR="001D4162">
        <w:t xml:space="preserve"> Pty Ltd</w:t>
      </w:r>
      <w:r w:rsidR="004570AE">
        <w:t xml:space="preserve"> (the Arrium company in respect of </w:t>
      </w:r>
      <w:r w:rsidR="00EC2608">
        <w:t xml:space="preserve">which </w:t>
      </w:r>
      <w:r w:rsidR="00340C4B">
        <w:t xml:space="preserve">debts had been assigned to </w:t>
      </w:r>
      <w:r w:rsidR="006735DE">
        <w:t>Atradius)</w:t>
      </w:r>
      <w:r w:rsidR="00231CB3">
        <w:t xml:space="preserve">, which meant that </w:t>
      </w:r>
      <w:r w:rsidR="008D2D29">
        <w:t>Atradius</w:t>
      </w:r>
      <w:r w:rsidR="00231CB3">
        <w:t xml:space="preserve"> no longer had standing to seek relief under s </w:t>
      </w:r>
      <w:r w:rsidR="00F808F6">
        <w:t xml:space="preserve">90-15 </w:t>
      </w:r>
      <w:r w:rsidR="00640E7B">
        <w:t xml:space="preserve">of the </w:t>
      </w:r>
      <w:r w:rsidR="00FC5143">
        <w:rPr>
          <w:i/>
          <w:iCs/>
        </w:rPr>
        <w:t>Insolvency Practice Schedule</w:t>
      </w:r>
      <w:r w:rsidR="00F2139C">
        <w:rPr>
          <w:i/>
          <w:iCs/>
        </w:rPr>
        <w:t xml:space="preserve"> (Corporations)</w:t>
      </w:r>
      <w:r w:rsidR="00A16C58">
        <w:rPr>
          <w:i/>
          <w:iCs/>
        </w:rPr>
        <w:t xml:space="preserve"> </w:t>
      </w:r>
      <w:r w:rsidR="00A16C58">
        <w:t xml:space="preserve">(being Sch 2 </w:t>
      </w:r>
      <w:r w:rsidR="00024C60">
        <w:t>t</w:t>
      </w:r>
      <w:r w:rsidR="00151653">
        <w:t>o</w:t>
      </w:r>
      <w:r w:rsidR="00A16C58">
        <w:t xml:space="preserve"> the Act)</w:t>
      </w:r>
      <w:r w:rsidR="00011AEE">
        <w:t xml:space="preserve"> (</w:t>
      </w:r>
      <w:r w:rsidR="00011AEE">
        <w:rPr>
          <w:b/>
          <w:bCs/>
        </w:rPr>
        <w:t>IPS</w:t>
      </w:r>
      <w:r w:rsidR="00011AEE">
        <w:t>)</w:t>
      </w:r>
      <w:r w:rsidR="00A16C58">
        <w:t xml:space="preserve">. </w:t>
      </w:r>
      <w:r w:rsidR="004672F1">
        <w:t xml:space="preserve">ASIC was asked </w:t>
      </w:r>
      <w:r w:rsidR="00E444E0">
        <w:t xml:space="preserve">whether it </w:t>
      </w:r>
      <w:r w:rsidR="00E11FD0">
        <w:t xml:space="preserve">would then “repeal, rescind, revoke or vary the Eligible Applicant </w:t>
      </w:r>
      <w:r w:rsidR="00891015">
        <w:t>[status] granted to Atradius</w:t>
      </w:r>
      <w:r w:rsidR="00927779">
        <w:t xml:space="preserve"> and if so on what terms in light of the judgment”.</w:t>
      </w:r>
    </w:p>
    <w:p w14:paraId="1A3FCB86" w14:textId="098E80E8" w:rsidR="00B74958" w:rsidRDefault="00F53EB9" w:rsidP="00B74958">
      <w:pPr>
        <w:pStyle w:val="ParaNumbering"/>
      </w:pPr>
      <w:r>
        <w:t xml:space="preserve">On 4 May 2023, </w:t>
      </w:r>
      <w:r w:rsidR="00A76727">
        <w:t xml:space="preserve">ASIC </w:t>
      </w:r>
      <w:r>
        <w:t>advised Atradius’ solicitors (</w:t>
      </w:r>
      <w:r>
        <w:rPr>
          <w:b/>
          <w:bCs/>
        </w:rPr>
        <w:t>PR</w:t>
      </w:r>
      <w:r>
        <w:t>) that ASIC had been asked to revoke the Authorisation Decision and was considering its position.</w:t>
      </w:r>
    </w:p>
    <w:p w14:paraId="2F65B8C4" w14:textId="175FB709" w:rsidR="00CB02AC" w:rsidRDefault="001B4228" w:rsidP="00B74958">
      <w:pPr>
        <w:pStyle w:val="ParaNumbering"/>
      </w:pPr>
      <w:r>
        <w:t xml:space="preserve">On </w:t>
      </w:r>
      <w:r w:rsidR="00DE57D0">
        <w:t>8 May 2023, ASIC responded</w:t>
      </w:r>
      <w:r w:rsidR="00F53EB9">
        <w:t xml:space="preserve"> to ABL</w:t>
      </w:r>
      <w:r w:rsidR="00DE57D0">
        <w:t xml:space="preserve">. </w:t>
      </w:r>
      <w:r w:rsidR="00332823">
        <w:t>It sought to clarify whether a formal request</w:t>
      </w:r>
      <w:r w:rsidR="00A73B55">
        <w:t xml:space="preserve"> was being made</w:t>
      </w:r>
      <w:r w:rsidR="00C475E3">
        <w:t xml:space="preserve"> for ASIC to exercise its power to revoke Atradius’ authorisation as an eligible </w:t>
      </w:r>
      <w:r w:rsidR="00C475E3">
        <w:lastRenderedPageBreak/>
        <w:t>applicant</w:t>
      </w:r>
      <w:r w:rsidR="00934674">
        <w:t xml:space="preserve">. </w:t>
      </w:r>
      <w:r w:rsidR="00907B3E">
        <w:t>It said further that</w:t>
      </w:r>
      <w:r w:rsidR="004F7042">
        <w:t>: “Any formal consideration of revocation of the authorisation would require the provision of procedural fairness to Atradius</w:t>
      </w:r>
      <w:r w:rsidR="005C7A01">
        <w:t>.</w:t>
      </w:r>
      <w:r w:rsidR="004F7042">
        <w:t>”</w:t>
      </w:r>
    </w:p>
    <w:p w14:paraId="5C514907" w14:textId="77777777" w:rsidR="00326D83" w:rsidRDefault="00004C41" w:rsidP="00B74958">
      <w:pPr>
        <w:pStyle w:val="ParaNumbering"/>
      </w:pPr>
      <w:r>
        <w:t xml:space="preserve">ABL responded shortly </w:t>
      </w:r>
      <w:r w:rsidR="002F448F">
        <w:t>thereafter</w:t>
      </w:r>
      <w:r w:rsidR="00A26C9A">
        <w:t>, saying that</w:t>
      </w:r>
      <w:r w:rsidR="00326D83">
        <w:t>:</w:t>
      </w:r>
    </w:p>
    <w:p w14:paraId="5A3DC014" w14:textId="43280E16" w:rsidR="00004C41" w:rsidRDefault="006F49AB" w:rsidP="00326D83">
      <w:pPr>
        <w:pStyle w:val="Quote1"/>
      </w:pPr>
      <w:r>
        <w:t xml:space="preserve">ASIC </w:t>
      </w:r>
      <w:r w:rsidR="00326D83">
        <w:t xml:space="preserve">now has the benefit of the detailed reasoning of Black J. Given His Honour’s judgment the Kordamentha Defendants submit that ASIC ought to now revoke the eligible applicant status granted to Atradius. </w:t>
      </w:r>
      <w:r w:rsidR="00A378CA">
        <w:t>Please let us know if ASIC will do so and if not, why not.</w:t>
      </w:r>
    </w:p>
    <w:p w14:paraId="404B665E" w14:textId="4E8903D9" w:rsidR="00C265A0" w:rsidRDefault="00A9367D" w:rsidP="00C265A0">
      <w:pPr>
        <w:pStyle w:val="ParaNumbering"/>
      </w:pPr>
      <w:r>
        <w:t xml:space="preserve">On </w:t>
      </w:r>
      <w:r w:rsidR="004B6691">
        <w:t xml:space="preserve">22 May 2023, </w:t>
      </w:r>
      <w:r w:rsidR="00E45EDA">
        <w:t>referring to a conversation</w:t>
      </w:r>
      <w:r w:rsidR="0068209B">
        <w:t xml:space="preserve"> had on 4 May 2023, </w:t>
      </w:r>
      <w:r w:rsidR="000F4F52">
        <w:t xml:space="preserve">ASIC emailed </w:t>
      </w:r>
      <w:r w:rsidR="00F53EB9">
        <w:t>PR</w:t>
      </w:r>
      <w:r w:rsidR="00F63B08">
        <w:t>, saying that</w:t>
      </w:r>
      <w:r w:rsidR="00763A55">
        <w:t>:</w:t>
      </w:r>
      <w:r w:rsidR="00F63B08">
        <w:t xml:space="preserve"> </w:t>
      </w:r>
      <w:r w:rsidR="001F32B5">
        <w:t xml:space="preserve">“As we discussed, ASIC is currently considering whether, given the [NSW Judgment], the eligible applicant </w:t>
      </w:r>
      <w:r w:rsidR="00CF26CC">
        <w:t>authorisation</w:t>
      </w:r>
      <w:r w:rsidR="001F32B5">
        <w:t xml:space="preserve"> </w:t>
      </w:r>
      <w:r w:rsidR="00CF26CC">
        <w:t xml:space="preserve">granted to your client </w:t>
      </w:r>
      <w:r w:rsidR="00030110">
        <w:t>on 7 June 2022</w:t>
      </w:r>
      <w:r w:rsidR="00CF26CC">
        <w:t xml:space="preserve"> ought now be revoked</w:t>
      </w:r>
      <w:r w:rsidR="00763A55">
        <w:t>.</w:t>
      </w:r>
      <w:r w:rsidR="00CF26CC">
        <w:t>”</w:t>
      </w:r>
    </w:p>
    <w:p w14:paraId="1596B835" w14:textId="4F2DD60E" w:rsidR="002C4A22" w:rsidRDefault="002C4A22" w:rsidP="00C265A0">
      <w:pPr>
        <w:pStyle w:val="ParaNumbering"/>
      </w:pPr>
      <w:r>
        <w:t>On 26 May 2023, Atradius served a Notice of Intention to Appeal in respect of the NSW Judgment. Any appeal was required to be filed by 3 August 2023.</w:t>
      </w:r>
      <w:r w:rsidR="00C86557">
        <w:t xml:space="preserve"> Ultimately, no appeal was filed.</w:t>
      </w:r>
    </w:p>
    <w:p w14:paraId="1904BF94" w14:textId="64C7D479" w:rsidR="00371996" w:rsidRDefault="00665118" w:rsidP="00627C3B">
      <w:pPr>
        <w:pStyle w:val="ParaNumbering"/>
      </w:pPr>
      <w:r>
        <w:t xml:space="preserve">On 14 August </w:t>
      </w:r>
      <w:r w:rsidR="00A1765F">
        <w:t xml:space="preserve">2023, </w:t>
      </w:r>
      <w:r w:rsidR="00367208">
        <w:t>ASIC wrote to PR</w:t>
      </w:r>
      <w:r w:rsidR="00226E15">
        <w:t xml:space="preserve">, </w:t>
      </w:r>
      <w:r w:rsidR="00AF4D03">
        <w:t xml:space="preserve">informing PR </w:t>
      </w:r>
      <w:r w:rsidR="00A70EC4">
        <w:t xml:space="preserve">of </w:t>
      </w:r>
      <w:r w:rsidR="00226E15">
        <w:t xml:space="preserve">the </w:t>
      </w:r>
      <w:r w:rsidR="00226E15" w:rsidRPr="003763EA">
        <w:t>Revocation Decision</w:t>
      </w:r>
      <w:r w:rsidR="00226E15">
        <w:t xml:space="preserve">. </w:t>
      </w:r>
      <w:r w:rsidR="00371996">
        <w:t>In communicating its Revocation Decision, ASIC referred to four earlier emails to PR, stated that the revocation did not have retrospective effect, and said as follows concerning its reasons for deciding to revoke the authorisation:</w:t>
      </w:r>
    </w:p>
    <w:p w14:paraId="460F8A81" w14:textId="7630D76B" w:rsidR="00863D5F" w:rsidRDefault="007211B4" w:rsidP="00343DA1">
      <w:pPr>
        <w:pStyle w:val="Quote1"/>
      </w:pPr>
      <w:r>
        <w:t>There is no indication that your client is pursuing an appeal of the decision. Your client is also seeking to resolve the Federal Court proceeding before final hearing and determination. Since May 2023, ASIC has invited your client several times to indicate whether it still requires the authorisation and, if so, why. No substantive response has been received. In all the circumstances, ASIC infers that your client no longer intends to use the authorisation in any way. On that basis, ASIC considers that it is appropriate to revoke the authorisation.</w:t>
      </w:r>
      <w:r>
        <w:rPr>
          <w:highlight w:val="yellow"/>
        </w:rPr>
        <w:t xml:space="preserve"> </w:t>
      </w:r>
    </w:p>
    <w:p w14:paraId="19B6727C" w14:textId="0F1C7F2F" w:rsidR="00E5012D" w:rsidRDefault="00466A68" w:rsidP="00627C3B">
      <w:pPr>
        <w:pStyle w:val="ParaNumbering"/>
      </w:pPr>
      <w:r>
        <w:t xml:space="preserve">On 15 August 2023, PR emailed </w:t>
      </w:r>
      <w:r w:rsidR="00204097">
        <w:t>the parties</w:t>
      </w:r>
      <w:r w:rsidR="00FA3796">
        <w:t>’ representatives in this proceeding</w:t>
      </w:r>
      <w:r w:rsidR="00F3234E">
        <w:t xml:space="preserve"> </w:t>
      </w:r>
      <w:r w:rsidR="00642700">
        <w:t>about</w:t>
      </w:r>
      <w:r w:rsidR="00F3234E">
        <w:t xml:space="preserve"> proposed consent orders</w:t>
      </w:r>
      <w:r w:rsidR="00AA18E3">
        <w:t>.</w:t>
      </w:r>
      <w:r w:rsidR="00145BCE">
        <w:t xml:space="preserve"> </w:t>
      </w:r>
      <w:r w:rsidR="00F3234E">
        <w:t>That communication made ABL aware</w:t>
      </w:r>
      <w:r w:rsidR="00801C8D">
        <w:t xml:space="preserve"> for the first time</w:t>
      </w:r>
      <w:r w:rsidR="00F3234E">
        <w:t xml:space="preserve"> of the Revocation Decision. </w:t>
      </w:r>
    </w:p>
    <w:p w14:paraId="190916C2" w14:textId="437D0360" w:rsidR="000328BB" w:rsidRDefault="006B4A21" w:rsidP="00A9367D">
      <w:pPr>
        <w:pStyle w:val="ParaNumbering"/>
      </w:pPr>
      <w:r>
        <w:t xml:space="preserve">On 12 September 2023, </w:t>
      </w:r>
      <w:r w:rsidR="004F3D62">
        <w:t xml:space="preserve">this proceeding was dismissed by consent. </w:t>
      </w:r>
    </w:p>
    <w:p w14:paraId="32A5B36F" w14:textId="33ECDCB6" w:rsidR="00BB2A5E" w:rsidRDefault="00FE25A5" w:rsidP="00A9367D">
      <w:pPr>
        <w:pStyle w:val="ParaNumbering"/>
      </w:pPr>
      <w:r>
        <w:t xml:space="preserve">Following further correspondence </w:t>
      </w:r>
      <w:r w:rsidR="00B57D78">
        <w:t>from the parties</w:t>
      </w:r>
      <w:r w:rsidR="00C55EC8">
        <w:t xml:space="preserve"> in relation to the listing of </w:t>
      </w:r>
      <w:r w:rsidR="000D048A">
        <w:t>the costs</w:t>
      </w:r>
      <w:r w:rsidR="00C55EC8">
        <w:t xml:space="preserve"> hearing</w:t>
      </w:r>
      <w:r w:rsidR="00A8301F">
        <w:t>,</w:t>
      </w:r>
      <w:r w:rsidR="00264AE1">
        <w:t xml:space="preserve"> on 30 October 2023,</w:t>
      </w:r>
      <w:r w:rsidR="00A8301F">
        <w:t xml:space="preserve"> </w:t>
      </w:r>
      <w:r w:rsidR="00C8774B">
        <w:t>orders were made</w:t>
      </w:r>
      <w:r w:rsidR="00A8301F">
        <w:t xml:space="preserve"> </w:t>
      </w:r>
      <w:r w:rsidR="00C8774B">
        <w:t>r</w:t>
      </w:r>
      <w:r w:rsidR="00A8301F">
        <w:t>eferr</w:t>
      </w:r>
      <w:r w:rsidR="00C8774B">
        <w:t>ing</w:t>
      </w:r>
      <w:r w:rsidR="00A8301F">
        <w:t xml:space="preserve"> </w:t>
      </w:r>
      <w:r w:rsidR="00C8774B">
        <w:t>the</w:t>
      </w:r>
      <w:r w:rsidR="009B6C9F">
        <w:t xml:space="preserve"> costs dispute</w:t>
      </w:r>
      <w:r w:rsidR="00C8774B">
        <w:t xml:space="preserve"> </w:t>
      </w:r>
      <w:r w:rsidR="00A8301F">
        <w:t>to mediation</w:t>
      </w:r>
      <w:r w:rsidR="0062388C">
        <w:t xml:space="preserve">. That mediation occurred before a Registrar of this Court </w:t>
      </w:r>
      <w:r w:rsidR="002E6399">
        <w:t>on 11 December 2023.</w:t>
      </w:r>
      <w:r w:rsidR="00A8301F">
        <w:t xml:space="preserve"> </w:t>
      </w:r>
      <w:r w:rsidR="002E6399">
        <w:t>It was unsuccessful</w:t>
      </w:r>
      <w:r w:rsidR="00CB7951">
        <w:t xml:space="preserve">. </w:t>
      </w:r>
    </w:p>
    <w:p w14:paraId="7ADF1A86" w14:textId="1EBEB6CD" w:rsidR="00BB2A5E" w:rsidRDefault="00BB2A5E" w:rsidP="00A9367D">
      <w:pPr>
        <w:pStyle w:val="ParaNumbering"/>
      </w:pPr>
      <w:r>
        <w:lastRenderedPageBreak/>
        <w:t xml:space="preserve">Further orders were made on </w:t>
      </w:r>
      <w:r w:rsidR="00840084">
        <w:t>28 February 2024</w:t>
      </w:r>
      <w:r w:rsidR="00E135C9">
        <w:t xml:space="preserve"> permitting the parties to file any further affidavit evidence and supplementary submissions in relation to the costs application</w:t>
      </w:r>
      <w:r w:rsidR="00126C57">
        <w:t>.</w:t>
      </w:r>
      <w:r w:rsidR="0050623A">
        <w:t xml:space="preserve"> Each of the parties did (save that the Liquidators did not file any further evidence</w:t>
      </w:r>
      <w:r w:rsidR="00747AA3">
        <w:t>)</w:t>
      </w:r>
      <w:r w:rsidR="0050623A">
        <w:t>.</w:t>
      </w:r>
    </w:p>
    <w:p w14:paraId="1F304117" w14:textId="7EB43814" w:rsidR="00646904" w:rsidRDefault="00CB7951" w:rsidP="00A9367D">
      <w:pPr>
        <w:pStyle w:val="ParaNumbering"/>
      </w:pPr>
      <w:r>
        <w:t xml:space="preserve">The Court is now called </w:t>
      </w:r>
      <w:r w:rsidR="00E04BDC">
        <w:t xml:space="preserve">on to </w:t>
      </w:r>
      <w:r w:rsidR="0003267A">
        <w:t>determine the costs application</w:t>
      </w:r>
      <w:r w:rsidR="005D02AB">
        <w:t>.</w:t>
      </w:r>
      <w:r w:rsidR="001E6E1A">
        <w:t xml:space="preserve"> </w:t>
      </w:r>
      <w:r w:rsidR="009C23F6">
        <w:t>The parties were content for the dispute to be determined on the papers.</w:t>
      </w:r>
    </w:p>
    <w:p w14:paraId="71409ABB" w14:textId="779F0182" w:rsidR="00D41CEF" w:rsidRDefault="00D41CEF" w:rsidP="00D41CEF">
      <w:pPr>
        <w:pStyle w:val="Heading1"/>
      </w:pPr>
      <w:r>
        <w:t>parties’ positions</w:t>
      </w:r>
      <w:r w:rsidR="002C0801">
        <w:t xml:space="preserve"> and submissions</w:t>
      </w:r>
    </w:p>
    <w:p w14:paraId="7EA7B581" w14:textId="3E19CBD8" w:rsidR="00AB070A" w:rsidRDefault="00AB070A" w:rsidP="00AB070A">
      <w:pPr>
        <w:pStyle w:val="ParaNumbering"/>
      </w:pPr>
      <w:r>
        <w:t>The parties</w:t>
      </w:r>
      <w:r w:rsidR="00E910E8">
        <w:t>’ positions on costs were as follows</w:t>
      </w:r>
      <w:r>
        <w:t>:</w:t>
      </w:r>
    </w:p>
    <w:p w14:paraId="02EB104D" w14:textId="349139F1" w:rsidR="00AB070A" w:rsidRDefault="00AB070A" w:rsidP="00DC0798">
      <w:pPr>
        <w:pStyle w:val="ListNo1alt"/>
        <w:numPr>
          <w:ilvl w:val="0"/>
          <w:numId w:val="37"/>
        </w:numPr>
      </w:pPr>
      <w:r>
        <w:t xml:space="preserve">The Liquidators </w:t>
      </w:r>
      <w:r w:rsidR="00D629F1">
        <w:t xml:space="preserve">sought </w:t>
      </w:r>
      <w:r>
        <w:t>their costs of the proceeding on a standard</w:t>
      </w:r>
      <w:r w:rsidR="00534A68">
        <w:t xml:space="preserve"> (party and party)</w:t>
      </w:r>
      <w:r>
        <w:t xml:space="preserve"> basis and on an indemnity basis on and from 4 May 2023.</w:t>
      </w:r>
    </w:p>
    <w:p w14:paraId="0EDD05F5" w14:textId="7EADFC1A" w:rsidR="00AB070A" w:rsidRDefault="00AB070A" w:rsidP="00362CA2">
      <w:pPr>
        <w:pStyle w:val="ListNo1alt"/>
        <w:numPr>
          <w:ilvl w:val="0"/>
          <w:numId w:val="37"/>
        </w:numPr>
      </w:pPr>
      <w:r>
        <w:t xml:space="preserve">ASIC </w:t>
      </w:r>
      <w:r w:rsidR="00D629F1">
        <w:t xml:space="preserve">contended </w:t>
      </w:r>
      <w:r>
        <w:t xml:space="preserve">that (save for the costs the subject of the 20 June 2023 costs order) each party bear </w:t>
      </w:r>
      <w:r w:rsidR="00E910E8">
        <w:t xml:space="preserve">its </w:t>
      </w:r>
      <w:r>
        <w:t xml:space="preserve">own costs of the proceeding and that the Liquidators pay ASIC’s costs of and incidental to the Liquidators’ costs application. </w:t>
      </w:r>
    </w:p>
    <w:p w14:paraId="503A5362" w14:textId="73AD668E" w:rsidR="00AB070A" w:rsidRDefault="00AB070A" w:rsidP="00362CA2">
      <w:pPr>
        <w:pStyle w:val="ListNo1alt"/>
        <w:numPr>
          <w:ilvl w:val="0"/>
          <w:numId w:val="37"/>
        </w:numPr>
      </w:pPr>
      <w:r>
        <w:t>Similarly, Atradius oppose</w:t>
      </w:r>
      <w:r w:rsidR="00D629F1">
        <w:t>d</w:t>
      </w:r>
      <w:r>
        <w:t xml:space="preserve"> orders being made that it pays the Liquidators’ costs of the proceedings; and on an indemnity basis from 4 May 2023 (or any other date). It also contend</w:t>
      </w:r>
      <w:r w:rsidR="00D629F1">
        <w:t>ed</w:t>
      </w:r>
      <w:r>
        <w:t xml:space="preserve"> that the Liquidators should pay its costs of and incidental to the Liquidators’ costs application.</w:t>
      </w:r>
    </w:p>
    <w:p w14:paraId="61157B5A" w14:textId="183A7CB6" w:rsidR="00D41CEF" w:rsidRDefault="00283836" w:rsidP="00283836">
      <w:pPr>
        <w:pStyle w:val="Heading2"/>
      </w:pPr>
      <w:r>
        <w:t>The Liquidators’ submissions</w:t>
      </w:r>
    </w:p>
    <w:p w14:paraId="0C9DF4A7" w14:textId="2860DCC7" w:rsidR="00BD00E9" w:rsidRDefault="00DD6E07" w:rsidP="00283836">
      <w:pPr>
        <w:pStyle w:val="ParaNumbering"/>
      </w:pPr>
      <w:r>
        <w:t xml:space="preserve">The Liquidators </w:t>
      </w:r>
      <w:r w:rsidR="00D52A4B">
        <w:t xml:space="preserve">acknowledged </w:t>
      </w:r>
      <w:r w:rsidR="008B4737">
        <w:t xml:space="preserve">that </w:t>
      </w:r>
      <w:r w:rsidR="00210700">
        <w:t>the</w:t>
      </w:r>
      <w:r w:rsidR="008B1559">
        <w:t xml:space="preserve"> ordinary approach </w:t>
      </w:r>
      <w:r w:rsidR="00D52A4B">
        <w:t xml:space="preserve">is to make </w:t>
      </w:r>
      <w:r w:rsidR="00281A59">
        <w:t>no order as to costs where there has been no hearing on the merits (</w:t>
      </w:r>
      <w:r w:rsidR="00E910E8">
        <w:t xml:space="preserve">referring to </w:t>
      </w:r>
      <w:r w:rsidR="00281A59" w:rsidRPr="007D7B3F">
        <w:rPr>
          <w:i/>
          <w:iCs/>
        </w:rPr>
        <w:t xml:space="preserve">Re Minister for Immigration and Ethnic Affairs of the Commonwealth of Australia; ex </w:t>
      </w:r>
      <w:r w:rsidR="00DC0798" w:rsidRPr="007D7B3F">
        <w:rPr>
          <w:i/>
          <w:iCs/>
        </w:rPr>
        <w:t>parte</w:t>
      </w:r>
      <w:r w:rsidR="00281A59" w:rsidRPr="007D7B3F">
        <w:rPr>
          <w:i/>
          <w:iCs/>
        </w:rPr>
        <w:t xml:space="preserve"> Lai Qin</w:t>
      </w:r>
      <w:r w:rsidR="00281A59" w:rsidRPr="007D7B3F">
        <w:t xml:space="preserve"> (1997) 186 CLR 622</w:t>
      </w:r>
      <w:r w:rsidR="001552E3" w:rsidRPr="007D7B3F">
        <w:t xml:space="preserve"> at 624</w:t>
      </w:r>
      <w:r w:rsidR="00DD16EC" w:rsidRPr="007D7B3F">
        <w:t>–5</w:t>
      </w:r>
      <w:r w:rsidR="009D4718" w:rsidRPr="007D7B3F">
        <w:t>; [1997] HCA 6</w:t>
      </w:r>
      <w:r w:rsidR="00664D4A">
        <w:t xml:space="preserve"> </w:t>
      </w:r>
      <w:r w:rsidR="00281A59" w:rsidRPr="00281A59">
        <w:t>(McHugh J</w:t>
      </w:r>
      <w:r w:rsidR="00281A59">
        <w:t>)</w:t>
      </w:r>
      <w:r w:rsidR="00DB05AF">
        <w:t xml:space="preserve"> (</w:t>
      </w:r>
      <w:r w:rsidR="00DB05AF">
        <w:rPr>
          <w:b/>
          <w:bCs/>
          <w:i/>
          <w:iCs/>
        </w:rPr>
        <w:t>Lai Qin</w:t>
      </w:r>
      <w:r w:rsidR="00DB05AF">
        <w:t>)</w:t>
      </w:r>
      <w:r w:rsidR="00281A59">
        <w:t>)</w:t>
      </w:r>
      <w:r w:rsidR="00D52A4B">
        <w:t xml:space="preserve">. They submitted, however, that the ordinary approach </w:t>
      </w:r>
      <w:r w:rsidR="00A53B02">
        <w:t xml:space="preserve">is displaced in </w:t>
      </w:r>
      <w:r w:rsidR="00EB15D8">
        <w:t xml:space="preserve">circumstances where </w:t>
      </w:r>
      <w:r w:rsidR="00B12E4E">
        <w:t xml:space="preserve">a party has “in substance surrendered or capitulated” by its conduct. </w:t>
      </w:r>
      <w:r w:rsidR="00D11DA3">
        <w:t>In those circumstances</w:t>
      </w:r>
      <w:r w:rsidR="003F66C7">
        <w:t xml:space="preserve">, the Liquidators submitted, </w:t>
      </w:r>
      <w:r w:rsidR="00875AAF">
        <w:t>the usual rule of costs following the event will be applied to the</w:t>
      </w:r>
      <w:r w:rsidR="00EA5C2D">
        <w:t xml:space="preserve"> party that is</w:t>
      </w:r>
      <w:r w:rsidR="00875AAF">
        <w:t xml:space="preserve">, in substance, successful: referring </w:t>
      </w:r>
      <w:r w:rsidR="000025BD">
        <w:t xml:space="preserve">to </w:t>
      </w:r>
      <w:r w:rsidR="00E65E20" w:rsidRPr="007D7B3F">
        <w:rPr>
          <w:i/>
          <w:iCs/>
        </w:rPr>
        <w:t>FCA US LLC v Mahindra Automotive Australia Pty Ltd</w:t>
      </w:r>
      <w:r w:rsidR="00E65E20" w:rsidRPr="007D7B3F">
        <w:t xml:space="preserve"> [2021] FCA 1091</w:t>
      </w:r>
      <w:r w:rsidR="002911B6">
        <w:t xml:space="preserve"> (</w:t>
      </w:r>
      <w:r w:rsidR="002911B6">
        <w:rPr>
          <w:b/>
          <w:bCs/>
          <w:i/>
          <w:iCs/>
        </w:rPr>
        <w:t>Mahindra Automotive</w:t>
      </w:r>
      <w:r w:rsidR="002911B6">
        <w:t>)</w:t>
      </w:r>
      <w:r w:rsidR="00E65E20">
        <w:t xml:space="preserve"> at [35] (Halley J). </w:t>
      </w:r>
    </w:p>
    <w:p w14:paraId="0BD6201A" w14:textId="568F1713" w:rsidR="00E25E06" w:rsidRDefault="00E25E06" w:rsidP="00283836">
      <w:pPr>
        <w:pStyle w:val="ParaNumbering"/>
      </w:pPr>
      <w:r>
        <w:t>The Liquidators submitted that</w:t>
      </w:r>
      <w:r w:rsidR="00F20831">
        <w:t xml:space="preserve"> the “present proceedings are the archetypal case of capitulation”. </w:t>
      </w:r>
      <w:r w:rsidR="0070519B">
        <w:t xml:space="preserve">They </w:t>
      </w:r>
      <w:r w:rsidR="00EA5C2D">
        <w:t xml:space="preserve">contended </w:t>
      </w:r>
      <w:r w:rsidR="0070519B">
        <w:t xml:space="preserve">that </w:t>
      </w:r>
      <w:r w:rsidR="00EE15F4">
        <w:t xml:space="preserve">ASIC’s Revocation Decision </w:t>
      </w:r>
      <w:r w:rsidR="000B7E07">
        <w:t>was a clear capitulation to the arguments advanced by the Liquidators (that Atradius was not a creditor)</w:t>
      </w:r>
      <w:r w:rsidR="00512732">
        <w:t xml:space="preserve"> and accepted by Black J in the NSW Judgment.</w:t>
      </w:r>
      <w:r w:rsidR="00FD6886">
        <w:t xml:space="preserve"> The Liquidators </w:t>
      </w:r>
      <w:r w:rsidR="005B34AE">
        <w:t xml:space="preserve">contended that the effect of the Revocation Decision was to grant the Liquidators the entirety of the substantive relief </w:t>
      </w:r>
      <w:r w:rsidR="008651EF">
        <w:t xml:space="preserve">they </w:t>
      </w:r>
      <w:r w:rsidR="005B34AE">
        <w:t xml:space="preserve">sought. </w:t>
      </w:r>
      <w:r w:rsidR="00512732">
        <w:t xml:space="preserve"> </w:t>
      </w:r>
    </w:p>
    <w:p w14:paraId="06C447AC" w14:textId="3EF1B0DA" w:rsidR="00671991" w:rsidRDefault="00CD7F13" w:rsidP="00283836">
      <w:pPr>
        <w:pStyle w:val="ParaNumbering"/>
      </w:pPr>
      <w:r>
        <w:lastRenderedPageBreak/>
        <w:t xml:space="preserve">As to their claim for indemnity costs on and from 4 May 2023, the Liquidators </w:t>
      </w:r>
      <w:r w:rsidR="00387EFE">
        <w:t>submitted that the “fundamental vice” t</w:t>
      </w:r>
      <w:r w:rsidR="001A30B3">
        <w:t>hat infected the Authorisation Decision — that Atradius was not a creditor — should have been obvious to ASIC at</w:t>
      </w:r>
      <w:r w:rsidR="00CC6E00">
        <w:t xml:space="preserve"> the outset, or at least from the delivery of the NSW Judgment. </w:t>
      </w:r>
      <w:r w:rsidR="00F31361">
        <w:t xml:space="preserve">The Liquidators contended that it was incumbent on </w:t>
      </w:r>
      <w:r w:rsidR="006A1844">
        <w:t xml:space="preserve">ASIC and Atradius to seek to </w:t>
      </w:r>
      <w:r w:rsidR="00DE0930">
        <w:t xml:space="preserve">minimise </w:t>
      </w:r>
      <w:r w:rsidR="00DE0E99">
        <w:t xml:space="preserve">costs </w:t>
      </w:r>
      <w:r w:rsidR="005A3F42">
        <w:t>in the proceeding</w:t>
      </w:r>
      <w:r w:rsidR="00CA17FA">
        <w:t>, and that following delivery of the NSW Judgment, ASIC should have been “expeditiously considering whether to revoke Atradius’ eligib</w:t>
      </w:r>
      <w:r w:rsidR="00F057A9">
        <w:t>le applicant status”</w:t>
      </w:r>
      <w:r w:rsidR="00AF095E">
        <w:t>.</w:t>
      </w:r>
      <w:r w:rsidR="00A949C3">
        <w:t xml:space="preserve"> </w:t>
      </w:r>
      <w:r w:rsidR="00AF095E">
        <w:t>A</w:t>
      </w:r>
      <w:r w:rsidR="007518EE">
        <w:t>t the very least,</w:t>
      </w:r>
      <w:r w:rsidR="00E67CA4">
        <w:t xml:space="preserve"> the Liquidators submitted,</w:t>
      </w:r>
      <w:r w:rsidR="007518EE">
        <w:t xml:space="preserve"> </w:t>
      </w:r>
      <w:r w:rsidR="00E85057">
        <w:t xml:space="preserve">the </w:t>
      </w:r>
      <w:r w:rsidR="00662B5D">
        <w:t>R</w:t>
      </w:r>
      <w:r w:rsidR="00E85057">
        <w:t>espondents should have sought a short s</w:t>
      </w:r>
      <w:r w:rsidR="003C5EE7">
        <w:t xml:space="preserve">tay while determining what their positions were. </w:t>
      </w:r>
      <w:r w:rsidR="00A918F1">
        <w:t xml:space="preserve">The Liquidators also </w:t>
      </w:r>
      <w:r w:rsidR="007A1891">
        <w:t>complain</w:t>
      </w:r>
      <w:r w:rsidR="00E910E8">
        <w:t>ed</w:t>
      </w:r>
      <w:r w:rsidR="007A1891">
        <w:t xml:space="preserve"> of Atradius’ conduct in not responding promptly to ASIC’s</w:t>
      </w:r>
      <w:r w:rsidR="00B85660">
        <w:t xml:space="preserve"> requests of it to explain why it required </w:t>
      </w:r>
      <w:r w:rsidR="00AF6763">
        <w:t xml:space="preserve">eligible applicant status. </w:t>
      </w:r>
    </w:p>
    <w:p w14:paraId="50AED0D9" w14:textId="44A4DBDA" w:rsidR="006A1854" w:rsidRDefault="006A1854" w:rsidP="006A1854">
      <w:pPr>
        <w:pStyle w:val="Heading2"/>
      </w:pPr>
      <w:r>
        <w:t>ASIC’s submissions</w:t>
      </w:r>
    </w:p>
    <w:p w14:paraId="32339482" w14:textId="5B97A843" w:rsidR="00BC4012" w:rsidRDefault="00EC6AA3" w:rsidP="00A40188">
      <w:pPr>
        <w:pStyle w:val="ParaNumbering"/>
      </w:pPr>
      <w:r>
        <w:t xml:space="preserve">ASIC’s submissions drew a </w:t>
      </w:r>
      <w:r w:rsidR="00A1533A">
        <w:t xml:space="preserve">distinction between the </w:t>
      </w:r>
      <w:r w:rsidR="00C474AE">
        <w:t xml:space="preserve">Authorisation </w:t>
      </w:r>
      <w:r w:rsidR="00001275">
        <w:t>Decision (the legal validity of which</w:t>
      </w:r>
      <w:r w:rsidR="00704227">
        <w:t xml:space="preserve"> was at issue in these proceedings) and the Revocation Decision</w:t>
      </w:r>
      <w:r w:rsidR="00EE0EA8">
        <w:t xml:space="preserve"> (which had no effect on the validity of the </w:t>
      </w:r>
      <w:r w:rsidR="00E016F5">
        <w:t xml:space="preserve">Authorisation Decision). </w:t>
      </w:r>
      <w:r w:rsidR="00273A8B">
        <w:t>In ASIC’s submission, there had been no “capitulation” by it</w:t>
      </w:r>
      <w:r w:rsidR="000B42C9">
        <w:t>,</w:t>
      </w:r>
      <w:r w:rsidR="00273A8B">
        <w:t xml:space="preserve"> because ASIC</w:t>
      </w:r>
      <w:r w:rsidR="00B57559">
        <w:t xml:space="preserve"> had never conceded that </w:t>
      </w:r>
      <w:r w:rsidR="009E113A">
        <w:t xml:space="preserve">the Authorisation Decision is or was invalid. </w:t>
      </w:r>
      <w:r w:rsidR="00A0761C">
        <w:t>A</w:t>
      </w:r>
      <w:r w:rsidR="00556985">
        <w:t xml:space="preserve">SIC submitted, by reference to </w:t>
      </w:r>
      <w:r w:rsidR="00AA5193">
        <w:t>its</w:t>
      </w:r>
      <w:r w:rsidR="00556985">
        <w:t xml:space="preserve"> letter to Atradius </w:t>
      </w:r>
      <w:r w:rsidR="003D3CF3">
        <w:t xml:space="preserve">advising it of the Revocation Decision, </w:t>
      </w:r>
      <w:r w:rsidR="00DD00C8">
        <w:t xml:space="preserve">that </w:t>
      </w:r>
      <w:r w:rsidR="00254C27">
        <w:t xml:space="preserve">the Revocation Decision was made on the basis </w:t>
      </w:r>
      <w:r w:rsidR="008C0C92">
        <w:t xml:space="preserve">that Atradius no longer intended to use the </w:t>
      </w:r>
      <w:r w:rsidR="008661B2">
        <w:t>A</w:t>
      </w:r>
      <w:r w:rsidR="008C0C92">
        <w:t xml:space="preserve">uthorisation </w:t>
      </w:r>
      <w:r w:rsidR="008661B2">
        <w:t>D</w:t>
      </w:r>
      <w:r w:rsidR="008C0C92">
        <w:t>ecision in any way</w:t>
      </w:r>
      <w:r w:rsidR="00816A30">
        <w:t xml:space="preserve">, and </w:t>
      </w:r>
      <w:r w:rsidR="002E71AC">
        <w:t xml:space="preserve">had not </w:t>
      </w:r>
      <w:r w:rsidR="00FE27A0">
        <w:t xml:space="preserve">somehow </w:t>
      </w:r>
      <w:r w:rsidR="002E71AC">
        <w:t xml:space="preserve">accepted </w:t>
      </w:r>
      <w:r w:rsidR="003E0087">
        <w:t xml:space="preserve">the Liquidators’ arguments </w:t>
      </w:r>
      <w:r w:rsidR="00037421">
        <w:t xml:space="preserve">as to </w:t>
      </w:r>
      <w:r w:rsidR="009A59E2">
        <w:t>Atradius’ status as a creditor</w:t>
      </w:r>
      <w:r w:rsidR="008C0C92">
        <w:t xml:space="preserve">. </w:t>
      </w:r>
      <w:r w:rsidR="003F20C5">
        <w:t>ASIC also emphasised that the judicial review proceedings would have to have been determined on the basis of the information that was available to ASIC at the time, and not by reference to subsequent events (including the NSW Judgment).</w:t>
      </w:r>
    </w:p>
    <w:p w14:paraId="107B86F1" w14:textId="0B295AD5" w:rsidR="00721875" w:rsidRDefault="00721875" w:rsidP="006A1854">
      <w:pPr>
        <w:pStyle w:val="ParaNumbering"/>
      </w:pPr>
      <w:r>
        <w:t>As to the claim that ASIC should</w:t>
      </w:r>
      <w:r w:rsidR="00C76A52">
        <w:t xml:space="preserve"> have</w:t>
      </w:r>
      <w:r w:rsidR="00FF2F42">
        <w:t>, following delivery of the NSW Judgment,</w:t>
      </w:r>
      <w:r>
        <w:t xml:space="preserve"> promptly </w:t>
      </w:r>
      <w:r w:rsidR="00EF7D60">
        <w:t xml:space="preserve">reviewed </w:t>
      </w:r>
      <w:r w:rsidR="002C6D3F">
        <w:t xml:space="preserve">Atradius’ standing as a creditor and made the </w:t>
      </w:r>
      <w:r w:rsidR="00942D56">
        <w:t xml:space="preserve">Revocation Decision, ASIC </w:t>
      </w:r>
      <w:r w:rsidR="00C73EDC">
        <w:t xml:space="preserve">said that </w:t>
      </w:r>
      <w:r w:rsidR="00942D56">
        <w:t>the submission:</w:t>
      </w:r>
    </w:p>
    <w:p w14:paraId="3C572C04" w14:textId="287872E7" w:rsidR="00942D56" w:rsidRDefault="00FF2F42" w:rsidP="00FF2F42">
      <w:pPr>
        <w:pStyle w:val="ListNo1alt"/>
        <w:numPr>
          <w:ilvl w:val="0"/>
          <w:numId w:val="31"/>
        </w:numPr>
      </w:pPr>
      <w:r>
        <w:t xml:space="preserve">makes no allowance for an appeal from </w:t>
      </w:r>
      <w:r w:rsidR="00287B2F">
        <w:t>the NSW Judgment;</w:t>
      </w:r>
    </w:p>
    <w:p w14:paraId="4361141A" w14:textId="4EC97E1B" w:rsidR="00287B2F" w:rsidRDefault="00287B2F" w:rsidP="00FF2F42">
      <w:pPr>
        <w:pStyle w:val="ListNo1alt"/>
        <w:numPr>
          <w:ilvl w:val="0"/>
          <w:numId w:val="31"/>
        </w:numPr>
      </w:pPr>
      <w:r>
        <w:t>ignores Atradius having given notice of its intention to appeal; and</w:t>
      </w:r>
    </w:p>
    <w:p w14:paraId="10FCC270" w14:textId="51D26CEF" w:rsidR="00287B2F" w:rsidRDefault="00287B2F" w:rsidP="00FF2F42">
      <w:pPr>
        <w:pStyle w:val="ListNo1alt"/>
        <w:numPr>
          <w:ilvl w:val="0"/>
          <w:numId w:val="31"/>
        </w:numPr>
      </w:pPr>
      <w:r>
        <w:t xml:space="preserve">more fundamentally, fails to acknowledge that even if Atradius was not a creditor, </w:t>
      </w:r>
      <w:r w:rsidR="00925E1D">
        <w:t xml:space="preserve">that does not mean the Authorisation Decision was invalid, or that ASIC would be compelled to make the Revocation Decision. </w:t>
      </w:r>
    </w:p>
    <w:p w14:paraId="2E932785" w14:textId="415BC908" w:rsidR="002D1249" w:rsidRDefault="005B5D51" w:rsidP="006A1854">
      <w:pPr>
        <w:pStyle w:val="ParaNumbering"/>
      </w:pPr>
      <w:r>
        <w:lastRenderedPageBreak/>
        <w:t>In any event, ASIC submitted</w:t>
      </w:r>
      <w:r w:rsidR="00F20117">
        <w:t xml:space="preserve"> that it </w:t>
      </w:r>
      <w:r w:rsidR="00E429E6">
        <w:t>proceeded to deal with the Liquidators’ request to make the Revocation Decision, and</w:t>
      </w:r>
      <w:r w:rsidR="00323B10">
        <w:t>,</w:t>
      </w:r>
      <w:r w:rsidR="00E429E6">
        <w:t xml:space="preserve"> in dealing with that </w:t>
      </w:r>
      <w:r w:rsidR="00962EAC">
        <w:t>request, it was not unreasonable for it to afford Atradius procedural fairness</w:t>
      </w:r>
      <w:r w:rsidR="00F20117">
        <w:t>, as</w:t>
      </w:r>
      <w:r w:rsidR="00962EAC">
        <w:t xml:space="preserve"> it did. </w:t>
      </w:r>
      <w:r w:rsidR="00802BE1">
        <w:t xml:space="preserve">As to any onus on the </w:t>
      </w:r>
      <w:r w:rsidR="00A60A68">
        <w:t>Res</w:t>
      </w:r>
      <w:r w:rsidR="00802BE1">
        <w:t xml:space="preserve">pondents to seek a stay </w:t>
      </w:r>
      <w:r w:rsidR="00975FFB">
        <w:t xml:space="preserve">of these proceedings </w:t>
      </w:r>
      <w:r w:rsidR="00802BE1">
        <w:t xml:space="preserve">following </w:t>
      </w:r>
      <w:r w:rsidR="00975FFB">
        <w:t xml:space="preserve">delivery of the </w:t>
      </w:r>
      <w:r w:rsidR="00FE5A99">
        <w:t>NSW Judgment, ASIC submit</w:t>
      </w:r>
      <w:r w:rsidR="00E910E8">
        <w:t>ted</w:t>
      </w:r>
      <w:r w:rsidR="00FE5A99">
        <w:t xml:space="preserve"> that the Liquidators could equally have applied for an</w:t>
      </w:r>
      <w:r w:rsidR="008C3436">
        <w:t xml:space="preserve"> adjournment or short stay pending the determination of </w:t>
      </w:r>
      <w:r w:rsidR="008C3436" w:rsidRPr="00343DA1">
        <w:t>their own</w:t>
      </w:r>
      <w:r w:rsidR="008C3436">
        <w:t xml:space="preserve"> revocation request. </w:t>
      </w:r>
    </w:p>
    <w:p w14:paraId="7959851E" w14:textId="680C4CD8" w:rsidR="005B5D51" w:rsidRDefault="002D1249" w:rsidP="006A1854">
      <w:pPr>
        <w:pStyle w:val="ParaNumbering"/>
      </w:pPr>
      <w:r>
        <w:t xml:space="preserve">As to the costs of the </w:t>
      </w:r>
      <w:r w:rsidR="00B53E0F">
        <w:t xml:space="preserve">costs application itself, </w:t>
      </w:r>
      <w:r w:rsidR="00FB7885">
        <w:t>ASIC point</w:t>
      </w:r>
      <w:r w:rsidR="000C0124">
        <w:t>ed</w:t>
      </w:r>
      <w:r w:rsidR="00FB7885">
        <w:t xml:space="preserve"> to its offers to the </w:t>
      </w:r>
      <w:r w:rsidR="00E910E8">
        <w:t xml:space="preserve">Liquidators </w:t>
      </w:r>
      <w:r w:rsidR="00FB7885">
        <w:t xml:space="preserve">to resolve the question of costs on the basis that each party bear its own costs. </w:t>
      </w:r>
      <w:r w:rsidR="00912288">
        <w:t xml:space="preserve">Therefore, </w:t>
      </w:r>
      <w:r w:rsidR="007C09FE">
        <w:t xml:space="preserve">ASIC submitted, </w:t>
      </w:r>
      <w:r w:rsidR="008F779D">
        <w:t xml:space="preserve">if the Court determines that the parties are to bear their own costs of the proceeding, an order should be made that </w:t>
      </w:r>
      <w:r w:rsidR="007849E2">
        <w:t xml:space="preserve">the Liquidators pay ASIC’s costs of and incidental to the proceeding. </w:t>
      </w:r>
    </w:p>
    <w:p w14:paraId="7C1D69FE" w14:textId="6654AB9B" w:rsidR="003900B4" w:rsidRDefault="003900B4" w:rsidP="003900B4">
      <w:pPr>
        <w:pStyle w:val="Heading2"/>
      </w:pPr>
      <w:r>
        <w:t>Atradius’ submissions</w:t>
      </w:r>
    </w:p>
    <w:p w14:paraId="47346D0C" w14:textId="2B4064DF" w:rsidR="003900B4" w:rsidRDefault="00505EC2" w:rsidP="003900B4">
      <w:pPr>
        <w:pStyle w:val="ParaNumbering"/>
      </w:pPr>
      <w:r>
        <w:t>Atradius</w:t>
      </w:r>
      <w:r w:rsidR="00C87C66">
        <w:t xml:space="preserve"> advanced similar arguments to ASIC, and </w:t>
      </w:r>
      <w:r w:rsidR="003A2B9D">
        <w:t>submitted that:</w:t>
      </w:r>
    </w:p>
    <w:p w14:paraId="0B47AA1B" w14:textId="27C4827F" w:rsidR="003A2B9D" w:rsidRDefault="002261FB" w:rsidP="003A2B9D">
      <w:pPr>
        <w:pStyle w:val="ListNo1alt"/>
        <w:numPr>
          <w:ilvl w:val="0"/>
          <w:numId w:val="32"/>
        </w:numPr>
      </w:pPr>
      <w:r>
        <w:t>This was not a case of complete capitulation. Instead, an external event (the Liquidators having achieved their objective by another administrative process</w:t>
      </w:r>
      <w:r w:rsidR="00DB28B0">
        <w:t xml:space="preserve">, or ASIC’s Revocation Decision) has rendered the litigation otiose. </w:t>
      </w:r>
      <w:r w:rsidR="0096594B">
        <w:t>That does not mean</w:t>
      </w:r>
      <w:r w:rsidR="002B7927">
        <w:t xml:space="preserve"> the Authorisation Decision was wrong. </w:t>
      </w:r>
      <w:r w:rsidR="008608C3">
        <w:t xml:space="preserve">Atradius, like ASIC, </w:t>
      </w:r>
      <w:r w:rsidR="00091BCB">
        <w:t xml:space="preserve">drew a distinction between the Authorisation Decision and the Revocation Decision. </w:t>
      </w:r>
    </w:p>
    <w:p w14:paraId="79D2425A" w14:textId="310DB43D" w:rsidR="00D75913" w:rsidRDefault="0044208D" w:rsidP="003A2B9D">
      <w:pPr>
        <w:pStyle w:val="ListNo1alt"/>
        <w:numPr>
          <w:ilvl w:val="0"/>
          <w:numId w:val="32"/>
        </w:numPr>
      </w:pPr>
      <w:r>
        <w:t>Black</w:t>
      </w:r>
      <w:r w:rsidR="00E15CCC">
        <w:t xml:space="preserve"> J</w:t>
      </w:r>
      <w:r>
        <w:t xml:space="preserve"> left open the possibility that Atradius was an “interested person” with standing to make an application under s 447A of the Act</w:t>
      </w:r>
      <w:r w:rsidR="00C1797B">
        <w:t xml:space="preserve">, which would have been a further basis for </w:t>
      </w:r>
      <w:r w:rsidR="00A127DA">
        <w:t>ASIC to consider Atradius suitable for authorisation</w:t>
      </w:r>
      <w:r w:rsidR="000511E4">
        <w:t xml:space="preserve"> as an eligible applicant. </w:t>
      </w:r>
    </w:p>
    <w:p w14:paraId="6A7C438D" w14:textId="0228C314" w:rsidR="00863CF5" w:rsidRPr="003900B4" w:rsidRDefault="00E856C3" w:rsidP="003A2B9D">
      <w:pPr>
        <w:pStyle w:val="ListNo1alt"/>
        <w:numPr>
          <w:ilvl w:val="0"/>
          <w:numId w:val="32"/>
        </w:numPr>
      </w:pPr>
      <w:r>
        <w:t xml:space="preserve">As to </w:t>
      </w:r>
      <w:r w:rsidR="00E55490">
        <w:t xml:space="preserve">the costs consequences </w:t>
      </w:r>
      <w:r w:rsidR="00F01AC0">
        <w:t>on and from</w:t>
      </w:r>
      <w:r w:rsidR="00E55490">
        <w:t xml:space="preserve"> 4 May 2023, </w:t>
      </w:r>
      <w:r w:rsidR="00185744">
        <w:t>the Liquidators ha</w:t>
      </w:r>
      <w:r w:rsidR="00DB6414">
        <w:t>d</w:t>
      </w:r>
      <w:r w:rsidR="00185744">
        <w:t xml:space="preserve"> not identified any unnecessary expense they incurred after 4 May 2023 by reference to the conduct of Atradius that is not otherwise captured by the 20 June 2023 costs order. </w:t>
      </w:r>
      <w:r w:rsidR="00A5406D">
        <w:t xml:space="preserve">In fact, the Liquidators conceded that no substantive step had been taken in the proceeding since </w:t>
      </w:r>
      <w:r w:rsidR="007D257E">
        <w:t xml:space="preserve">the orders made on 11 July 2023 </w:t>
      </w:r>
      <w:r w:rsidR="00D53BC5">
        <w:t xml:space="preserve">that ASIC bear its own costs of the suppression application. </w:t>
      </w:r>
    </w:p>
    <w:p w14:paraId="066D0122" w14:textId="51D30A49" w:rsidR="00D41CEF" w:rsidRDefault="00366407" w:rsidP="00366407">
      <w:pPr>
        <w:pStyle w:val="Heading1"/>
      </w:pPr>
      <w:r>
        <w:t>costs of the proceeding</w:t>
      </w:r>
    </w:p>
    <w:p w14:paraId="56E75F90" w14:textId="4F19EF3E" w:rsidR="00322629" w:rsidRPr="00322629" w:rsidRDefault="00322629" w:rsidP="00322629">
      <w:pPr>
        <w:pStyle w:val="Heading2"/>
      </w:pPr>
      <w:r>
        <w:t>There has been no capit</w:t>
      </w:r>
      <w:r w:rsidR="0099708C">
        <w:t>ulation</w:t>
      </w:r>
    </w:p>
    <w:p w14:paraId="1C6229F7" w14:textId="7D355CC9" w:rsidR="00DD0A79" w:rsidRDefault="00CD7359" w:rsidP="0073368F">
      <w:pPr>
        <w:pStyle w:val="ParaNumbering"/>
      </w:pPr>
      <w:r>
        <w:t xml:space="preserve">In my view, </w:t>
      </w:r>
      <w:r w:rsidR="00F01A15">
        <w:t>th</w:t>
      </w:r>
      <w:r w:rsidR="00D06DD2">
        <w:t xml:space="preserve">ere is no basis to </w:t>
      </w:r>
      <w:r w:rsidR="00261221">
        <w:t xml:space="preserve">depart from the </w:t>
      </w:r>
      <w:r w:rsidR="00D7111E">
        <w:t>usual course</w:t>
      </w:r>
      <w:r w:rsidR="00261221">
        <w:t xml:space="preserve"> that </w:t>
      </w:r>
      <w:r w:rsidR="00DB05AF">
        <w:t xml:space="preserve">no order </w:t>
      </w:r>
      <w:r w:rsidR="00BD5CBE">
        <w:t>for</w:t>
      </w:r>
      <w:r w:rsidR="00DB05AF">
        <w:t xml:space="preserve"> costs be made where there has been no hearing on the merits</w:t>
      </w:r>
      <w:r w:rsidR="00C87C66">
        <w:t xml:space="preserve">. In </w:t>
      </w:r>
      <w:r w:rsidR="00B621BA">
        <w:rPr>
          <w:i/>
          <w:iCs/>
        </w:rPr>
        <w:t>L</w:t>
      </w:r>
      <w:r w:rsidR="0052047E">
        <w:rPr>
          <w:i/>
          <w:iCs/>
        </w:rPr>
        <w:t xml:space="preserve">ai </w:t>
      </w:r>
      <w:r w:rsidR="00B621BA">
        <w:rPr>
          <w:i/>
          <w:iCs/>
        </w:rPr>
        <w:t>Q</w:t>
      </w:r>
      <w:r w:rsidR="0052047E">
        <w:rPr>
          <w:i/>
          <w:iCs/>
        </w:rPr>
        <w:t>in</w:t>
      </w:r>
      <w:r w:rsidR="00C87C66">
        <w:t xml:space="preserve">, McHugh J identified (at 624–5) two </w:t>
      </w:r>
      <w:r w:rsidR="00C87C66">
        <w:lastRenderedPageBreak/>
        <w:t>circumstances in which a costs orders may be made in the absence of determination on the merits: one party behaving so unreasonably that the other should have its costs, or a judge feeling confident that, although both parties acted reasonably, one party was almost certain to win had the matter been fully tried</w:t>
      </w:r>
      <w:r w:rsidR="00C87C66">
        <w:rPr>
          <w:i/>
          <w:iCs/>
        </w:rPr>
        <w:t xml:space="preserve">. </w:t>
      </w:r>
      <w:r w:rsidR="00C87C66">
        <w:t>Neither circumstance applies here. Nor, for the reasons I go on to explain, do I accept that the Liquidators should have their costs on the basis that ASIC and Atradius capitulated.</w:t>
      </w:r>
    </w:p>
    <w:p w14:paraId="4E4FBC27" w14:textId="736199FA" w:rsidR="00F91A97" w:rsidRDefault="00071BDB" w:rsidP="00F91A97">
      <w:pPr>
        <w:pStyle w:val="ParaNumbering"/>
      </w:pPr>
      <w:r>
        <w:t xml:space="preserve">This is a judicial review proceeding. </w:t>
      </w:r>
      <w:r w:rsidR="00A252A5">
        <w:t xml:space="preserve">By their originating application, </w:t>
      </w:r>
      <w:r w:rsidR="0023130B">
        <w:t xml:space="preserve">the </w:t>
      </w:r>
      <w:r w:rsidR="00AC7B8E">
        <w:t xml:space="preserve">Liquidators sought review under </w:t>
      </w:r>
      <w:r w:rsidR="00024F6E">
        <w:t>one or both of ss 39B(1)</w:t>
      </w:r>
      <w:r w:rsidR="0056707E">
        <w:t xml:space="preserve"> and (1A)(c) of the </w:t>
      </w:r>
      <w:r w:rsidR="0056707E" w:rsidRPr="00F91A97">
        <w:rPr>
          <w:i/>
          <w:iCs/>
        </w:rPr>
        <w:t xml:space="preserve">Judiciary Act 1903 </w:t>
      </w:r>
      <w:r w:rsidR="0056707E" w:rsidRPr="007D7B3F">
        <w:t>(Cth)</w:t>
      </w:r>
      <w:r w:rsidR="0056707E">
        <w:t xml:space="preserve"> </w:t>
      </w:r>
      <w:r w:rsidR="006A187A">
        <w:t xml:space="preserve">or ss 5, 15 and 16 of the </w:t>
      </w:r>
      <w:r w:rsidR="006A187A" w:rsidRPr="00F91A97">
        <w:rPr>
          <w:i/>
          <w:iCs/>
        </w:rPr>
        <w:t xml:space="preserve">Administrative </w:t>
      </w:r>
      <w:r w:rsidR="00921C8D" w:rsidRPr="00F91A97">
        <w:rPr>
          <w:i/>
          <w:iCs/>
        </w:rPr>
        <w:t xml:space="preserve">Decisions </w:t>
      </w:r>
      <w:r w:rsidR="0006413B" w:rsidRPr="00F91A97">
        <w:rPr>
          <w:i/>
          <w:iCs/>
        </w:rPr>
        <w:t>(Judicial Review) Act</w:t>
      </w:r>
      <w:r w:rsidR="00C77A81" w:rsidRPr="00F91A97">
        <w:rPr>
          <w:i/>
          <w:iCs/>
        </w:rPr>
        <w:t xml:space="preserve"> 1977 </w:t>
      </w:r>
      <w:r w:rsidR="00C77A81" w:rsidRPr="007D7B3F">
        <w:t>(Cth)</w:t>
      </w:r>
      <w:r w:rsidR="008E5B03">
        <w:t xml:space="preserve">. </w:t>
      </w:r>
      <w:r w:rsidR="00364FD7">
        <w:t xml:space="preserve">The </w:t>
      </w:r>
      <w:r w:rsidR="00BB69D4">
        <w:t xml:space="preserve">originating application set </w:t>
      </w:r>
      <w:r w:rsidR="00786FCE">
        <w:t xml:space="preserve">out many and varied grounds </w:t>
      </w:r>
      <w:r w:rsidR="00F73AD0">
        <w:t>by</w:t>
      </w:r>
      <w:r w:rsidR="00786FCE">
        <w:t xml:space="preserve"> which it was said the Authorisation Decision was affected by error.</w:t>
      </w:r>
      <w:r w:rsidR="003962F1">
        <w:t xml:space="preserve"> </w:t>
      </w:r>
      <w:r w:rsidR="009363F1">
        <w:t>The originating application raised grounds that concerned the efficacy and effect of a Deed of Assignment dated 5 April 2022</w:t>
      </w:r>
      <w:r w:rsidR="00D4052F">
        <w:t>, in addition to the Deed of Company Arrangement dated 17 August 2022. The originating application asserted that</w:t>
      </w:r>
      <w:r w:rsidR="001449FA">
        <w:t xml:space="preserve"> ASIC wrongly concluded that Atradius would have standing to bring proceedings against the Liquidators when Atradius was not a creditor, was not an “interested person” on any basis, and</w:t>
      </w:r>
      <w:r w:rsidR="009A58C6">
        <w:t>, even if it were a creditor, the Liquidators owed no duties to individual creditors. The originating application further impugned ASIC’s decision on the basis that it was unlikely that Atradius would obtain funding for a claim that b</w:t>
      </w:r>
      <w:r w:rsidR="00A914C6">
        <w:t>enefitted creditors of the Arrium Group as a whole, and</w:t>
      </w:r>
      <w:r w:rsidR="00114737">
        <w:t>,</w:t>
      </w:r>
      <w:r w:rsidR="00A914C6">
        <w:t xml:space="preserve"> even if it did obtain funding, Atradius would lack standing to represent the interested creditors.</w:t>
      </w:r>
      <w:r w:rsidR="00BB2729">
        <w:t xml:space="preserve"> It also asserted that Atradius would not enjoy reasonable prospects of success</w:t>
      </w:r>
      <w:r w:rsidR="00896DE9">
        <w:t xml:space="preserve"> in any claim for financial compensation, and stated that </w:t>
      </w:r>
      <w:r w:rsidR="00F91A97">
        <w:t xml:space="preserve">the power under s 90-15(1) of the IPS would not be exercised by a </w:t>
      </w:r>
      <w:r w:rsidR="00DD68C9">
        <w:t>c</w:t>
      </w:r>
      <w:r w:rsidR="00F91A97">
        <w:t>ourt to order any payment by the administrators to Atradius for reasons including that it would not achieve any objective of Pt 5.3A of the Act.</w:t>
      </w:r>
    </w:p>
    <w:p w14:paraId="38E6A077" w14:textId="047CF4E4" w:rsidR="002F716F" w:rsidRDefault="00F91A97" w:rsidP="004365AA">
      <w:pPr>
        <w:pStyle w:val="ParaNumbering"/>
      </w:pPr>
      <w:r>
        <w:t xml:space="preserve">The originating application also included a series of paragraphs in support of a contention that ASIC </w:t>
      </w:r>
      <w:r w:rsidR="00FB7CF4">
        <w:t xml:space="preserve">“improperly exercised its power by failing to take relevant matters into account when making the </w:t>
      </w:r>
      <w:r w:rsidR="005648E1">
        <w:t xml:space="preserve">[Authorisation] </w:t>
      </w:r>
      <w:r w:rsidR="00FB7CF4">
        <w:t>Decision”. The originating application brought the multitude of specific contentions together with the claim that</w:t>
      </w:r>
      <w:r w:rsidR="00AC27D3">
        <w:t>:</w:t>
      </w:r>
      <w:r w:rsidR="00FB7CF4">
        <w:t xml:space="preserve"> </w:t>
      </w:r>
      <w:r w:rsidR="004365AA">
        <w:t>“In the circumstances set out above, the [Authorisation] Decision was so unreasonable that no decision maker, acting reasonably, could have made the [Authorisation] Decision.”</w:t>
      </w:r>
    </w:p>
    <w:p w14:paraId="3D2A15E5" w14:textId="745C5456" w:rsidR="00614A69" w:rsidRDefault="00E03F8D" w:rsidP="0073368F">
      <w:pPr>
        <w:pStyle w:val="ParaNumbering"/>
      </w:pPr>
      <w:r>
        <w:t xml:space="preserve">The </w:t>
      </w:r>
      <w:r w:rsidR="00F9470E">
        <w:t xml:space="preserve">relief sought by the Liquidators was </w:t>
      </w:r>
      <w:r w:rsidR="00D03A46">
        <w:t>a declaration that the Authorisation Decision was contrary to law</w:t>
      </w:r>
      <w:r w:rsidR="00D848BD">
        <w:t>,</w:t>
      </w:r>
      <w:r w:rsidR="00D03A46">
        <w:t xml:space="preserve"> an order quashing or setting aside the Authorisation Decision</w:t>
      </w:r>
      <w:r w:rsidR="008007B2">
        <w:t>,</w:t>
      </w:r>
      <w:r w:rsidR="00D848BD">
        <w:t xml:space="preserve"> and an order remitting the matter to ASIC for further consideration in accordance with </w:t>
      </w:r>
      <w:r w:rsidR="00D85195">
        <w:t>law</w:t>
      </w:r>
      <w:r w:rsidR="00D03A46">
        <w:t xml:space="preserve">. </w:t>
      </w:r>
      <w:r>
        <w:t xml:space="preserve"> </w:t>
      </w:r>
    </w:p>
    <w:p w14:paraId="08A591CE" w14:textId="092163B2" w:rsidR="001352FC" w:rsidRDefault="0076719E" w:rsidP="0073368F">
      <w:pPr>
        <w:pStyle w:val="ParaNumbering"/>
      </w:pPr>
      <w:r>
        <w:lastRenderedPageBreak/>
        <w:t xml:space="preserve">The proceeding was </w:t>
      </w:r>
      <w:r w:rsidR="000C2EEE">
        <w:t xml:space="preserve">dismissed following the making of the Revocation Decision, but that </w:t>
      </w:r>
      <w:r w:rsidR="004157DB">
        <w:t>decision does not</w:t>
      </w:r>
      <w:r w:rsidR="000C6415">
        <w:t xml:space="preserve"> </w:t>
      </w:r>
      <w:r w:rsidR="004157DB">
        <w:t xml:space="preserve">entail a capitulation to the Liquidators’ claim. </w:t>
      </w:r>
      <w:r w:rsidR="0026402B">
        <w:t xml:space="preserve">Not only </w:t>
      </w:r>
      <w:r w:rsidR="00397CE0">
        <w:t xml:space="preserve">does the originating application seek review of a different decision (the Authorisation Decision), </w:t>
      </w:r>
      <w:r w:rsidR="00CC4B61">
        <w:t xml:space="preserve">it does not, of its nature </w:t>
      </w:r>
      <w:r w:rsidR="004C56F8">
        <w:t xml:space="preserve">and by reference to the circumstances in which the Revocation Decision came about, </w:t>
      </w:r>
      <w:r w:rsidR="00350DD1">
        <w:t>necessarily entail</w:t>
      </w:r>
      <w:r w:rsidR="00E53DBA">
        <w:t xml:space="preserve"> </w:t>
      </w:r>
      <w:r w:rsidR="008463CF">
        <w:t xml:space="preserve">capitulation </w:t>
      </w:r>
      <w:r w:rsidR="00256314">
        <w:t xml:space="preserve">to the substance of the </w:t>
      </w:r>
      <w:r w:rsidR="000D6440">
        <w:t xml:space="preserve">Liquidators’ case, </w:t>
      </w:r>
      <w:r w:rsidR="00403830">
        <w:t xml:space="preserve">as set </w:t>
      </w:r>
      <w:r w:rsidR="0086371F">
        <w:t xml:space="preserve">out in the originating application. </w:t>
      </w:r>
    </w:p>
    <w:p w14:paraId="6DF121DE" w14:textId="316F1454" w:rsidR="00804EEC" w:rsidRDefault="00B932D0" w:rsidP="0073368F">
      <w:pPr>
        <w:pStyle w:val="ParaNumbering"/>
      </w:pPr>
      <w:r>
        <w:t xml:space="preserve">The Liquidators’ submissions </w:t>
      </w:r>
      <w:r w:rsidR="002B05AE">
        <w:t xml:space="preserve">in this regard </w:t>
      </w:r>
      <w:r w:rsidR="00E5476F">
        <w:t>misconceive</w:t>
      </w:r>
      <w:r w:rsidR="00013103">
        <w:t xml:space="preserve"> the nature of the proceeding and the relief sought. </w:t>
      </w:r>
      <w:r w:rsidR="00D85195">
        <w:t>As set out above</w:t>
      </w:r>
      <w:r w:rsidR="00C035F5">
        <w:t>, the proceeding sought judicial review of a particular decision, that was made at a particular time</w:t>
      </w:r>
      <w:r w:rsidR="00FB1493">
        <w:t>, based on particular information and with particular processes having been adopted</w:t>
      </w:r>
      <w:r w:rsidR="00C035F5">
        <w:t xml:space="preserve">. </w:t>
      </w:r>
      <w:r w:rsidR="00FB1493">
        <w:t>In bringing the proceeding, the Liquidators contended</w:t>
      </w:r>
      <w:r w:rsidR="00C035F5">
        <w:t xml:space="preserve">, inter alia, </w:t>
      </w:r>
      <w:r w:rsidR="00795A18">
        <w:t xml:space="preserve">that ASIC had “improperly exercised its power”. ASIC’s </w:t>
      </w:r>
      <w:r w:rsidR="00A77313">
        <w:t xml:space="preserve">Revocation Decision </w:t>
      </w:r>
      <w:r w:rsidR="001F6C56">
        <w:t>was made</w:t>
      </w:r>
      <w:r w:rsidR="00804EEC">
        <w:t>:</w:t>
      </w:r>
    </w:p>
    <w:p w14:paraId="17DE70ED" w14:textId="4D21B9E7" w:rsidR="00381949" w:rsidRDefault="00795A18" w:rsidP="00E719C4">
      <w:pPr>
        <w:pStyle w:val="ListNo1alt"/>
        <w:numPr>
          <w:ilvl w:val="0"/>
          <w:numId w:val="40"/>
        </w:numPr>
      </w:pPr>
      <w:r>
        <w:t>at a time that post-dated the NSW Judgment</w:t>
      </w:r>
      <w:r w:rsidR="00E719C4">
        <w:t xml:space="preserve"> and</w:t>
      </w:r>
      <w:r>
        <w:t xml:space="preserve"> the expiry of the appeal period in respect of that </w:t>
      </w:r>
      <w:r w:rsidR="001352FC">
        <w:t>judgment</w:t>
      </w:r>
      <w:r w:rsidR="00E719C4">
        <w:t>;</w:t>
      </w:r>
      <w:r w:rsidR="002C775F">
        <w:t xml:space="preserve"> and </w:t>
      </w:r>
    </w:p>
    <w:p w14:paraId="332D9E39" w14:textId="77777777" w:rsidR="007A5F11" w:rsidRDefault="002C775F" w:rsidP="00E719C4">
      <w:pPr>
        <w:pStyle w:val="ListNo1alt"/>
        <w:numPr>
          <w:ilvl w:val="0"/>
          <w:numId w:val="40"/>
        </w:numPr>
      </w:pPr>
      <w:r>
        <w:t xml:space="preserve">when </w:t>
      </w:r>
      <w:r w:rsidR="0003380D">
        <w:t xml:space="preserve">ASIC had decided, based on </w:t>
      </w:r>
      <w:r>
        <w:t>Atradius</w:t>
      </w:r>
      <w:r w:rsidR="0003380D">
        <w:t>’ failure to respond to its enquiries</w:t>
      </w:r>
      <w:r w:rsidR="00796430">
        <w:t xml:space="preserve"> between May and August 2023, that Atradius was no</w:t>
      </w:r>
      <w:r w:rsidR="00362719">
        <w:t xml:space="preserve"> longer intending to </w:t>
      </w:r>
      <w:r w:rsidR="00362719" w:rsidRPr="00804EEC">
        <w:rPr>
          <w:i/>
          <w:iCs/>
        </w:rPr>
        <w:t xml:space="preserve">use </w:t>
      </w:r>
      <w:r w:rsidR="00362719">
        <w:t xml:space="preserve">the authorisation in any case. </w:t>
      </w:r>
    </w:p>
    <w:p w14:paraId="53B78298" w14:textId="26DB231F" w:rsidR="009D5869" w:rsidRDefault="00362719" w:rsidP="003763EA">
      <w:pPr>
        <w:pStyle w:val="NoNum"/>
      </w:pPr>
      <w:r>
        <w:t xml:space="preserve">There is nothing in that that amounts to capitulation to the </w:t>
      </w:r>
      <w:r w:rsidR="003763EA">
        <w:t xml:space="preserve">judicial review </w:t>
      </w:r>
      <w:r>
        <w:t>case the Liquidators advanced</w:t>
      </w:r>
      <w:r w:rsidR="003763EA">
        <w:t xml:space="preserve"> in respect of the Authorisation Decision</w:t>
      </w:r>
      <w:r>
        <w:t>.</w:t>
      </w:r>
      <w:r w:rsidR="009D5869">
        <w:t xml:space="preserve"> </w:t>
      </w:r>
    </w:p>
    <w:p w14:paraId="5D125483" w14:textId="10F8996B" w:rsidR="00610B17" w:rsidRDefault="009D5869" w:rsidP="0073368F">
      <w:pPr>
        <w:pStyle w:val="ParaNumbering"/>
      </w:pPr>
      <w:r w:rsidRPr="007D7B3F">
        <w:rPr>
          <w:i/>
          <w:iCs/>
        </w:rPr>
        <w:t xml:space="preserve">Balanggarra Aboriginal Corporation v State of Western Australia </w:t>
      </w:r>
      <w:r w:rsidRPr="007D7B3F">
        <w:t>[2018] FCA 1538</w:t>
      </w:r>
      <w:r>
        <w:t>, relied on by the Liquidators, is an example of a case where the respondent capitulated on the central, substantive point (whether certain legislation applied to require that the applicant in that case obtain a permit to conduct traditional burning). But, as I have said, ASIC did not capitulate on the central</w:t>
      </w:r>
      <w:r w:rsidR="005F2629">
        <w:t xml:space="preserve">, substantive points in </w:t>
      </w:r>
      <w:r w:rsidR="003763EA">
        <w:t xml:space="preserve">this </w:t>
      </w:r>
      <w:r w:rsidR="005F2629">
        <w:t>litigation, which concerned whether or not its Authorisation Decision was infected by error and ought to be quashed.</w:t>
      </w:r>
    </w:p>
    <w:p w14:paraId="7345A504" w14:textId="16B017AE" w:rsidR="00F73AD0" w:rsidRDefault="00610B17" w:rsidP="0073368F">
      <w:pPr>
        <w:pStyle w:val="ParaNumbering"/>
      </w:pPr>
      <w:r>
        <w:t xml:space="preserve">While a costs order may be made in favour of a party where there is something short of complete success, but the outcome “sufficiently achieves the party’s purpose in bringing the proceedings” </w:t>
      </w:r>
      <w:r w:rsidR="00BC3DA5">
        <w:t>(</w:t>
      </w:r>
      <w:r w:rsidR="00BC3DA5">
        <w:rPr>
          <w:i/>
          <w:iCs/>
        </w:rPr>
        <w:t>Mahindra Automotive</w:t>
      </w:r>
      <w:r>
        <w:t xml:space="preserve"> at [35(d)] (Halley J)</w:t>
      </w:r>
      <w:r w:rsidR="0065323F">
        <w:t>)</w:t>
      </w:r>
      <w:r>
        <w:t xml:space="preserve">, that is not this case. </w:t>
      </w:r>
      <w:r w:rsidR="008450EF">
        <w:t xml:space="preserve">While it might be said, at a high level of generality, that the Liquidators’ evident “purpose” in bringing the proceedings was </w:t>
      </w:r>
      <w:r w:rsidR="00B071D9">
        <w:t xml:space="preserve">to ensure that they were not examined by Atradius in connection with the affairs of the Arrium Group, </w:t>
      </w:r>
      <w:r w:rsidR="00C9258F">
        <w:t xml:space="preserve">the proceedings themselves </w:t>
      </w:r>
      <w:r w:rsidR="001570FD">
        <w:t xml:space="preserve">were directed to having the </w:t>
      </w:r>
      <w:r w:rsidR="001570FD">
        <w:lastRenderedPageBreak/>
        <w:t>Authorisation Decision set aside</w:t>
      </w:r>
      <w:r w:rsidR="00C9258F">
        <w:t>.</w:t>
      </w:r>
      <w:r w:rsidR="001570FD">
        <w:t xml:space="preserve"> The Revocation Decision rendered the pursuit of that objective futile, </w:t>
      </w:r>
      <w:r w:rsidR="007062C6">
        <w:t xml:space="preserve">but it did not secure that objective. </w:t>
      </w:r>
    </w:p>
    <w:p w14:paraId="1BAF9E13" w14:textId="12D0469D" w:rsidR="00433ACD" w:rsidRDefault="005F2629" w:rsidP="0073368F">
      <w:pPr>
        <w:pStyle w:val="ParaNumbering"/>
      </w:pPr>
      <w:r>
        <w:t xml:space="preserve">In light of my conclusion that there ought not be any general costs order in the Liquidators’ favour, it is not strictly necessary to say anything about </w:t>
      </w:r>
      <w:r w:rsidR="00672488">
        <w:t xml:space="preserve">their </w:t>
      </w:r>
      <w:r>
        <w:t xml:space="preserve">submission that </w:t>
      </w:r>
      <w:r w:rsidR="00422EEE">
        <w:t xml:space="preserve">they </w:t>
      </w:r>
      <w:r>
        <w:t xml:space="preserve">should have </w:t>
      </w:r>
      <w:r w:rsidR="00920911">
        <w:t xml:space="preserve">their </w:t>
      </w:r>
      <w:r>
        <w:t xml:space="preserve">costs on an indemnity basis from 4 May 2023. </w:t>
      </w:r>
      <w:r w:rsidR="008A2BA2">
        <w:t>The significance of that date is that it is the day after the NSW Judgment was delivered and the</w:t>
      </w:r>
      <w:r w:rsidR="00BB537C">
        <w:t xml:space="preserve"> day on which</w:t>
      </w:r>
      <w:r w:rsidR="008A2BA2">
        <w:t xml:space="preserve"> Liquidators’ solicitors </w:t>
      </w:r>
      <w:r w:rsidR="00FF5FCB">
        <w:t xml:space="preserve">had </w:t>
      </w:r>
      <w:r w:rsidR="001F0668">
        <w:t xml:space="preserve">emailed ASIC </w:t>
      </w:r>
      <w:r w:rsidR="00FF5FCB">
        <w:t xml:space="preserve">asking whether ASIC would </w:t>
      </w:r>
      <w:r w:rsidR="0082140B">
        <w:t>repeal</w:t>
      </w:r>
      <w:r w:rsidR="00FF5FCB">
        <w:t xml:space="preserve">, rescind, revoke or vary </w:t>
      </w:r>
      <w:r w:rsidR="00DC1C15">
        <w:t xml:space="preserve">the “eligible applicant” status granted to Atradius.  </w:t>
      </w:r>
    </w:p>
    <w:p w14:paraId="293A85BD" w14:textId="2C22685A" w:rsidR="00433ACD" w:rsidRDefault="00433ACD" w:rsidP="0073368F">
      <w:pPr>
        <w:pStyle w:val="ParaNumbering"/>
      </w:pPr>
      <w:r>
        <w:t xml:space="preserve">I will, however, record for completeness that even if I had been persuaded that the Liquidators should have their costs, I would not have awarded costs on an indemnity basis. </w:t>
      </w:r>
      <w:r w:rsidR="00C87C66">
        <w:t xml:space="preserve">I do not consider that the Respondents can be said to have acted unreasonably in not immediately </w:t>
      </w:r>
      <w:r w:rsidR="00CE1A71">
        <w:t>“</w:t>
      </w:r>
      <w:r w:rsidR="00C87C66">
        <w:t xml:space="preserve">folding” following the issue of the NSW Judgment. </w:t>
      </w:r>
      <w:r w:rsidR="00AC4AEC">
        <w:t>There were a number of difficulties with the Liquidators’ submission that they should have their costs on an indemnity basis after delivery of the NSW Judgment.</w:t>
      </w:r>
    </w:p>
    <w:p w14:paraId="2C72BD9B" w14:textId="3F0A0D4D" w:rsidR="00083904" w:rsidRDefault="00AC4AEC" w:rsidP="005E7BE5">
      <w:pPr>
        <w:pStyle w:val="ParaNumbering"/>
      </w:pPr>
      <w:r>
        <w:t xml:space="preserve">The first difficulty is that </w:t>
      </w:r>
      <w:r w:rsidR="00F24DB9">
        <w:t>t</w:t>
      </w:r>
      <w:r w:rsidR="00C905DA">
        <w:t xml:space="preserve">he NSW Judgment </w:t>
      </w:r>
      <w:r w:rsidR="001F45CC">
        <w:t xml:space="preserve">does not, ipso facto, </w:t>
      </w:r>
      <w:r w:rsidR="000F71CA">
        <w:t xml:space="preserve">mean that the </w:t>
      </w:r>
      <w:r w:rsidR="003044EE">
        <w:t xml:space="preserve">originating application would have </w:t>
      </w:r>
      <w:r w:rsidR="008F081C">
        <w:t xml:space="preserve">succeeded. </w:t>
      </w:r>
      <w:r>
        <w:t>The Liquidators highlighted Black J’s conclusion as to Atradius not being a creditor</w:t>
      </w:r>
      <w:r w:rsidR="004F4797">
        <w:t xml:space="preserve"> but, as already set out, the originating application travelled well beyond that point.</w:t>
      </w:r>
      <w:r w:rsidR="00C87C66">
        <w:t xml:space="preserve"> Had it gone to trial, </w:t>
      </w:r>
      <w:r w:rsidR="00E502D2">
        <w:t xml:space="preserve">ASIC’s decision-making and processes leading to the Authorisation Decision </w:t>
      </w:r>
      <w:r w:rsidR="00E502D2" w:rsidRPr="00991A02">
        <w:rPr>
          <w:i/>
          <w:iCs/>
        </w:rPr>
        <w:t>in June 2022</w:t>
      </w:r>
      <w:r w:rsidR="00E502D2">
        <w:t xml:space="preserve"> would have been closely examined. T</w:t>
      </w:r>
      <w:r w:rsidR="00C87C66">
        <w:t xml:space="preserve">he issue of a substantial judgment following a contested hearing, nearly a year after ASIC’s impugned decision was made, does not necessarily reveal the kind of error that would result in a successful judicial review case in respect of the Authorisation Decision made, as it was, in June 2022. The Liquidators’ submission seems to be that ASIC and Atradius should have “folded” immediately upon the issue of the NSW Judgment, but that conclusion simply does not follow. </w:t>
      </w:r>
    </w:p>
    <w:p w14:paraId="5A94B995" w14:textId="7FAD1D2F" w:rsidR="00083904" w:rsidRDefault="004F4797" w:rsidP="005E7BE5">
      <w:pPr>
        <w:pStyle w:val="ParaNumbering"/>
      </w:pPr>
      <w:r>
        <w:t xml:space="preserve">Secondly, and as </w:t>
      </w:r>
      <w:r w:rsidR="00AD083A">
        <w:t xml:space="preserve">Atradius’ submissions noted, </w:t>
      </w:r>
      <w:r w:rsidR="003B3880">
        <w:t xml:space="preserve">Black J </w:t>
      </w:r>
      <w:r w:rsidR="004B11B0">
        <w:t xml:space="preserve">expressly </w:t>
      </w:r>
      <w:r w:rsidR="003B3880">
        <w:t xml:space="preserve">left open </w:t>
      </w:r>
      <w:r w:rsidR="004B11B0">
        <w:t>that Atradius may be an “interested person” on another basis</w:t>
      </w:r>
      <w:r w:rsidR="00E502D2">
        <w:t>, as to which it should be noted that part of the Liquidators’ originating application concerned whether ASIC should have ruled Atradius out as an “interested person”</w:t>
      </w:r>
      <w:r w:rsidR="004B11B0">
        <w:t xml:space="preserve">. </w:t>
      </w:r>
    </w:p>
    <w:p w14:paraId="0D92560E" w14:textId="5F9DC639" w:rsidR="00560B14" w:rsidRDefault="004B11B0" w:rsidP="005E7BE5">
      <w:pPr>
        <w:pStyle w:val="ParaNumbering"/>
      </w:pPr>
      <w:r>
        <w:t xml:space="preserve">Thirdly, the Liquidators’ submissions failed to account for the prospect of an appeal against the NSW Judgment. Atradius filed a Notice of Intention to Appeal. </w:t>
      </w:r>
      <w:r w:rsidR="00F471CD">
        <w:t>Once the deadline for it to file an appeal had passed, ASIC made its Revocation Decision fairly promptly</w:t>
      </w:r>
      <w:r w:rsidR="00E502D2">
        <w:t xml:space="preserve"> (albeit that the </w:t>
      </w:r>
      <w:r w:rsidR="00E502D2">
        <w:lastRenderedPageBreak/>
        <w:t>stated basis of that decision did not lie in the NSW Judgment)</w:t>
      </w:r>
      <w:r w:rsidR="00F471CD">
        <w:t xml:space="preserve">. The evidence also shows that ASIC had made repeated attempts to engage with </w:t>
      </w:r>
      <w:r w:rsidR="003B15E2">
        <w:t xml:space="preserve">Atradius in the intervening period </w:t>
      </w:r>
      <w:r w:rsidR="009E1E77">
        <w:t xml:space="preserve">after </w:t>
      </w:r>
      <w:r w:rsidR="003B15E2">
        <w:t xml:space="preserve">the NSW Judgment was delivered. I reject the suggestion, made by the Liquidators, that ASIC </w:t>
      </w:r>
      <w:r w:rsidR="00382A9A">
        <w:t>“let the issue drift”.</w:t>
      </w:r>
      <w:r w:rsidR="00407406">
        <w:t xml:space="preserve"> </w:t>
      </w:r>
    </w:p>
    <w:p w14:paraId="2308B196" w14:textId="497BAF72" w:rsidR="00560B14" w:rsidRDefault="00407406" w:rsidP="005E7BE5">
      <w:pPr>
        <w:pStyle w:val="ParaNumbering"/>
      </w:pPr>
      <w:r>
        <w:t xml:space="preserve">Fourthly, the Liquidators’ submissions invited the Court to, in effect, conduct a mini-trial </w:t>
      </w:r>
      <w:r w:rsidR="004F1CE1">
        <w:t xml:space="preserve">and treat the outcome of the NSW Judgment as a blueprint for how matters </w:t>
      </w:r>
      <w:r w:rsidR="008C5E7C">
        <w:t xml:space="preserve">the subject of this proceeding would have </w:t>
      </w:r>
      <w:r w:rsidR="00B44025">
        <w:t xml:space="preserve">been </w:t>
      </w:r>
      <w:r w:rsidR="008C5E7C">
        <w:t>analysed</w:t>
      </w:r>
      <w:r w:rsidR="00F12F56">
        <w:t>. The Liquidators</w:t>
      </w:r>
      <w:r w:rsidR="008C5E7C">
        <w:t xml:space="preserve"> contend</w:t>
      </w:r>
      <w:r w:rsidR="00F12F56">
        <w:t>ed</w:t>
      </w:r>
      <w:r w:rsidR="008C5E7C">
        <w:t xml:space="preserve"> that the outcome was so obvious that ASIC should have recognised it immediately. Not only is a costs application not the occasion for a de facto mini-trial, but the submission ignores the fact that Black J heard the applications over three days and issued a </w:t>
      </w:r>
      <w:r w:rsidR="00571003">
        <w:t>judgment running to 100 pages.</w:t>
      </w:r>
      <w:r w:rsidR="00A71F93">
        <w:t xml:space="preserve"> </w:t>
      </w:r>
    </w:p>
    <w:p w14:paraId="190B7B11" w14:textId="0F997EA2" w:rsidR="00AC4AEC" w:rsidRDefault="00A71F93" w:rsidP="005E7BE5">
      <w:pPr>
        <w:pStyle w:val="ParaNumbering"/>
      </w:pPr>
      <w:r>
        <w:t>Fifthly, pinning the application for indemnity costs to the NSW Judgment overlooks that</w:t>
      </w:r>
      <w:r w:rsidR="00C31B0B">
        <w:t>, according to its terms,</w:t>
      </w:r>
      <w:r>
        <w:t xml:space="preserve"> the Revocation Decision was made on </w:t>
      </w:r>
      <w:r w:rsidR="00C31B0B">
        <w:t xml:space="preserve">other bases; it was not a direct </w:t>
      </w:r>
      <w:r w:rsidR="003763EA">
        <w:t xml:space="preserve">and inevitable </w:t>
      </w:r>
      <w:r w:rsidR="00C31B0B">
        <w:t>administrative reflection of the NSW Judgment.</w:t>
      </w:r>
    </w:p>
    <w:p w14:paraId="0EDCB1E8" w14:textId="284C600B" w:rsidR="00C40E57" w:rsidRDefault="0073368F" w:rsidP="00790C3A">
      <w:pPr>
        <w:pStyle w:val="Heading1"/>
      </w:pPr>
      <w:r>
        <w:t>costs of this application</w:t>
      </w:r>
    </w:p>
    <w:p w14:paraId="7349FF7E" w14:textId="6D9D67BC" w:rsidR="00BC715D" w:rsidRDefault="00E502D2" w:rsidP="0073368F">
      <w:pPr>
        <w:pStyle w:val="ParaNumbering"/>
      </w:pPr>
      <w:r>
        <w:t xml:space="preserve">ASIC and Atradius made a number of offers to the effect that the parties bear their own costs. </w:t>
      </w:r>
    </w:p>
    <w:p w14:paraId="2A14D197" w14:textId="2C11C90F" w:rsidR="007E1D32" w:rsidRDefault="008C1D22" w:rsidP="007E1D32">
      <w:pPr>
        <w:pStyle w:val="ListNo1alt"/>
        <w:numPr>
          <w:ilvl w:val="0"/>
          <w:numId w:val="38"/>
        </w:numPr>
      </w:pPr>
      <w:r>
        <w:t>O</w:t>
      </w:r>
      <w:r w:rsidR="00C87948">
        <w:t xml:space="preserve">n 15 September 2023, </w:t>
      </w:r>
      <w:r w:rsidR="005B3580">
        <w:t xml:space="preserve">PR wrote to ABL </w:t>
      </w:r>
      <w:r w:rsidR="00232159">
        <w:t xml:space="preserve">inviting the Liquidators </w:t>
      </w:r>
      <w:r w:rsidR="00BA3F84">
        <w:t xml:space="preserve">to </w:t>
      </w:r>
      <w:r w:rsidR="00613CBC">
        <w:t>consent to an order that there be</w:t>
      </w:r>
      <w:r w:rsidR="0087625E">
        <w:t xml:space="preserve"> no</w:t>
      </w:r>
      <w:r w:rsidR="00BD6C95">
        <w:t xml:space="preserve"> order made as to</w:t>
      </w:r>
      <w:r w:rsidR="005B4BB7">
        <w:t xml:space="preserve"> the</w:t>
      </w:r>
      <w:r w:rsidR="0087625E">
        <w:t xml:space="preserve"> costs</w:t>
      </w:r>
      <w:r w:rsidR="00C240F2">
        <w:t xml:space="preserve"> of the proceeding</w:t>
      </w:r>
      <w:r w:rsidR="00776AAF">
        <w:t xml:space="preserve"> as</w:t>
      </w:r>
      <w:r w:rsidR="00C240F2">
        <w:t xml:space="preserve"> between the Liquidators and Atradius. </w:t>
      </w:r>
    </w:p>
    <w:p w14:paraId="44903A65" w14:textId="1BCF307E" w:rsidR="002F023C" w:rsidRDefault="002F023C" w:rsidP="007E1D32">
      <w:pPr>
        <w:pStyle w:val="ListNo1alt"/>
        <w:numPr>
          <w:ilvl w:val="0"/>
          <w:numId w:val="38"/>
        </w:numPr>
      </w:pPr>
      <w:r>
        <w:t>On</w:t>
      </w:r>
      <w:r w:rsidR="00BA14B4">
        <w:t xml:space="preserve"> 7 and 19 September 202</w:t>
      </w:r>
      <w:r w:rsidR="007D60E8">
        <w:t>3, ASIC made</w:t>
      </w:r>
      <w:r w:rsidR="004F6986">
        <w:t xml:space="preserve"> the Liquidators</w:t>
      </w:r>
      <w:r w:rsidR="007D60E8">
        <w:t xml:space="preserve"> </w:t>
      </w:r>
      <w:r w:rsidR="002E39CC">
        <w:t>an offer</w:t>
      </w:r>
      <w:r w:rsidR="00C41567">
        <w:t xml:space="preserve"> to accept</w:t>
      </w:r>
      <w:r w:rsidR="007D60E8">
        <w:t xml:space="preserve"> that </w:t>
      </w:r>
      <w:r w:rsidR="00C539B6">
        <w:t>there be no order as to</w:t>
      </w:r>
      <w:r w:rsidR="00C461EC">
        <w:t xml:space="preserve"> the</w:t>
      </w:r>
      <w:r w:rsidR="00C539B6">
        <w:t xml:space="preserve"> costs of the proceeding between the Liquidators and ASIC. </w:t>
      </w:r>
    </w:p>
    <w:p w14:paraId="32053049" w14:textId="77777777" w:rsidR="009635BE" w:rsidRDefault="00B87143" w:rsidP="007E1D32">
      <w:pPr>
        <w:pStyle w:val="ListNo1alt"/>
        <w:numPr>
          <w:ilvl w:val="0"/>
          <w:numId w:val="38"/>
        </w:numPr>
      </w:pPr>
      <w:r>
        <w:t>On 30 November 2023, prior to the mediation</w:t>
      </w:r>
      <w:r w:rsidR="009635BE">
        <w:t xml:space="preserve"> of the costs dispute</w:t>
      </w:r>
      <w:r>
        <w:t xml:space="preserve">, </w:t>
      </w:r>
      <w:r w:rsidR="007D01E7">
        <w:t>Atradius repeated its offer to resolve the costs dispute on the basis that each party bear its own costs.</w:t>
      </w:r>
      <w:r w:rsidR="00D7157E">
        <w:t xml:space="preserve"> </w:t>
      </w:r>
    </w:p>
    <w:p w14:paraId="0C096AD2" w14:textId="3DAD077E" w:rsidR="00B87143" w:rsidRDefault="00D7157E" w:rsidP="007E1D32">
      <w:pPr>
        <w:pStyle w:val="ListNo1alt"/>
        <w:numPr>
          <w:ilvl w:val="0"/>
          <w:numId w:val="38"/>
        </w:numPr>
      </w:pPr>
      <w:r>
        <w:t xml:space="preserve">ASIC also repeated its offer in relation to the costs dispute both before and after the unsuccessful mediation. </w:t>
      </w:r>
    </w:p>
    <w:p w14:paraId="7C84F67D" w14:textId="7EE02BB9" w:rsidR="00560B14" w:rsidRDefault="009840F6" w:rsidP="00560B14">
      <w:pPr>
        <w:pStyle w:val="ParaNumbering"/>
      </w:pPr>
      <w:r>
        <w:t>Despite those offers, the Liquidators maintained their position</w:t>
      </w:r>
      <w:r w:rsidR="008776A4">
        <w:t>.</w:t>
      </w:r>
      <w:r>
        <w:t xml:space="preserve"> </w:t>
      </w:r>
      <w:r w:rsidR="009D76FB">
        <w:t>The maintenance of that position</w:t>
      </w:r>
      <w:r w:rsidR="00B22DF0">
        <w:t xml:space="preserve"> </w:t>
      </w:r>
      <w:r w:rsidR="006C4AA7">
        <w:t>has le</w:t>
      </w:r>
      <w:r w:rsidR="00265F13">
        <w:t>d</w:t>
      </w:r>
      <w:r w:rsidR="00152C2C">
        <w:t xml:space="preserve"> </w:t>
      </w:r>
      <w:r w:rsidR="009952FB">
        <w:t xml:space="preserve">to </w:t>
      </w:r>
      <w:r w:rsidR="000855DF">
        <w:t xml:space="preserve">ASIC and Atradius incurring costs in resisting the Liquidators’ costs application. They have prevailed in resisting that application and should have their costs of so doing. </w:t>
      </w:r>
    </w:p>
    <w:p w14:paraId="764F79B1" w14:textId="7EF7E353" w:rsidR="00560B14" w:rsidRDefault="00560B14" w:rsidP="00560B14">
      <w:pPr>
        <w:pStyle w:val="ParaNumbering"/>
      </w:pPr>
      <w:r>
        <w:t xml:space="preserve">The Liquidators’ dogged pursuit of costs has resulted in substantial further affidavit material being filed, lengthy submissions being prepared, and the Court’s time being taken up </w:t>
      </w:r>
      <w:r>
        <w:lastRenderedPageBreak/>
        <w:t>determining a costs dispute that became disproportionate to what was at stake, noting that the Liquidators already had a costs order in their favour concerning the suppression dispute, and little else of substance occurred in the litigation</w:t>
      </w:r>
      <w:r w:rsidR="00E502D2">
        <w:t xml:space="preserve"> before it was settled</w:t>
      </w:r>
      <w:r>
        <w:t>.</w:t>
      </w:r>
    </w:p>
    <w:p w14:paraId="0E30D0BC" w14:textId="60557B68" w:rsidR="00265F13" w:rsidRDefault="000855DF" w:rsidP="000855DF">
      <w:pPr>
        <w:pStyle w:val="ParaNumbering"/>
      </w:pPr>
      <w:r>
        <w:t xml:space="preserve">I will order </w:t>
      </w:r>
      <w:r w:rsidR="00521C6F">
        <w:t xml:space="preserve">the </w:t>
      </w:r>
      <w:r w:rsidR="00662B5D">
        <w:t>R</w:t>
      </w:r>
      <w:r w:rsidR="00521C6F">
        <w:t xml:space="preserve">espondents have their costs of the costs application. </w:t>
      </w:r>
      <w:r w:rsidR="00F51B1E">
        <w:t xml:space="preserve">Those costs will be on a standard basis, noting that ASIC and Atradius did not seek those costs on an indemnity basis. </w:t>
      </w:r>
    </w:p>
    <w:p w14:paraId="49AAFE4B" w14:textId="77777777" w:rsidR="000247AB" w:rsidRDefault="000247AB" w:rsidP="00815065">
      <w:pPr>
        <w:pStyle w:val="BodyText"/>
      </w:pPr>
      <w:bookmarkStart w:id="23" w:name="Certification"/>
    </w:p>
    <w:tbl>
      <w:tblPr>
        <w:tblW w:w="0" w:type="auto"/>
        <w:tblLook w:val="04A0" w:firstRow="1" w:lastRow="0" w:firstColumn="1" w:lastColumn="0" w:noHBand="0" w:noVBand="1"/>
      </w:tblPr>
      <w:tblGrid>
        <w:gridCol w:w="3794"/>
      </w:tblGrid>
      <w:tr w:rsidR="000247AB" w:rsidRPr="000247AB" w14:paraId="1E12FA61" w14:textId="77777777">
        <w:tc>
          <w:tcPr>
            <w:tcW w:w="3794" w:type="dxa"/>
            <w:shd w:val="clear" w:color="auto" w:fill="auto"/>
          </w:tcPr>
          <w:p w14:paraId="3FEA6434" w14:textId="17D08540" w:rsidR="000247AB" w:rsidRPr="000247AB" w:rsidRDefault="000247AB" w:rsidP="000247AB">
            <w:pPr>
              <w:pStyle w:val="Normal1linespace"/>
            </w:pPr>
            <w:r w:rsidRPr="000247AB">
              <w:t xml:space="preserve">I certify that the preceding </w:t>
            </w:r>
            <w:bookmarkStart w:id="24" w:name="NumberWord"/>
            <w:r>
              <w:t>fifty</w:t>
            </w:r>
            <w:bookmarkEnd w:id="24"/>
            <w:r w:rsidRPr="000247AB">
              <w:t xml:space="preserve"> (</w:t>
            </w:r>
            <w:bookmarkStart w:id="25" w:name="NumberNumeral"/>
            <w:r>
              <w:t>50</w:t>
            </w:r>
            <w:bookmarkEnd w:id="25"/>
            <w:r w:rsidRPr="000247AB">
              <w:t xml:space="preserve">) numbered </w:t>
            </w:r>
            <w:bookmarkStart w:id="26" w:name="CertPara"/>
            <w:r>
              <w:t>paragraphs are</w:t>
            </w:r>
            <w:bookmarkEnd w:id="26"/>
            <w:r w:rsidRPr="000247AB">
              <w:t xml:space="preserve"> a true copy of the Reasons for Judgment of </w:t>
            </w:r>
            <w:bookmarkStart w:id="27" w:name="bkHonourable"/>
            <w:r w:rsidRPr="000247AB">
              <w:t xml:space="preserve">the Honourable </w:t>
            </w:r>
            <w:bookmarkStart w:id="28" w:name="Justice"/>
            <w:bookmarkEnd w:id="27"/>
            <w:r>
              <w:t>Justice Button</w:t>
            </w:r>
            <w:bookmarkEnd w:id="28"/>
            <w:r w:rsidRPr="000247AB">
              <w:t>.</w:t>
            </w:r>
          </w:p>
        </w:tc>
      </w:tr>
    </w:tbl>
    <w:p w14:paraId="591C2CC2" w14:textId="77777777" w:rsidR="000247AB" w:rsidRDefault="000247AB" w:rsidP="00815065">
      <w:pPr>
        <w:pStyle w:val="BodyText"/>
      </w:pPr>
    </w:p>
    <w:p w14:paraId="28EE004B" w14:textId="77777777" w:rsidR="000247AB" w:rsidRDefault="000247AB" w:rsidP="00815065">
      <w:pPr>
        <w:pStyle w:val="BodyText"/>
      </w:pPr>
    </w:p>
    <w:p w14:paraId="4D8E13B6" w14:textId="77777777" w:rsidR="000247AB" w:rsidRDefault="000247AB" w:rsidP="00815065">
      <w:pPr>
        <w:pStyle w:val="BodyText"/>
      </w:pPr>
    </w:p>
    <w:p w14:paraId="5E971E7B" w14:textId="7BD01783" w:rsidR="000247AB" w:rsidRDefault="000247AB" w:rsidP="00815065">
      <w:pPr>
        <w:pStyle w:val="BodyText"/>
      </w:pPr>
      <w:r>
        <w:t>Associate:</w:t>
      </w:r>
      <w:r w:rsidR="001C5D28">
        <w:t xml:space="preserve"> </w:t>
      </w:r>
    </w:p>
    <w:p w14:paraId="66794E11" w14:textId="77777777" w:rsidR="000247AB" w:rsidRDefault="000247AB" w:rsidP="00815065">
      <w:pPr>
        <w:pStyle w:val="BodyText"/>
      </w:pPr>
    </w:p>
    <w:p w14:paraId="56B4C5E7" w14:textId="5B1E34EA" w:rsidR="000247AB" w:rsidRDefault="000247AB" w:rsidP="00815065">
      <w:pPr>
        <w:pStyle w:val="BodyText"/>
        <w:tabs>
          <w:tab w:val="left" w:pos="1134"/>
        </w:tabs>
      </w:pPr>
      <w:r>
        <w:t>Dated:</w:t>
      </w:r>
      <w:r>
        <w:tab/>
      </w:r>
      <w:bookmarkStart w:id="29" w:name="CertifyDated"/>
      <w:r w:rsidR="00643BDE">
        <w:t>16</w:t>
      </w:r>
      <w:r>
        <w:t xml:space="preserve"> April 2024</w:t>
      </w:r>
      <w:bookmarkEnd w:id="29"/>
    </w:p>
    <w:p w14:paraId="7019260D" w14:textId="77777777" w:rsidR="000247AB" w:rsidRDefault="000247AB" w:rsidP="00815065">
      <w:pPr>
        <w:pStyle w:val="BodyText"/>
      </w:pPr>
    </w:p>
    <w:bookmarkEnd w:id="23"/>
    <w:p w14:paraId="117CE5A8" w14:textId="77777777" w:rsidR="000247AB" w:rsidRDefault="000247AB" w:rsidP="003763EA">
      <w:pPr>
        <w:pStyle w:val="BodyText"/>
      </w:pPr>
    </w:p>
    <w:sectPr w:rsidR="000247AB"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E139" w14:textId="77777777" w:rsidR="00BA1631" w:rsidRDefault="00BA1631">
      <w:pPr>
        <w:spacing w:line="20" w:lineRule="exact"/>
      </w:pPr>
    </w:p>
    <w:p w14:paraId="6C4B0A9E" w14:textId="77777777" w:rsidR="00BA1631" w:rsidRDefault="00BA1631"/>
    <w:p w14:paraId="15E3311C" w14:textId="77777777" w:rsidR="00BA1631" w:rsidRDefault="00BA1631"/>
  </w:endnote>
  <w:endnote w:type="continuationSeparator" w:id="0">
    <w:p w14:paraId="6B066549" w14:textId="77777777" w:rsidR="00BA1631" w:rsidRDefault="00BA1631">
      <w:r>
        <w:t xml:space="preserve"> </w:t>
      </w:r>
    </w:p>
    <w:p w14:paraId="6F689714" w14:textId="77777777" w:rsidR="00BA1631" w:rsidRDefault="00BA1631"/>
    <w:p w14:paraId="1A78DA52" w14:textId="77777777" w:rsidR="00BA1631" w:rsidRDefault="00BA1631"/>
  </w:endnote>
  <w:endnote w:type="continuationNotice" w:id="1">
    <w:p w14:paraId="5300B92E" w14:textId="77777777" w:rsidR="00BA1631" w:rsidRDefault="00BA1631">
      <w:r>
        <w:t xml:space="preserve"> </w:t>
      </w:r>
    </w:p>
    <w:p w14:paraId="5DCD096D" w14:textId="77777777" w:rsidR="00BA1631" w:rsidRDefault="00BA1631"/>
    <w:p w14:paraId="1DEF9422" w14:textId="77777777" w:rsidR="00BA1631" w:rsidRDefault="00BA1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5428" w14:textId="6D226B4C" w:rsidR="006C6E39" w:rsidRPr="00DE7E73" w:rsidRDefault="00A436E8" w:rsidP="00DE7E73">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4656" behindDoc="0" locked="0" layoutInCell="1" allowOverlap="1" wp14:anchorId="4ED7B7DC" wp14:editId="44B5448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4EA97"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264E72">
          <w:rPr>
            <w:bCs/>
            <w:sz w:val="18"/>
            <w:szCs w:val="18"/>
          </w:rPr>
          <w:t>Mentha v Australian Securities and Investments Commission (Costs) [2024] FCA 375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E063" w14:textId="0CD7393C"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752" behindDoc="0" locked="0" layoutInCell="1" allowOverlap="1" wp14:anchorId="791274BC" wp14:editId="54154901">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EBC33"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6C91E0D077084E4C849B04AE34DEF535"/>
        </w:placeholder>
        <w:dataBinding w:prefixMappings="xmlns:ns0='http://schemas.globalmacros.com/FCA'" w:xpath="/ns0:root[1]/ns0:Name[1]" w:storeItemID="{687E7CCB-4AA5-44E7-B148-17BA2B6F57C0}"/>
        <w:text w:multiLine="1"/>
      </w:sdtPr>
      <w:sdtEndPr/>
      <w:sdtContent>
        <w:r w:rsidR="00264E72">
          <w:rPr>
            <w:bCs/>
            <w:sz w:val="18"/>
            <w:szCs w:val="18"/>
          </w:rPr>
          <w:t>Mentha v Australian Securities and Investments Commission (Costs) [2024] FCA 375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05B6E2DA" w14:textId="4329880D" w:rsidR="00A84FD0" w:rsidRPr="00A84FD0" w:rsidRDefault="00A84FD0" w:rsidP="00A84FD0">
    <w:pPr>
      <w:pStyle w:val="Footer"/>
      <w:jc w:val="center"/>
      <w:rPr>
        <w:sz w:val="28"/>
      </w:rPr>
    </w:pPr>
    <w:r>
      <w:rPr>
        <w:b/>
        <w:sz w:val="28"/>
      </w:rPr>
      <w:t>DRAFT - Judgment Template v.1</w:t>
    </w:r>
    <w:r w:rsidR="009D328D">
      <w:rPr>
        <w:b/>
        <w:sz w:val="28"/>
      </w:rPr>
      <w:t>.</w:t>
    </w:r>
    <w:r w:rsidR="00E23577">
      <w:rPr>
        <w:b/>
        <w:sz w:val="28"/>
      </w:rPr>
      <w:t>3</w:t>
    </w:r>
    <w:r>
      <w:rPr>
        <w:b/>
        <w:sz w:val="28"/>
      </w:rPr>
      <w:t xml:space="preserve"> - </w:t>
    </w:r>
    <w:r>
      <w:rPr>
        <w:b/>
        <w:sz w:val="28"/>
      </w:rPr>
      <w:fldChar w:fldCharType="begin"/>
    </w:r>
    <w:r>
      <w:rPr>
        <w:b/>
        <w:sz w:val="28"/>
      </w:rPr>
      <w:instrText xml:space="preserve"> DATE  \@ "d MMMM yyyy"  \* MERGEFORMAT </w:instrText>
    </w:r>
    <w:r>
      <w:rPr>
        <w:b/>
        <w:sz w:val="28"/>
      </w:rPr>
      <w:fldChar w:fldCharType="separate"/>
    </w:r>
    <w:r w:rsidR="00B26C7A">
      <w:rPr>
        <w:b/>
        <w:noProof/>
        <w:sz w:val="28"/>
      </w:rPr>
      <w:t>17 April 2024</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B26C7A">
      <w:rPr>
        <w:b/>
        <w:noProof/>
        <w:sz w:val="28"/>
      </w:rPr>
      <w:t>8:34 AM</w:t>
    </w:r>
    <w:r>
      <w:rP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0EEC" w14:textId="3E03D794" w:rsidR="00A436E8" w:rsidRPr="00DE7E73" w:rsidRDefault="00A436E8" w:rsidP="00DE7E73">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5680" behindDoc="0" locked="0" layoutInCell="1" allowOverlap="1" wp14:anchorId="4F9E9D2E" wp14:editId="1300C42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0D33A"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F1E2E193A6A249F49309F4C20AB37267"/>
        </w:placeholder>
        <w:dataBinding w:prefixMappings="xmlns:ns0='http://schemas.globalmacros.com/FCA'" w:xpath="/ns0:root[1]/ns0:Name[1]" w:storeItemID="{687E7CCB-4AA5-44E7-B148-17BA2B6F57C0}"/>
        <w:text w:multiLine="1"/>
      </w:sdtPr>
      <w:sdtEndPr/>
      <w:sdtContent>
        <w:r w:rsidR="00264E72">
          <w:rPr>
            <w:bCs/>
            <w:sz w:val="18"/>
            <w:szCs w:val="18"/>
          </w:rPr>
          <w:t>Mentha v Australian Securities and Investments Commission (Costs) [2024] FCA 375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25E7" w14:textId="1B57C63C" w:rsidR="00395B24" w:rsidRPr="00DE7E73" w:rsidRDefault="00A84FD0" w:rsidP="00DE7E73">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0800" behindDoc="0" locked="0" layoutInCell="1" allowOverlap="1" wp14:anchorId="1F72E3B7" wp14:editId="1596B68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5C503"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D641D40187D74E9F901DD096576DDA11"/>
        </w:placeholder>
        <w:dataBinding w:prefixMappings="xmlns:ns0='http://schemas.globalmacros.com/FCA'" w:xpath="/ns0:root[1]/ns0:Name[1]" w:storeItemID="{687E7CCB-4AA5-44E7-B148-17BA2B6F57C0}"/>
        <w:text w:multiLine="1"/>
      </w:sdtPr>
      <w:sdtEndPr/>
      <w:sdtContent>
        <w:r w:rsidR="00264E72">
          <w:rPr>
            <w:bCs/>
            <w:sz w:val="18"/>
            <w:szCs w:val="18"/>
          </w:rPr>
          <w:t>Mentha v Australian Securities and Investments Commission (Costs) [2024] FCA 375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F529" w14:textId="0ED84F45" w:rsidR="002F1E49" w:rsidRPr="00DE7E73" w:rsidRDefault="00A84FD0" w:rsidP="00DE7E73">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776" behindDoc="0" locked="0" layoutInCell="1" allowOverlap="1" wp14:anchorId="51E4303B" wp14:editId="3A1B1835">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EF8B8"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FCCE71D2116F414EB376331EA0C20571"/>
        </w:placeholder>
        <w:dataBinding w:prefixMappings="xmlns:ns0='http://schemas.globalmacros.com/FCA'" w:xpath="/ns0:root[1]/ns0:Name[1]" w:storeItemID="{687E7CCB-4AA5-44E7-B148-17BA2B6F57C0}"/>
        <w:text w:multiLine="1"/>
      </w:sdtPr>
      <w:sdtEndPr/>
      <w:sdtContent>
        <w:r w:rsidR="00264E72">
          <w:rPr>
            <w:bCs/>
            <w:sz w:val="18"/>
            <w:szCs w:val="18"/>
          </w:rPr>
          <w:t>Mentha v Australian Securities and Investments Commission (Costs) [2024] FCA 375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6EE0" w14:textId="77777777" w:rsidR="00BA1631" w:rsidRDefault="00BA1631"/>
  </w:footnote>
  <w:footnote w:type="continuationSeparator" w:id="0">
    <w:p w14:paraId="495A307E" w14:textId="77777777" w:rsidR="00BA1631" w:rsidRDefault="00BA1631">
      <w:r>
        <w:continuationSeparator/>
      </w:r>
    </w:p>
    <w:p w14:paraId="240333F8" w14:textId="77777777" w:rsidR="00BA1631" w:rsidRDefault="00BA1631"/>
    <w:p w14:paraId="29ED7954" w14:textId="77777777" w:rsidR="00BA1631" w:rsidRDefault="00BA1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3B78"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DD38"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2B7C"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CA2A"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321"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432555339">
    <w:abstractNumId w:val="14"/>
  </w:num>
  <w:num w:numId="2" w16cid:durableId="27415340">
    <w:abstractNumId w:val="9"/>
  </w:num>
  <w:num w:numId="3" w16cid:durableId="203517519">
    <w:abstractNumId w:val="7"/>
  </w:num>
  <w:num w:numId="4" w16cid:durableId="1798986317">
    <w:abstractNumId w:val="6"/>
  </w:num>
  <w:num w:numId="5" w16cid:durableId="1707681324">
    <w:abstractNumId w:val="5"/>
  </w:num>
  <w:num w:numId="6" w16cid:durableId="2018002765">
    <w:abstractNumId w:val="4"/>
  </w:num>
  <w:num w:numId="7" w16cid:durableId="692072589">
    <w:abstractNumId w:val="8"/>
  </w:num>
  <w:num w:numId="8" w16cid:durableId="1687555717">
    <w:abstractNumId w:val="3"/>
  </w:num>
  <w:num w:numId="9" w16cid:durableId="1572885398">
    <w:abstractNumId w:val="2"/>
  </w:num>
  <w:num w:numId="10" w16cid:durableId="212474105">
    <w:abstractNumId w:val="1"/>
  </w:num>
  <w:num w:numId="11" w16cid:durableId="2092584859">
    <w:abstractNumId w:val="0"/>
  </w:num>
  <w:num w:numId="12" w16cid:durableId="981420313">
    <w:abstractNumId w:val="22"/>
  </w:num>
  <w:num w:numId="13" w16cid:durableId="189220346">
    <w:abstractNumId w:val="20"/>
  </w:num>
  <w:num w:numId="14" w16cid:durableId="554005683">
    <w:abstractNumId w:val="21"/>
  </w:num>
  <w:num w:numId="15" w16cid:durableId="1867868351">
    <w:abstractNumId w:val="24"/>
  </w:num>
  <w:num w:numId="16" w16cid:durableId="979730364">
    <w:abstractNumId w:val="13"/>
  </w:num>
  <w:num w:numId="17" w16cid:durableId="667949777">
    <w:abstractNumId w:val="23"/>
  </w:num>
  <w:num w:numId="18" w16cid:durableId="564609607">
    <w:abstractNumId w:val="11"/>
  </w:num>
  <w:num w:numId="19" w16cid:durableId="873733290">
    <w:abstractNumId w:val="18"/>
  </w:num>
  <w:num w:numId="20" w16cid:durableId="1665818410">
    <w:abstractNumId w:val="15"/>
  </w:num>
  <w:num w:numId="21" w16cid:durableId="441538510">
    <w:abstractNumId w:val="16"/>
  </w:num>
  <w:num w:numId="22" w16cid:durableId="1006206416">
    <w:abstractNumId w:val="19"/>
  </w:num>
  <w:num w:numId="23" w16cid:durableId="1074401172">
    <w:abstractNumId w:val="10"/>
  </w:num>
  <w:num w:numId="24" w16cid:durableId="1299459353">
    <w:abstractNumId w:val="10"/>
  </w:num>
  <w:num w:numId="25" w16cid:durableId="1191339290">
    <w:abstractNumId w:val="12"/>
  </w:num>
  <w:num w:numId="26" w16cid:durableId="2061510998">
    <w:abstractNumId w:val="17"/>
  </w:num>
  <w:num w:numId="27" w16cid:durableId="1118526101">
    <w:abstractNumId w:val="17"/>
  </w:num>
  <w:num w:numId="28" w16cid:durableId="537593968">
    <w:abstractNumId w:val="17"/>
  </w:num>
  <w:num w:numId="29" w16cid:durableId="189303650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965467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36447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761161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525861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509420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212774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022778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663071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122460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88062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112568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4345023">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Mark Francis Xavier Mentha|Martin Madden|Bryan Webster"/>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200 of 2023"/>
    <w:docVar w:name="Initiators" w:val="(and another named in the Schedule)"/>
    <w:docVar w:name="Judgdate" w:val="# April 2024"/>
    <w:docVar w:name="Judge" w:val="Button"/>
    <w:docVar w:name="JudgeType" w:val="Justice"/>
    <w:docVar w:name="lstEntryList" w:val="-1"/>
    <w:docVar w:name="myEntryList" w:val="Counsel for the Applicants=Ms V Whittaker SC with Mr A Di Stefano|Solicitor for the Applicants=Arnold Bloch Leibler|Counsel for the First Respondent=Mr R Knowles KC with Ms A Carruthers|Solicitor for the First Respondent=Australian Securities and Investments Commission|Counsel for the Second Respondent=Mr D J Williams KC|Solicitor for the Second Respondent=Polczynski Robinson"/>
    <w:docVar w:name="NSD" w:val="NSD "/>
    <w:docVar w:name="NumApps" w:val="3"/>
    <w:docVar w:name="NumApps_" w:val="3"/>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Australian Securities and Investments Commission|Atradius Credito Y Caucion SA Seguros Y REASEGUROS"/>
    <w:docVar w:name="ResState" w:val="Victoria"/>
    <w:docVar w:name="SubArea" w:val="Corporations and Corporate Insolvency (C &amp; C)"/>
  </w:docVars>
  <w:rsids>
    <w:rsidRoot w:val="00B50438"/>
    <w:rsid w:val="00000747"/>
    <w:rsid w:val="00001275"/>
    <w:rsid w:val="00001A21"/>
    <w:rsid w:val="000025BD"/>
    <w:rsid w:val="00003CE2"/>
    <w:rsid w:val="00003E70"/>
    <w:rsid w:val="00004134"/>
    <w:rsid w:val="00004C41"/>
    <w:rsid w:val="000055B9"/>
    <w:rsid w:val="00006423"/>
    <w:rsid w:val="000075C6"/>
    <w:rsid w:val="00007631"/>
    <w:rsid w:val="00007BE7"/>
    <w:rsid w:val="000104D2"/>
    <w:rsid w:val="00010892"/>
    <w:rsid w:val="000115C5"/>
    <w:rsid w:val="00011AEE"/>
    <w:rsid w:val="00011EEE"/>
    <w:rsid w:val="00011F83"/>
    <w:rsid w:val="000128FF"/>
    <w:rsid w:val="00013103"/>
    <w:rsid w:val="00013472"/>
    <w:rsid w:val="00013583"/>
    <w:rsid w:val="00013BCB"/>
    <w:rsid w:val="0001469E"/>
    <w:rsid w:val="00014E13"/>
    <w:rsid w:val="00015993"/>
    <w:rsid w:val="00015AFE"/>
    <w:rsid w:val="0001694F"/>
    <w:rsid w:val="00017CD1"/>
    <w:rsid w:val="00020E90"/>
    <w:rsid w:val="000216C6"/>
    <w:rsid w:val="00021CCB"/>
    <w:rsid w:val="00022289"/>
    <w:rsid w:val="000237BA"/>
    <w:rsid w:val="000237E9"/>
    <w:rsid w:val="000247AB"/>
    <w:rsid w:val="00024C60"/>
    <w:rsid w:val="00024EBC"/>
    <w:rsid w:val="00024F6E"/>
    <w:rsid w:val="00026A28"/>
    <w:rsid w:val="00027398"/>
    <w:rsid w:val="00030110"/>
    <w:rsid w:val="000306F8"/>
    <w:rsid w:val="0003201A"/>
    <w:rsid w:val="0003207A"/>
    <w:rsid w:val="0003267A"/>
    <w:rsid w:val="000328BB"/>
    <w:rsid w:val="00032F9F"/>
    <w:rsid w:val="0003380D"/>
    <w:rsid w:val="00033B35"/>
    <w:rsid w:val="0003590F"/>
    <w:rsid w:val="00036721"/>
    <w:rsid w:val="00036751"/>
    <w:rsid w:val="00036F40"/>
    <w:rsid w:val="00037421"/>
    <w:rsid w:val="0003777C"/>
    <w:rsid w:val="00041C07"/>
    <w:rsid w:val="00045844"/>
    <w:rsid w:val="00045BB7"/>
    <w:rsid w:val="000511E4"/>
    <w:rsid w:val="00052AB3"/>
    <w:rsid w:val="00055719"/>
    <w:rsid w:val="0005641B"/>
    <w:rsid w:val="00057F8D"/>
    <w:rsid w:val="0006027A"/>
    <w:rsid w:val="00060695"/>
    <w:rsid w:val="0006196A"/>
    <w:rsid w:val="00061BF6"/>
    <w:rsid w:val="0006413B"/>
    <w:rsid w:val="0006461A"/>
    <w:rsid w:val="0006490D"/>
    <w:rsid w:val="00064CC0"/>
    <w:rsid w:val="000650F0"/>
    <w:rsid w:val="00066EC0"/>
    <w:rsid w:val="0006791E"/>
    <w:rsid w:val="00067A88"/>
    <w:rsid w:val="00071BDB"/>
    <w:rsid w:val="00071FB3"/>
    <w:rsid w:val="00074288"/>
    <w:rsid w:val="00074D76"/>
    <w:rsid w:val="00076B2B"/>
    <w:rsid w:val="00077768"/>
    <w:rsid w:val="00081497"/>
    <w:rsid w:val="000831EC"/>
    <w:rsid w:val="000837E9"/>
    <w:rsid w:val="00083904"/>
    <w:rsid w:val="000840A2"/>
    <w:rsid w:val="00084126"/>
    <w:rsid w:val="00085255"/>
    <w:rsid w:val="000855DF"/>
    <w:rsid w:val="00085EF3"/>
    <w:rsid w:val="00087E1D"/>
    <w:rsid w:val="000906DD"/>
    <w:rsid w:val="00090812"/>
    <w:rsid w:val="00091BCB"/>
    <w:rsid w:val="00092431"/>
    <w:rsid w:val="00092E55"/>
    <w:rsid w:val="00093007"/>
    <w:rsid w:val="00095EA8"/>
    <w:rsid w:val="0009730F"/>
    <w:rsid w:val="000A06AE"/>
    <w:rsid w:val="000A0D3E"/>
    <w:rsid w:val="000A0EAB"/>
    <w:rsid w:val="000A12FB"/>
    <w:rsid w:val="000A1B4D"/>
    <w:rsid w:val="000A2528"/>
    <w:rsid w:val="000A2E76"/>
    <w:rsid w:val="000A3681"/>
    <w:rsid w:val="000A4109"/>
    <w:rsid w:val="000A4316"/>
    <w:rsid w:val="000A473F"/>
    <w:rsid w:val="000A4807"/>
    <w:rsid w:val="000A4BE4"/>
    <w:rsid w:val="000A553C"/>
    <w:rsid w:val="000B2ABA"/>
    <w:rsid w:val="000B33E2"/>
    <w:rsid w:val="000B42C9"/>
    <w:rsid w:val="000B5FEE"/>
    <w:rsid w:val="000B701E"/>
    <w:rsid w:val="000B7927"/>
    <w:rsid w:val="000B7E07"/>
    <w:rsid w:val="000C0124"/>
    <w:rsid w:val="000C023E"/>
    <w:rsid w:val="000C07BD"/>
    <w:rsid w:val="000C14F2"/>
    <w:rsid w:val="000C23A0"/>
    <w:rsid w:val="000C2EEE"/>
    <w:rsid w:val="000C3DCB"/>
    <w:rsid w:val="000C405D"/>
    <w:rsid w:val="000C4343"/>
    <w:rsid w:val="000C5195"/>
    <w:rsid w:val="000C62EF"/>
    <w:rsid w:val="000C6415"/>
    <w:rsid w:val="000C7AC0"/>
    <w:rsid w:val="000D03F4"/>
    <w:rsid w:val="000D048A"/>
    <w:rsid w:val="000D096C"/>
    <w:rsid w:val="000D20F7"/>
    <w:rsid w:val="000D2137"/>
    <w:rsid w:val="000D2E52"/>
    <w:rsid w:val="000D3FD2"/>
    <w:rsid w:val="000D4B2E"/>
    <w:rsid w:val="000D61B8"/>
    <w:rsid w:val="000D6440"/>
    <w:rsid w:val="000D7CFA"/>
    <w:rsid w:val="000E0C17"/>
    <w:rsid w:val="000E173B"/>
    <w:rsid w:val="000E3FC8"/>
    <w:rsid w:val="000E4419"/>
    <w:rsid w:val="000E7BAE"/>
    <w:rsid w:val="000F133D"/>
    <w:rsid w:val="000F1A97"/>
    <w:rsid w:val="000F4F52"/>
    <w:rsid w:val="000F591B"/>
    <w:rsid w:val="000F71CA"/>
    <w:rsid w:val="00102B24"/>
    <w:rsid w:val="001036C5"/>
    <w:rsid w:val="0010536B"/>
    <w:rsid w:val="0011145C"/>
    <w:rsid w:val="001123E0"/>
    <w:rsid w:val="001128BD"/>
    <w:rsid w:val="0011419D"/>
    <w:rsid w:val="00114737"/>
    <w:rsid w:val="00114B02"/>
    <w:rsid w:val="00115403"/>
    <w:rsid w:val="0012121E"/>
    <w:rsid w:val="0012148A"/>
    <w:rsid w:val="001226C0"/>
    <w:rsid w:val="00122943"/>
    <w:rsid w:val="001237C5"/>
    <w:rsid w:val="001250D1"/>
    <w:rsid w:val="001262E4"/>
    <w:rsid w:val="00126C57"/>
    <w:rsid w:val="00126EC8"/>
    <w:rsid w:val="0012731C"/>
    <w:rsid w:val="00132054"/>
    <w:rsid w:val="00133508"/>
    <w:rsid w:val="00134964"/>
    <w:rsid w:val="001351B9"/>
    <w:rsid w:val="001352FC"/>
    <w:rsid w:val="00136194"/>
    <w:rsid w:val="001376DC"/>
    <w:rsid w:val="00137DC9"/>
    <w:rsid w:val="001404F3"/>
    <w:rsid w:val="001413B5"/>
    <w:rsid w:val="001420AD"/>
    <w:rsid w:val="0014258A"/>
    <w:rsid w:val="00143671"/>
    <w:rsid w:val="0014385F"/>
    <w:rsid w:val="00143931"/>
    <w:rsid w:val="001449FA"/>
    <w:rsid w:val="00144D70"/>
    <w:rsid w:val="00145BCE"/>
    <w:rsid w:val="00151653"/>
    <w:rsid w:val="00152C2C"/>
    <w:rsid w:val="00153891"/>
    <w:rsid w:val="00153C0F"/>
    <w:rsid w:val="0015484A"/>
    <w:rsid w:val="00154899"/>
    <w:rsid w:val="0015493D"/>
    <w:rsid w:val="001552E3"/>
    <w:rsid w:val="00155CD2"/>
    <w:rsid w:val="00156C11"/>
    <w:rsid w:val="001570FD"/>
    <w:rsid w:val="00157621"/>
    <w:rsid w:val="00157DA6"/>
    <w:rsid w:val="00161A9B"/>
    <w:rsid w:val="00163210"/>
    <w:rsid w:val="00163228"/>
    <w:rsid w:val="00165695"/>
    <w:rsid w:val="00171542"/>
    <w:rsid w:val="001720F1"/>
    <w:rsid w:val="001727A4"/>
    <w:rsid w:val="0017376C"/>
    <w:rsid w:val="001738AB"/>
    <w:rsid w:val="001765E0"/>
    <w:rsid w:val="00176F60"/>
    <w:rsid w:val="00176F8B"/>
    <w:rsid w:val="00177759"/>
    <w:rsid w:val="001801E2"/>
    <w:rsid w:val="00180BB3"/>
    <w:rsid w:val="0018293F"/>
    <w:rsid w:val="001848D7"/>
    <w:rsid w:val="0018517B"/>
    <w:rsid w:val="00185744"/>
    <w:rsid w:val="00185DD6"/>
    <w:rsid w:val="00185DE0"/>
    <w:rsid w:val="00185E6B"/>
    <w:rsid w:val="0018740D"/>
    <w:rsid w:val="00187BBC"/>
    <w:rsid w:val="00192A40"/>
    <w:rsid w:val="001931C6"/>
    <w:rsid w:val="001932F3"/>
    <w:rsid w:val="00193953"/>
    <w:rsid w:val="00194D9D"/>
    <w:rsid w:val="00197D49"/>
    <w:rsid w:val="001A2B40"/>
    <w:rsid w:val="001A2EA5"/>
    <w:rsid w:val="001A30B3"/>
    <w:rsid w:val="001A4309"/>
    <w:rsid w:val="001A46AE"/>
    <w:rsid w:val="001A668B"/>
    <w:rsid w:val="001A6C52"/>
    <w:rsid w:val="001A75DE"/>
    <w:rsid w:val="001B1053"/>
    <w:rsid w:val="001B14AC"/>
    <w:rsid w:val="001B25E3"/>
    <w:rsid w:val="001B3943"/>
    <w:rsid w:val="001B4228"/>
    <w:rsid w:val="001B44B3"/>
    <w:rsid w:val="001B7940"/>
    <w:rsid w:val="001C171A"/>
    <w:rsid w:val="001C2FE0"/>
    <w:rsid w:val="001C34FF"/>
    <w:rsid w:val="001C37CA"/>
    <w:rsid w:val="001C384A"/>
    <w:rsid w:val="001C4085"/>
    <w:rsid w:val="001C483A"/>
    <w:rsid w:val="001C5B48"/>
    <w:rsid w:val="001C5D28"/>
    <w:rsid w:val="001C64A2"/>
    <w:rsid w:val="001C64F5"/>
    <w:rsid w:val="001D079B"/>
    <w:rsid w:val="001D0D91"/>
    <w:rsid w:val="001D0ECE"/>
    <w:rsid w:val="001D1DD0"/>
    <w:rsid w:val="001D215C"/>
    <w:rsid w:val="001D2780"/>
    <w:rsid w:val="001D4162"/>
    <w:rsid w:val="001D428B"/>
    <w:rsid w:val="001D4303"/>
    <w:rsid w:val="001D45BC"/>
    <w:rsid w:val="001D6746"/>
    <w:rsid w:val="001E07BF"/>
    <w:rsid w:val="001E0C61"/>
    <w:rsid w:val="001E2408"/>
    <w:rsid w:val="001E3123"/>
    <w:rsid w:val="001E34F0"/>
    <w:rsid w:val="001E3B49"/>
    <w:rsid w:val="001E4A05"/>
    <w:rsid w:val="001E4C40"/>
    <w:rsid w:val="001E6224"/>
    <w:rsid w:val="001E62F7"/>
    <w:rsid w:val="001E6A19"/>
    <w:rsid w:val="001E6E1A"/>
    <w:rsid w:val="001E7096"/>
    <w:rsid w:val="001E7388"/>
    <w:rsid w:val="001F0157"/>
    <w:rsid w:val="001F0668"/>
    <w:rsid w:val="001F13DD"/>
    <w:rsid w:val="001F230A"/>
    <w:rsid w:val="001F2473"/>
    <w:rsid w:val="001F2DBC"/>
    <w:rsid w:val="001F32B5"/>
    <w:rsid w:val="001F4570"/>
    <w:rsid w:val="001F45CC"/>
    <w:rsid w:val="001F6C56"/>
    <w:rsid w:val="001F73E8"/>
    <w:rsid w:val="00200D34"/>
    <w:rsid w:val="0020262C"/>
    <w:rsid w:val="00202723"/>
    <w:rsid w:val="00202B47"/>
    <w:rsid w:val="002037B6"/>
    <w:rsid w:val="00203BD9"/>
    <w:rsid w:val="00204097"/>
    <w:rsid w:val="0020504C"/>
    <w:rsid w:val="0020667C"/>
    <w:rsid w:val="00206950"/>
    <w:rsid w:val="00206FF1"/>
    <w:rsid w:val="00207984"/>
    <w:rsid w:val="002104AB"/>
    <w:rsid w:val="00210700"/>
    <w:rsid w:val="00211A3E"/>
    <w:rsid w:val="00213854"/>
    <w:rsid w:val="00213E31"/>
    <w:rsid w:val="00213F20"/>
    <w:rsid w:val="00214055"/>
    <w:rsid w:val="00214229"/>
    <w:rsid w:val="00215BCA"/>
    <w:rsid w:val="002160F5"/>
    <w:rsid w:val="002161BB"/>
    <w:rsid w:val="002178E3"/>
    <w:rsid w:val="00217AC4"/>
    <w:rsid w:val="00221461"/>
    <w:rsid w:val="00224537"/>
    <w:rsid w:val="0022555A"/>
    <w:rsid w:val="002261FB"/>
    <w:rsid w:val="00226E15"/>
    <w:rsid w:val="002271E6"/>
    <w:rsid w:val="00227224"/>
    <w:rsid w:val="00230D23"/>
    <w:rsid w:val="0023130B"/>
    <w:rsid w:val="002313BB"/>
    <w:rsid w:val="00231CB3"/>
    <w:rsid w:val="0023209B"/>
    <w:rsid w:val="00232159"/>
    <w:rsid w:val="0023306C"/>
    <w:rsid w:val="00234FA5"/>
    <w:rsid w:val="00235956"/>
    <w:rsid w:val="00240065"/>
    <w:rsid w:val="0024076E"/>
    <w:rsid w:val="00243E5E"/>
    <w:rsid w:val="002445E7"/>
    <w:rsid w:val="00244CCA"/>
    <w:rsid w:val="002452A6"/>
    <w:rsid w:val="00245611"/>
    <w:rsid w:val="002467A6"/>
    <w:rsid w:val="002473EB"/>
    <w:rsid w:val="00247C9A"/>
    <w:rsid w:val="0025160C"/>
    <w:rsid w:val="00251743"/>
    <w:rsid w:val="002535D0"/>
    <w:rsid w:val="002539B3"/>
    <w:rsid w:val="00253D5A"/>
    <w:rsid w:val="00254C27"/>
    <w:rsid w:val="002553CD"/>
    <w:rsid w:val="00256314"/>
    <w:rsid w:val="00256336"/>
    <w:rsid w:val="00256804"/>
    <w:rsid w:val="00256A39"/>
    <w:rsid w:val="00257C3E"/>
    <w:rsid w:val="002602C2"/>
    <w:rsid w:val="00261221"/>
    <w:rsid w:val="00261720"/>
    <w:rsid w:val="0026402B"/>
    <w:rsid w:val="00264AE1"/>
    <w:rsid w:val="00264DA7"/>
    <w:rsid w:val="00264E72"/>
    <w:rsid w:val="0026501E"/>
    <w:rsid w:val="00265420"/>
    <w:rsid w:val="00265F13"/>
    <w:rsid w:val="002666C9"/>
    <w:rsid w:val="002676F4"/>
    <w:rsid w:val="00270136"/>
    <w:rsid w:val="00270FD7"/>
    <w:rsid w:val="00271029"/>
    <w:rsid w:val="00271DC0"/>
    <w:rsid w:val="00273866"/>
    <w:rsid w:val="002738DF"/>
    <w:rsid w:val="00273A8B"/>
    <w:rsid w:val="00274DCF"/>
    <w:rsid w:val="00274F5B"/>
    <w:rsid w:val="00277B90"/>
    <w:rsid w:val="00280836"/>
    <w:rsid w:val="00280D01"/>
    <w:rsid w:val="00281A59"/>
    <w:rsid w:val="0028241F"/>
    <w:rsid w:val="00282E1A"/>
    <w:rsid w:val="00283836"/>
    <w:rsid w:val="00283EFE"/>
    <w:rsid w:val="002840F1"/>
    <w:rsid w:val="002844D1"/>
    <w:rsid w:val="00285922"/>
    <w:rsid w:val="00287B2F"/>
    <w:rsid w:val="00287FF7"/>
    <w:rsid w:val="0029113B"/>
    <w:rsid w:val="002911B6"/>
    <w:rsid w:val="002934C0"/>
    <w:rsid w:val="00293E1F"/>
    <w:rsid w:val="0029620A"/>
    <w:rsid w:val="0029764C"/>
    <w:rsid w:val="002A1B50"/>
    <w:rsid w:val="002A2063"/>
    <w:rsid w:val="002A2598"/>
    <w:rsid w:val="002B05AE"/>
    <w:rsid w:val="002B08F6"/>
    <w:rsid w:val="002B0E91"/>
    <w:rsid w:val="002B132C"/>
    <w:rsid w:val="002B2787"/>
    <w:rsid w:val="002B3D1B"/>
    <w:rsid w:val="002B3F23"/>
    <w:rsid w:val="002B4EB5"/>
    <w:rsid w:val="002B5AF5"/>
    <w:rsid w:val="002B5B89"/>
    <w:rsid w:val="002B6406"/>
    <w:rsid w:val="002B6779"/>
    <w:rsid w:val="002B71C0"/>
    <w:rsid w:val="002B761B"/>
    <w:rsid w:val="002B7927"/>
    <w:rsid w:val="002B7A34"/>
    <w:rsid w:val="002C0801"/>
    <w:rsid w:val="002C0A71"/>
    <w:rsid w:val="002C2453"/>
    <w:rsid w:val="002C31AD"/>
    <w:rsid w:val="002C39B7"/>
    <w:rsid w:val="002C4A22"/>
    <w:rsid w:val="002C5414"/>
    <w:rsid w:val="002C64D2"/>
    <w:rsid w:val="002C6D3F"/>
    <w:rsid w:val="002C7385"/>
    <w:rsid w:val="002C775F"/>
    <w:rsid w:val="002D1249"/>
    <w:rsid w:val="002D2DBB"/>
    <w:rsid w:val="002D37D8"/>
    <w:rsid w:val="002D443D"/>
    <w:rsid w:val="002D4AB0"/>
    <w:rsid w:val="002D54A6"/>
    <w:rsid w:val="002D55AA"/>
    <w:rsid w:val="002D6B8B"/>
    <w:rsid w:val="002E2CED"/>
    <w:rsid w:val="002E3607"/>
    <w:rsid w:val="002E3779"/>
    <w:rsid w:val="002E39CC"/>
    <w:rsid w:val="002E5BF9"/>
    <w:rsid w:val="002E611F"/>
    <w:rsid w:val="002E6399"/>
    <w:rsid w:val="002E6A7A"/>
    <w:rsid w:val="002E71AC"/>
    <w:rsid w:val="002F023C"/>
    <w:rsid w:val="002F0560"/>
    <w:rsid w:val="002F1E49"/>
    <w:rsid w:val="002F3060"/>
    <w:rsid w:val="002F448F"/>
    <w:rsid w:val="002F4CAD"/>
    <w:rsid w:val="002F4E9C"/>
    <w:rsid w:val="002F5275"/>
    <w:rsid w:val="002F6E15"/>
    <w:rsid w:val="002F6ED3"/>
    <w:rsid w:val="002F716F"/>
    <w:rsid w:val="002F7E6D"/>
    <w:rsid w:val="00300877"/>
    <w:rsid w:val="00302F4E"/>
    <w:rsid w:val="003035D8"/>
    <w:rsid w:val="003044EE"/>
    <w:rsid w:val="00305623"/>
    <w:rsid w:val="00310C0C"/>
    <w:rsid w:val="00311A62"/>
    <w:rsid w:val="00312096"/>
    <w:rsid w:val="0031256C"/>
    <w:rsid w:val="0031322F"/>
    <w:rsid w:val="00314D6C"/>
    <w:rsid w:val="00315363"/>
    <w:rsid w:val="0031566B"/>
    <w:rsid w:val="00315F08"/>
    <w:rsid w:val="00316D2A"/>
    <w:rsid w:val="003217EC"/>
    <w:rsid w:val="00321F0F"/>
    <w:rsid w:val="00322629"/>
    <w:rsid w:val="00322A7C"/>
    <w:rsid w:val="00322EEC"/>
    <w:rsid w:val="00323061"/>
    <w:rsid w:val="0032321E"/>
    <w:rsid w:val="00323B10"/>
    <w:rsid w:val="00326A11"/>
    <w:rsid w:val="00326B56"/>
    <w:rsid w:val="00326D83"/>
    <w:rsid w:val="00332823"/>
    <w:rsid w:val="003353EA"/>
    <w:rsid w:val="0033645A"/>
    <w:rsid w:val="00336B4F"/>
    <w:rsid w:val="003402D3"/>
    <w:rsid w:val="0034039A"/>
    <w:rsid w:val="0034068E"/>
    <w:rsid w:val="00340C4B"/>
    <w:rsid w:val="0034259E"/>
    <w:rsid w:val="00343ABC"/>
    <w:rsid w:val="00343DA1"/>
    <w:rsid w:val="00345134"/>
    <w:rsid w:val="003463FE"/>
    <w:rsid w:val="003472FC"/>
    <w:rsid w:val="00347D41"/>
    <w:rsid w:val="00350A5A"/>
    <w:rsid w:val="00350A87"/>
    <w:rsid w:val="00350DD1"/>
    <w:rsid w:val="00352BCF"/>
    <w:rsid w:val="00354937"/>
    <w:rsid w:val="003554B3"/>
    <w:rsid w:val="00356632"/>
    <w:rsid w:val="00357423"/>
    <w:rsid w:val="00357C7E"/>
    <w:rsid w:val="003605DA"/>
    <w:rsid w:val="003614C9"/>
    <w:rsid w:val="00362719"/>
    <w:rsid w:val="0036272F"/>
    <w:rsid w:val="00362CA2"/>
    <w:rsid w:val="00364FD7"/>
    <w:rsid w:val="003651BF"/>
    <w:rsid w:val="003653B6"/>
    <w:rsid w:val="00365F00"/>
    <w:rsid w:val="00366407"/>
    <w:rsid w:val="00367208"/>
    <w:rsid w:val="00370327"/>
    <w:rsid w:val="0037034C"/>
    <w:rsid w:val="00371996"/>
    <w:rsid w:val="0037292D"/>
    <w:rsid w:val="00374CC4"/>
    <w:rsid w:val="003763EA"/>
    <w:rsid w:val="003774B2"/>
    <w:rsid w:val="00380AC8"/>
    <w:rsid w:val="00380F2D"/>
    <w:rsid w:val="00381949"/>
    <w:rsid w:val="00382A9A"/>
    <w:rsid w:val="003845A9"/>
    <w:rsid w:val="003850C9"/>
    <w:rsid w:val="00385B60"/>
    <w:rsid w:val="00386AC2"/>
    <w:rsid w:val="00387EFE"/>
    <w:rsid w:val="003900B4"/>
    <w:rsid w:val="003902AE"/>
    <w:rsid w:val="00390883"/>
    <w:rsid w:val="003922F8"/>
    <w:rsid w:val="003932A6"/>
    <w:rsid w:val="00394F86"/>
    <w:rsid w:val="00395B24"/>
    <w:rsid w:val="003962F1"/>
    <w:rsid w:val="00397CE0"/>
    <w:rsid w:val="003A07BD"/>
    <w:rsid w:val="003A0C8A"/>
    <w:rsid w:val="003A1094"/>
    <w:rsid w:val="003A1180"/>
    <w:rsid w:val="003A12D5"/>
    <w:rsid w:val="003A2986"/>
    <w:rsid w:val="003A2B9D"/>
    <w:rsid w:val="003A2D38"/>
    <w:rsid w:val="003A3BE3"/>
    <w:rsid w:val="003A49DF"/>
    <w:rsid w:val="003A5744"/>
    <w:rsid w:val="003A5E1F"/>
    <w:rsid w:val="003A5E75"/>
    <w:rsid w:val="003A6BDA"/>
    <w:rsid w:val="003A77EA"/>
    <w:rsid w:val="003A7ECC"/>
    <w:rsid w:val="003B15E2"/>
    <w:rsid w:val="003B2C72"/>
    <w:rsid w:val="003B3880"/>
    <w:rsid w:val="003B584D"/>
    <w:rsid w:val="003B58B4"/>
    <w:rsid w:val="003B5945"/>
    <w:rsid w:val="003B6627"/>
    <w:rsid w:val="003B7107"/>
    <w:rsid w:val="003B74A0"/>
    <w:rsid w:val="003B77C2"/>
    <w:rsid w:val="003C1333"/>
    <w:rsid w:val="003C20FF"/>
    <w:rsid w:val="003C550A"/>
    <w:rsid w:val="003C5EE7"/>
    <w:rsid w:val="003C6055"/>
    <w:rsid w:val="003D2650"/>
    <w:rsid w:val="003D3CF3"/>
    <w:rsid w:val="003D3D4E"/>
    <w:rsid w:val="003D4F7A"/>
    <w:rsid w:val="003D4F99"/>
    <w:rsid w:val="003D50DA"/>
    <w:rsid w:val="003D560C"/>
    <w:rsid w:val="003D5C00"/>
    <w:rsid w:val="003D7E60"/>
    <w:rsid w:val="003E0087"/>
    <w:rsid w:val="003E1D25"/>
    <w:rsid w:val="003E3154"/>
    <w:rsid w:val="003E5874"/>
    <w:rsid w:val="003E5AB3"/>
    <w:rsid w:val="003E5BC0"/>
    <w:rsid w:val="003E660D"/>
    <w:rsid w:val="003E7006"/>
    <w:rsid w:val="003E72D3"/>
    <w:rsid w:val="003F193E"/>
    <w:rsid w:val="003F20C5"/>
    <w:rsid w:val="003F242C"/>
    <w:rsid w:val="003F34F1"/>
    <w:rsid w:val="003F66C7"/>
    <w:rsid w:val="003F7976"/>
    <w:rsid w:val="004026B2"/>
    <w:rsid w:val="004031D8"/>
    <w:rsid w:val="004036E6"/>
    <w:rsid w:val="00403830"/>
    <w:rsid w:val="00403C82"/>
    <w:rsid w:val="0040468F"/>
    <w:rsid w:val="004070B0"/>
    <w:rsid w:val="00407406"/>
    <w:rsid w:val="004074A3"/>
    <w:rsid w:val="00407799"/>
    <w:rsid w:val="0040791B"/>
    <w:rsid w:val="00407EAB"/>
    <w:rsid w:val="004104B6"/>
    <w:rsid w:val="0041073C"/>
    <w:rsid w:val="004107BD"/>
    <w:rsid w:val="00411AE8"/>
    <w:rsid w:val="00413096"/>
    <w:rsid w:val="00413B74"/>
    <w:rsid w:val="00414A96"/>
    <w:rsid w:val="004157DB"/>
    <w:rsid w:val="00416C52"/>
    <w:rsid w:val="00422EEE"/>
    <w:rsid w:val="0042422B"/>
    <w:rsid w:val="00426157"/>
    <w:rsid w:val="004275B0"/>
    <w:rsid w:val="00430045"/>
    <w:rsid w:val="00430FA3"/>
    <w:rsid w:val="00431F3E"/>
    <w:rsid w:val="00433ACD"/>
    <w:rsid w:val="004342F3"/>
    <w:rsid w:val="00435C5F"/>
    <w:rsid w:val="00436155"/>
    <w:rsid w:val="00436460"/>
    <w:rsid w:val="004365AA"/>
    <w:rsid w:val="00440557"/>
    <w:rsid w:val="00441E98"/>
    <w:rsid w:val="0044208D"/>
    <w:rsid w:val="00444143"/>
    <w:rsid w:val="004448E2"/>
    <w:rsid w:val="00447F7F"/>
    <w:rsid w:val="00450632"/>
    <w:rsid w:val="00450EA9"/>
    <w:rsid w:val="00450F3A"/>
    <w:rsid w:val="00452CD7"/>
    <w:rsid w:val="004532F7"/>
    <w:rsid w:val="0045512C"/>
    <w:rsid w:val="00455A60"/>
    <w:rsid w:val="00455CA3"/>
    <w:rsid w:val="004570AE"/>
    <w:rsid w:val="00460063"/>
    <w:rsid w:val="00460234"/>
    <w:rsid w:val="0046111D"/>
    <w:rsid w:val="00461466"/>
    <w:rsid w:val="00461499"/>
    <w:rsid w:val="00463194"/>
    <w:rsid w:val="00464D51"/>
    <w:rsid w:val="00466544"/>
    <w:rsid w:val="00466A68"/>
    <w:rsid w:val="004672F1"/>
    <w:rsid w:val="0047119C"/>
    <w:rsid w:val="00471DB0"/>
    <w:rsid w:val="00471EC4"/>
    <w:rsid w:val="00472027"/>
    <w:rsid w:val="00473122"/>
    <w:rsid w:val="0047446A"/>
    <w:rsid w:val="00474891"/>
    <w:rsid w:val="00477190"/>
    <w:rsid w:val="00477FF9"/>
    <w:rsid w:val="004804CF"/>
    <w:rsid w:val="00480FE3"/>
    <w:rsid w:val="00483314"/>
    <w:rsid w:val="004835D8"/>
    <w:rsid w:val="00483D5D"/>
    <w:rsid w:val="00484962"/>
    <w:rsid w:val="00484F6D"/>
    <w:rsid w:val="00484FB7"/>
    <w:rsid w:val="0048554D"/>
    <w:rsid w:val="004874DB"/>
    <w:rsid w:val="0049338A"/>
    <w:rsid w:val="0049417F"/>
    <w:rsid w:val="004949E7"/>
    <w:rsid w:val="0049570A"/>
    <w:rsid w:val="00496D41"/>
    <w:rsid w:val="004A097D"/>
    <w:rsid w:val="004A25BC"/>
    <w:rsid w:val="004A30AB"/>
    <w:rsid w:val="004A470C"/>
    <w:rsid w:val="004A6602"/>
    <w:rsid w:val="004A7EC1"/>
    <w:rsid w:val="004B007A"/>
    <w:rsid w:val="004B0C56"/>
    <w:rsid w:val="004B11B0"/>
    <w:rsid w:val="004B3EFA"/>
    <w:rsid w:val="004B5B7E"/>
    <w:rsid w:val="004B6691"/>
    <w:rsid w:val="004B7CF5"/>
    <w:rsid w:val="004C0853"/>
    <w:rsid w:val="004C2A87"/>
    <w:rsid w:val="004C3C14"/>
    <w:rsid w:val="004C3DF7"/>
    <w:rsid w:val="004C3F1E"/>
    <w:rsid w:val="004C4D7B"/>
    <w:rsid w:val="004C4ED3"/>
    <w:rsid w:val="004C56F8"/>
    <w:rsid w:val="004C5743"/>
    <w:rsid w:val="004C667B"/>
    <w:rsid w:val="004C7ECD"/>
    <w:rsid w:val="004D2EA5"/>
    <w:rsid w:val="004D32A6"/>
    <w:rsid w:val="004D32B5"/>
    <w:rsid w:val="004D429B"/>
    <w:rsid w:val="004D53E5"/>
    <w:rsid w:val="004D7386"/>
    <w:rsid w:val="004D7950"/>
    <w:rsid w:val="004D7D9E"/>
    <w:rsid w:val="004E10A1"/>
    <w:rsid w:val="004E2C6A"/>
    <w:rsid w:val="004E3249"/>
    <w:rsid w:val="004E6476"/>
    <w:rsid w:val="004E6C52"/>
    <w:rsid w:val="004E6DC4"/>
    <w:rsid w:val="004F0F4B"/>
    <w:rsid w:val="004F0FFE"/>
    <w:rsid w:val="004F1CE1"/>
    <w:rsid w:val="004F2001"/>
    <w:rsid w:val="004F21C1"/>
    <w:rsid w:val="004F2D1F"/>
    <w:rsid w:val="004F2E1D"/>
    <w:rsid w:val="004F3D62"/>
    <w:rsid w:val="004F4058"/>
    <w:rsid w:val="004F4797"/>
    <w:rsid w:val="004F5D61"/>
    <w:rsid w:val="004F6986"/>
    <w:rsid w:val="004F7042"/>
    <w:rsid w:val="004F795A"/>
    <w:rsid w:val="00501A12"/>
    <w:rsid w:val="0050309C"/>
    <w:rsid w:val="0050310C"/>
    <w:rsid w:val="0050453B"/>
    <w:rsid w:val="00504D0A"/>
    <w:rsid w:val="005053A6"/>
    <w:rsid w:val="00505EC2"/>
    <w:rsid w:val="00505EF9"/>
    <w:rsid w:val="0050623A"/>
    <w:rsid w:val="0050681E"/>
    <w:rsid w:val="00512732"/>
    <w:rsid w:val="0051327C"/>
    <w:rsid w:val="0051346D"/>
    <w:rsid w:val="00513EAE"/>
    <w:rsid w:val="0051434F"/>
    <w:rsid w:val="0051662F"/>
    <w:rsid w:val="00516806"/>
    <w:rsid w:val="00517BA9"/>
    <w:rsid w:val="0052047E"/>
    <w:rsid w:val="0052098C"/>
    <w:rsid w:val="00521C6F"/>
    <w:rsid w:val="00521D54"/>
    <w:rsid w:val="005224CA"/>
    <w:rsid w:val="005225E7"/>
    <w:rsid w:val="0052306E"/>
    <w:rsid w:val="00525A49"/>
    <w:rsid w:val="005262D1"/>
    <w:rsid w:val="00527055"/>
    <w:rsid w:val="00530876"/>
    <w:rsid w:val="0053415E"/>
    <w:rsid w:val="00534525"/>
    <w:rsid w:val="00534A68"/>
    <w:rsid w:val="00535613"/>
    <w:rsid w:val="005359EB"/>
    <w:rsid w:val="005361E1"/>
    <w:rsid w:val="00541833"/>
    <w:rsid w:val="00541E86"/>
    <w:rsid w:val="0054254A"/>
    <w:rsid w:val="00542993"/>
    <w:rsid w:val="005436D0"/>
    <w:rsid w:val="00543AA5"/>
    <w:rsid w:val="00544B63"/>
    <w:rsid w:val="0054500B"/>
    <w:rsid w:val="005466B5"/>
    <w:rsid w:val="00552596"/>
    <w:rsid w:val="0055345F"/>
    <w:rsid w:val="00554314"/>
    <w:rsid w:val="00554A92"/>
    <w:rsid w:val="005558F0"/>
    <w:rsid w:val="00556985"/>
    <w:rsid w:val="00556AB4"/>
    <w:rsid w:val="00557B07"/>
    <w:rsid w:val="00557E58"/>
    <w:rsid w:val="00560B14"/>
    <w:rsid w:val="00562829"/>
    <w:rsid w:val="005629B3"/>
    <w:rsid w:val="005644AC"/>
    <w:rsid w:val="005648E1"/>
    <w:rsid w:val="0056707E"/>
    <w:rsid w:val="00567478"/>
    <w:rsid w:val="0057053D"/>
    <w:rsid w:val="00571003"/>
    <w:rsid w:val="0057128A"/>
    <w:rsid w:val="005724F6"/>
    <w:rsid w:val="0057278D"/>
    <w:rsid w:val="00573456"/>
    <w:rsid w:val="00573AC4"/>
    <w:rsid w:val="0057474D"/>
    <w:rsid w:val="005765A7"/>
    <w:rsid w:val="00577424"/>
    <w:rsid w:val="00577E11"/>
    <w:rsid w:val="005801FC"/>
    <w:rsid w:val="00580629"/>
    <w:rsid w:val="0058131E"/>
    <w:rsid w:val="00585BA9"/>
    <w:rsid w:val="00585E04"/>
    <w:rsid w:val="00587359"/>
    <w:rsid w:val="00587F0C"/>
    <w:rsid w:val="00590CF2"/>
    <w:rsid w:val="0059349C"/>
    <w:rsid w:val="00593C23"/>
    <w:rsid w:val="0059469C"/>
    <w:rsid w:val="00595016"/>
    <w:rsid w:val="005954FE"/>
    <w:rsid w:val="00595FBF"/>
    <w:rsid w:val="00596A2C"/>
    <w:rsid w:val="00596AEB"/>
    <w:rsid w:val="00597AAE"/>
    <w:rsid w:val="005A0586"/>
    <w:rsid w:val="005A222C"/>
    <w:rsid w:val="005A2C9A"/>
    <w:rsid w:val="005A3F42"/>
    <w:rsid w:val="005A4DF8"/>
    <w:rsid w:val="005A78C8"/>
    <w:rsid w:val="005B1426"/>
    <w:rsid w:val="005B14D5"/>
    <w:rsid w:val="005B34AE"/>
    <w:rsid w:val="005B3580"/>
    <w:rsid w:val="005B3617"/>
    <w:rsid w:val="005B4BB7"/>
    <w:rsid w:val="005B5207"/>
    <w:rsid w:val="005B5D51"/>
    <w:rsid w:val="005B6530"/>
    <w:rsid w:val="005B66B4"/>
    <w:rsid w:val="005B6E73"/>
    <w:rsid w:val="005B72E8"/>
    <w:rsid w:val="005B786C"/>
    <w:rsid w:val="005B7A39"/>
    <w:rsid w:val="005B7E01"/>
    <w:rsid w:val="005C0A8E"/>
    <w:rsid w:val="005C1767"/>
    <w:rsid w:val="005C185C"/>
    <w:rsid w:val="005C2656"/>
    <w:rsid w:val="005C34FA"/>
    <w:rsid w:val="005C39E6"/>
    <w:rsid w:val="005C42EF"/>
    <w:rsid w:val="005C59ED"/>
    <w:rsid w:val="005C6C3C"/>
    <w:rsid w:val="005C6E41"/>
    <w:rsid w:val="005C7A01"/>
    <w:rsid w:val="005D02AB"/>
    <w:rsid w:val="005D4F52"/>
    <w:rsid w:val="005D5D58"/>
    <w:rsid w:val="005E02F5"/>
    <w:rsid w:val="005E0510"/>
    <w:rsid w:val="005E083E"/>
    <w:rsid w:val="005E14E9"/>
    <w:rsid w:val="005E176E"/>
    <w:rsid w:val="005E218E"/>
    <w:rsid w:val="005E23EF"/>
    <w:rsid w:val="005E35A0"/>
    <w:rsid w:val="005E4209"/>
    <w:rsid w:val="005E4F98"/>
    <w:rsid w:val="005E7BE5"/>
    <w:rsid w:val="005F0D1B"/>
    <w:rsid w:val="005F16BD"/>
    <w:rsid w:val="005F1865"/>
    <w:rsid w:val="005F2629"/>
    <w:rsid w:val="005F401E"/>
    <w:rsid w:val="005F507F"/>
    <w:rsid w:val="005F63A8"/>
    <w:rsid w:val="005F6A39"/>
    <w:rsid w:val="005F7E6E"/>
    <w:rsid w:val="006007BD"/>
    <w:rsid w:val="00600937"/>
    <w:rsid w:val="006013C8"/>
    <w:rsid w:val="00601782"/>
    <w:rsid w:val="0060270D"/>
    <w:rsid w:val="00602DE5"/>
    <w:rsid w:val="006041D9"/>
    <w:rsid w:val="00604342"/>
    <w:rsid w:val="00604611"/>
    <w:rsid w:val="00604D01"/>
    <w:rsid w:val="00604F61"/>
    <w:rsid w:val="00606A0C"/>
    <w:rsid w:val="00607344"/>
    <w:rsid w:val="00610B17"/>
    <w:rsid w:val="00611586"/>
    <w:rsid w:val="00612D26"/>
    <w:rsid w:val="00613CBC"/>
    <w:rsid w:val="00614A69"/>
    <w:rsid w:val="00615532"/>
    <w:rsid w:val="00615855"/>
    <w:rsid w:val="00615D42"/>
    <w:rsid w:val="0062092A"/>
    <w:rsid w:val="00620DA8"/>
    <w:rsid w:val="00621887"/>
    <w:rsid w:val="0062388C"/>
    <w:rsid w:val="00624520"/>
    <w:rsid w:val="006253EA"/>
    <w:rsid w:val="00625C1B"/>
    <w:rsid w:val="00626464"/>
    <w:rsid w:val="006271F5"/>
    <w:rsid w:val="00627C3B"/>
    <w:rsid w:val="00632300"/>
    <w:rsid w:val="006329DF"/>
    <w:rsid w:val="00632A23"/>
    <w:rsid w:val="00632BB7"/>
    <w:rsid w:val="00635B36"/>
    <w:rsid w:val="00636675"/>
    <w:rsid w:val="00636871"/>
    <w:rsid w:val="006376B3"/>
    <w:rsid w:val="00640E7B"/>
    <w:rsid w:val="00640EE1"/>
    <w:rsid w:val="00640F4E"/>
    <w:rsid w:val="00641E6A"/>
    <w:rsid w:val="00642700"/>
    <w:rsid w:val="00643BDE"/>
    <w:rsid w:val="00643DE0"/>
    <w:rsid w:val="0064437D"/>
    <w:rsid w:val="00644E85"/>
    <w:rsid w:val="006453F5"/>
    <w:rsid w:val="00646904"/>
    <w:rsid w:val="00646D07"/>
    <w:rsid w:val="006471E8"/>
    <w:rsid w:val="006474BB"/>
    <w:rsid w:val="00647DB4"/>
    <w:rsid w:val="00650F59"/>
    <w:rsid w:val="0065118A"/>
    <w:rsid w:val="006516D8"/>
    <w:rsid w:val="00652C52"/>
    <w:rsid w:val="0065323F"/>
    <w:rsid w:val="00653407"/>
    <w:rsid w:val="00654883"/>
    <w:rsid w:val="00655CE0"/>
    <w:rsid w:val="006574A2"/>
    <w:rsid w:val="00657B3E"/>
    <w:rsid w:val="0066063F"/>
    <w:rsid w:val="00662B5D"/>
    <w:rsid w:val="00662BB0"/>
    <w:rsid w:val="00663878"/>
    <w:rsid w:val="00663A7F"/>
    <w:rsid w:val="00664D4A"/>
    <w:rsid w:val="00665118"/>
    <w:rsid w:val="00667773"/>
    <w:rsid w:val="00667C06"/>
    <w:rsid w:val="00670743"/>
    <w:rsid w:val="00671991"/>
    <w:rsid w:val="00672488"/>
    <w:rsid w:val="006735DE"/>
    <w:rsid w:val="00680A85"/>
    <w:rsid w:val="00680B51"/>
    <w:rsid w:val="00681ADF"/>
    <w:rsid w:val="00681F8E"/>
    <w:rsid w:val="0068209B"/>
    <w:rsid w:val="006837D1"/>
    <w:rsid w:val="00683ADD"/>
    <w:rsid w:val="00686772"/>
    <w:rsid w:val="00686B1E"/>
    <w:rsid w:val="00686F65"/>
    <w:rsid w:val="00690EE2"/>
    <w:rsid w:val="00691733"/>
    <w:rsid w:val="006923C3"/>
    <w:rsid w:val="00693373"/>
    <w:rsid w:val="00693854"/>
    <w:rsid w:val="00694BEB"/>
    <w:rsid w:val="006A0E20"/>
    <w:rsid w:val="006A1844"/>
    <w:rsid w:val="006A1854"/>
    <w:rsid w:val="006A187A"/>
    <w:rsid w:val="006A24E3"/>
    <w:rsid w:val="006A36EC"/>
    <w:rsid w:val="006A4358"/>
    <w:rsid w:val="006A5695"/>
    <w:rsid w:val="006A5E74"/>
    <w:rsid w:val="006A7BD2"/>
    <w:rsid w:val="006B020A"/>
    <w:rsid w:val="006B0439"/>
    <w:rsid w:val="006B377E"/>
    <w:rsid w:val="006B3904"/>
    <w:rsid w:val="006B4076"/>
    <w:rsid w:val="006B4A21"/>
    <w:rsid w:val="006B5400"/>
    <w:rsid w:val="006B5B7D"/>
    <w:rsid w:val="006B6106"/>
    <w:rsid w:val="006C2383"/>
    <w:rsid w:val="006C27AA"/>
    <w:rsid w:val="006C2F87"/>
    <w:rsid w:val="006C4AA7"/>
    <w:rsid w:val="006C4D4C"/>
    <w:rsid w:val="006C5B46"/>
    <w:rsid w:val="006C6E39"/>
    <w:rsid w:val="006D0883"/>
    <w:rsid w:val="006D0BD9"/>
    <w:rsid w:val="006D0ECF"/>
    <w:rsid w:val="006D2080"/>
    <w:rsid w:val="006D2F86"/>
    <w:rsid w:val="006D3465"/>
    <w:rsid w:val="006D3D5B"/>
    <w:rsid w:val="006D4C92"/>
    <w:rsid w:val="006D4EB6"/>
    <w:rsid w:val="006D6DB8"/>
    <w:rsid w:val="006D7FBC"/>
    <w:rsid w:val="006E07CA"/>
    <w:rsid w:val="006E20A7"/>
    <w:rsid w:val="006E2C2B"/>
    <w:rsid w:val="006E35BF"/>
    <w:rsid w:val="006E41F0"/>
    <w:rsid w:val="006E46AE"/>
    <w:rsid w:val="006E4D08"/>
    <w:rsid w:val="006E5722"/>
    <w:rsid w:val="006E6AF3"/>
    <w:rsid w:val="006E7850"/>
    <w:rsid w:val="006E7D1B"/>
    <w:rsid w:val="006F1814"/>
    <w:rsid w:val="006F19D8"/>
    <w:rsid w:val="006F1E65"/>
    <w:rsid w:val="006F46D6"/>
    <w:rsid w:val="006F49AB"/>
    <w:rsid w:val="006F4BBB"/>
    <w:rsid w:val="006F5464"/>
    <w:rsid w:val="006F666B"/>
    <w:rsid w:val="00700A86"/>
    <w:rsid w:val="007028D9"/>
    <w:rsid w:val="00703A66"/>
    <w:rsid w:val="00704227"/>
    <w:rsid w:val="007043E8"/>
    <w:rsid w:val="0070440D"/>
    <w:rsid w:val="0070519B"/>
    <w:rsid w:val="007053D2"/>
    <w:rsid w:val="00705417"/>
    <w:rsid w:val="007062C6"/>
    <w:rsid w:val="00707218"/>
    <w:rsid w:val="00707E80"/>
    <w:rsid w:val="00710D04"/>
    <w:rsid w:val="007110DA"/>
    <w:rsid w:val="00712B1D"/>
    <w:rsid w:val="007143A2"/>
    <w:rsid w:val="0071447C"/>
    <w:rsid w:val="00714D88"/>
    <w:rsid w:val="00715745"/>
    <w:rsid w:val="00715751"/>
    <w:rsid w:val="0071639F"/>
    <w:rsid w:val="007171BA"/>
    <w:rsid w:val="00717616"/>
    <w:rsid w:val="007211B4"/>
    <w:rsid w:val="00721875"/>
    <w:rsid w:val="00725957"/>
    <w:rsid w:val="007260D4"/>
    <w:rsid w:val="0072716F"/>
    <w:rsid w:val="007275A1"/>
    <w:rsid w:val="007300DA"/>
    <w:rsid w:val="00730599"/>
    <w:rsid w:val="007325D9"/>
    <w:rsid w:val="007335C1"/>
    <w:rsid w:val="0073368F"/>
    <w:rsid w:val="0073413F"/>
    <w:rsid w:val="00734F1B"/>
    <w:rsid w:val="0073555E"/>
    <w:rsid w:val="00735739"/>
    <w:rsid w:val="0073583B"/>
    <w:rsid w:val="007360CA"/>
    <w:rsid w:val="00745685"/>
    <w:rsid w:val="0074667B"/>
    <w:rsid w:val="007470BD"/>
    <w:rsid w:val="00747AA3"/>
    <w:rsid w:val="007518EE"/>
    <w:rsid w:val="007520B8"/>
    <w:rsid w:val="00752275"/>
    <w:rsid w:val="00752954"/>
    <w:rsid w:val="00755E5A"/>
    <w:rsid w:val="00760EC0"/>
    <w:rsid w:val="00761D64"/>
    <w:rsid w:val="00762855"/>
    <w:rsid w:val="00763A55"/>
    <w:rsid w:val="0076719E"/>
    <w:rsid w:val="007702AA"/>
    <w:rsid w:val="007710A0"/>
    <w:rsid w:val="007711BD"/>
    <w:rsid w:val="007718D8"/>
    <w:rsid w:val="007725D5"/>
    <w:rsid w:val="00774847"/>
    <w:rsid w:val="007750C4"/>
    <w:rsid w:val="0077547B"/>
    <w:rsid w:val="00776AAF"/>
    <w:rsid w:val="00776C40"/>
    <w:rsid w:val="00777740"/>
    <w:rsid w:val="007779F7"/>
    <w:rsid w:val="0078003A"/>
    <w:rsid w:val="007802FA"/>
    <w:rsid w:val="00780771"/>
    <w:rsid w:val="00782263"/>
    <w:rsid w:val="007844CA"/>
    <w:rsid w:val="007849E2"/>
    <w:rsid w:val="00784ED8"/>
    <w:rsid w:val="00785419"/>
    <w:rsid w:val="00786FCE"/>
    <w:rsid w:val="00787BCE"/>
    <w:rsid w:val="0079010D"/>
    <w:rsid w:val="00790571"/>
    <w:rsid w:val="00790C3A"/>
    <w:rsid w:val="007929CF"/>
    <w:rsid w:val="007948E9"/>
    <w:rsid w:val="00795A18"/>
    <w:rsid w:val="00796430"/>
    <w:rsid w:val="00797BA8"/>
    <w:rsid w:val="007A02F5"/>
    <w:rsid w:val="007A081D"/>
    <w:rsid w:val="007A1891"/>
    <w:rsid w:val="007A1FEE"/>
    <w:rsid w:val="007A2776"/>
    <w:rsid w:val="007A3246"/>
    <w:rsid w:val="007A49E7"/>
    <w:rsid w:val="007A539A"/>
    <w:rsid w:val="007A5EDB"/>
    <w:rsid w:val="007A5F11"/>
    <w:rsid w:val="007A6AA7"/>
    <w:rsid w:val="007A6F28"/>
    <w:rsid w:val="007A7E62"/>
    <w:rsid w:val="007B03C6"/>
    <w:rsid w:val="007B0DB1"/>
    <w:rsid w:val="007B2476"/>
    <w:rsid w:val="007B2953"/>
    <w:rsid w:val="007B3640"/>
    <w:rsid w:val="007B5673"/>
    <w:rsid w:val="007B5BF2"/>
    <w:rsid w:val="007B7238"/>
    <w:rsid w:val="007B76FF"/>
    <w:rsid w:val="007C09FE"/>
    <w:rsid w:val="007C2B8E"/>
    <w:rsid w:val="007C2BBD"/>
    <w:rsid w:val="007C37FE"/>
    <w:rsid w:val="007C3BF6"/>
    <w:rsid w:val="007C40D7"/>
    <w:rsid w:val="007C678E"/>
    <w:rsid w:val="007C67B3"/>
    <w:rsid w:val="007C69BD"/>
    <w:rsid w:val="007D01E7"/>
    <w:rsid w:val="007D0FD2"/>
    <w:rsid w:val="007D257E"/>
    <w:rsid w:val="007D27F5"/>
    <w:rsid w:val="007D2EF8"/>
    <w:rsid w:val="007D3874"/>
    <w:rsid w:val="007D561F"/>
    <w:rsid w:val="007D60E8"/>
    <w:rsid w:val="007D67BC"/>
    <w:rsid w:val="007D6E39"/>
    <w:rsid w:val="007D7AB0"/>
    <w:rsid w:val="007D7B3F"/>
    <w:rsid w:val="007D7FD2"/>
    <w:rsid w:val="007E0261"/>
    <w:rsid w:val="007E13D9"/>
    <w:rsid w:val="007E1D32"/>
    <w:rsid w:val="007E2AEC"/>
    <w:rsid w:val="007E2EC0"/>
    <w:rsid w:val="007E301F"/>
    <w:rsid w:val="007E41BE"/>
    <w:rsid w:val="007E4DB6"/>
    <w:rsid w:val="007E55F2"/>
    <w:rsid w:val="007E6733"/>
    <w:rsid w:val="007E6E48"/>
    <w:rsid w:val="007E7683"/>
    <w:rsid w:val="007E7CD4"/>
    <w:rsid w:val="007F0F51"/>
    <w:rsid w:val="007F12AC"/>
    <w:rsid w:val="007F1AC5"/>
    <w:rsid w:val="007F1E9F"/>
    <w:rsid w:val="007F4501"/>
    <w:rsid w:val="007F4749"/>
    <w:rsid w:val="007F60DF"/>
    <w:rsid w:val="008007B2"/>
    <w:rsid w:val="0080163F"/>
    <w:rsid w:val="00801800"/>
    <w:rsid w:val="00801861"/>
    <w:rsid w:val="00801B5B"/>
    <w:rsid w:val="00801C8D"/>
    <w:rsid w:val="00802BE1"/>
    <w:rsid w:val="0080394F"/>
    <w:rsid w:val="0080450D"/>
    <w:rsid w:val="00804EEC"/>
    <w:rsid w:val="00805A30"/>
    <w:rsid w:val="008104A1"/>
    <w:rsid w:val="00813174"/>
    <w:rsid w:val="00815475"/>
    <w:rsid w:val="0081640F"/>
    <w:rsid w:val="0081684A"/>
    <w:rsid w:val="00816A30"/>
    <w:rsid w:val="008200F5"/>
    <w:rsid w:val="00820781"/>
    <w:rsid w:val="0082140B"/>
    <w:rsid w:val="008216E7"/>
    <w:rsid w:val="00823106"/>
    <w:rsid w:val="008243F7"/>
    <w:rsid w:val="00825BE6"/>
    <w:rsid w:val="00826344"/>
    <w:rsid w:val="00826795"/>
    <w:rsid w:val="00827163"/>
    <w:rsid w:val="008276B4"/>
    <w:rsid w:val="00830EA8"/>
    <w:rsid w:val="00831927"/>
    <w:rsid w:val="00831F2D"/>
    <w:rsid w:val="0083220F"/>
    <w:rsid w:val="008327A9"/>
    <w:rsid w:val="008333CF"/>
    <w:rsid w:val="0083391F"/>
    <w:rsid w:val="00834D76"/>
    <w:rsid w:val="00835241"/>
    <w:rsid w:val="00835B58"/>
    <w:rsid w:val="00835F78"/>
    <w:rsid w:val="00837288"/>
    <w:rsid w:val="00837889"/>
    <w:rsid w:val="00840084"/>
    <w:rsid w:val="00840FF9"/>
    <w:rsid w:val="008419EF"/>
    <w:rsid w:val="00841BD3"/>
    <w:rsid w:val="008422AB"/>
    <w:rsid w:val="0084273D"/>
    <w:rsid w:val="0084309D"/>
    <w:rsid w:val="00843BD4"/>
    <w:rsid w:val="00843FA3"/>
    <w:rsid w:val="00844100"/>
    <w:rsid w:val="00844E3F"/>
    <w:rsid w:val="008450EF"/>
    <w:rsid w:val="00845A83"/>
    <w:rsid w:val="008463CF"/>
    <w:rsid w:val="00846BB9"/>
    <w:rsid w:val="00846FA6"/>
    <w:rsid w:val="008473FD"/>
    <w:rsid w:val="00851169"/>
    <w:rsid w:val="00853C4A"/>
    <w:rsid w:val="00854795"/>
    <w:rsid w:val="00854AE9"/>
    <w:rsid w:val="008568DA"/>
    <w:rsid w:val="00856985"/>
    <w:rsid w:val="00857345"/>
    <w:rsid w:val="008608C3"/>
    <w:rsid w:val="00860EDF"/>
    <w:rsid w:val="00861CDA"/>
    <w:rsid w:val="00862650"/>
    <w:rsid w:val="00862EFB"/>
    <w:rsid w:val="0086371F"/>
    <w:rsid w:val="00863CF5"/>
    <w:rsid w:val="00863D5F"/>
    <w:rsid w:val="008649D5"/>
    <w:rsid w:val="00864C93"/>
    <w:rsid w:val="008651EF"/>
    <w:rsid w:val="008661B2"/>
    <w:rsid w:val="0086680D"/>
    <w:rsid w:val="008708E8"/>
    <w:rsid w:val="008712BB"/>
    <w:rsid w:val="00875AAF"/>
    <w:rsid w:val="00875E17"/>
    <w:rsid w:val="0087625E"/>
    <w:rsid w:val="00877694"/>
    <w:rsid w:val="008776A4"/>
    <w:rsid w:val="008809D7"/>
    <w:rsid w:val="00881AD9"/>
    <w:rsid w:val="00881EC0"/>
    <w:rsid w:val="008829A2"/>
    <w:rsid w:val="008830E7"/>
    <w:rsid w:val="00884922"/>
    <w:rsid w:val="00884FFB"/>
    <w:rsid w:val="008851E8"/>
    <w:rsid w:val="008851EC"/>
    <w:rsid w:val="008858BA"/>
    <w:rsid w:val="00887218"/>
    <w:rsid w:val="00890EDE"/>
    <w:rsid w:val="00891015"/>
    <w:rsid w:val="00891F43"/>
    <w:rsid w:val="00892898"/>
    <w:rsid w:val="00892B38"/>
    <w:rsid w:val="00893FE6"/>
    <w:rsid w:val="00894081"/>
    <w:rsid w:val="00894FD5"/>
    <w:rsid w:val="008957F7"/>
    <w:rsid w:val="00896DE9"/>
    <w:rsid w:val="0089770C"/>
    <w:rsid w:val="008A1741"/>
    <w:rsid w:val="008A2484"/>
    <w:rsid w:val="008A2BA2"/>
    <w:rsid w:val="008A354C"/>
    <w:rsid w:val="008A439D"/>
    <w:rsid w:val="008A5213"/>
    <w:rsid w:val="008A52F3"/>
    <w:rsid w:val="008A7058"/>
    <w:rsid w:val="008B1559"/>
    <w:rsid w:val="008B2115"/>
    <w:rsid w:val="008B42C8"/>
    <w:rsid w:val="008B4737"/>
    <w:rsid w:val="008B6612"/>
    <w:rsid w:val="008C0C92"/>
    <w:rsid w:val="008C16A1"/>
    <w:rsid w:val="008C1D22"/>
    <w:rsid w:val="008C200F"/>
    <w:rsid w:val="008C26D9"/>
    <w:rsid w:val="008C3436"/>
    <w:rsid w:val="008C39AE"/>
    <w:rsid w:val="008C5E7C"/>
    <w:rsid w:val="008C6D50"/>
    <w:rsid w:val="008C6D53"/>
    <w:rsid w:val="008C7167"/>
    <w:rsid w:val="008C7503"/>
    <w:rsid w:val="008D1617"/>
    <w:rsid w:val="008D1DA7"/>
    <w:rsid w:val="008D2D29"/>
    <w:rsid w:val="008D330F"/>
    <w:rsid w:val="008D48C1"/>
    <w:rsid w:val="008D4F43"/>
    <w:rsid w:val="008D5E07"/>
    <w:rsid w:val="008D6117"/>
    <w:rsid w:val="008D696D"/>
    <w:rsid w:val="008E2055"/>
    <w:rsid w:val="008E52AB"/>
    <w:rsid w:val="008E5B03"/>
    <w:rsid w:val="008E6315"/>
    <w:rsid w:val="008F0480"/>
    <w:rsid w:val="008F07FC"/>
    <w:rsid w:val="008F081C"/>
    <w:rsid w:val="008F11E0"/>
    <w:rsid w:val="008F13CC"/>
    <w:rsid w:val="008F3410"/>
    <w:rsid w:val="008F3EA7"/>
    <w:rsid w:val="008F472D"/>
    <w:rsid w:val="008F779D"/>
    <w:rsid w:val="008F78BC"/>
    <w:rsid w:val="008F7B63"/>
    <w:rsid w:val="008F7D6A"/>
    <w:rsid w:val="009013AD"/>
    <w:rsid w:val="00901C86"/>
    <w:rsid w:val="00902814"/>
    <w:rsid w:val="00903603"/>
    <w:rsid w:val="009054CB"/>
    <w:rsid w:val="00905AAE"/>
    <w:rsid w:val="00907B3E"/>
    <w:rsid w:val="00910882"/>
    <w:rsid w:val="009111C1"/>
    <w:rsid w:val="00911F8D"/>
    <w:rsid w:val="00912288"/>
    <w:rsid w:val="00912A19"/>
    <w:rsid w:val="00912F94"/>
    <w:rsid w:val="00914CD4"/>
    <w:rsid w:val="00915134"/>
    <w:rsid w:val="00915581"/>
    <w:rsid w:val="009163ED"/>
    <w:rsid w:val="00916864"/>
    <w:rsid w:val="009171BC"/>
    <w:rsid w:val="0092008F"/>
    <w:rsid w:val="00920809"/>
    <w:rsid w:val="00920911"/>
    <w:rsid w:val="00920956"/>
    <w:rsid w:val="00921A3D"/>
    <w:rsid w:val="00921C8D"/>
    <w:rsid w:val="00921ECA"/>
    <w:rsid w:val="00922B93"/>
    <w:rsid w:val="00923605"/>
    <w:rsid w:val="00924401"/>
    <w:rsid w:val="0092497E"/>
    <w:rsid w:val="00925261"/>
    <w:rsid w:val="0092590B"/>
    <w:rsid w:val="00925BF3"/>
    <w:rsid w:val="00925E1D"/>
    <w:rsid w:val="00925E60"/>
    <w:rsid w:val="009264B3"/>
    <w:rsid w:val="00926739"/>
    <w:rsid w:val="00927779"/>
    <w:rsid w:val="009315DD"/>
    <w:rsid w:val="00931E4C"/>
    <w:rsid w:val="009326D2"/>
    <w:rsid w:val="00932A05"/>
    <w:rsid w:val="009332D4"/>
    <w:rsid w:val="009341E8"/>
    <w:rsid w:val="00934674"/>
    <w:rsid w:val="009363F1"/>
    <w:rsid w:val="009365E0"/>
    <w:rsid w:val="00937019"/>
    <w:rsid w:val="00937C01"/>
    <w:rsid w:val="00942945"/>
    <w:rsid w:val="00942BA2"/>
    <w:rsid w:val="00942D56"/>
    <w:rsid w:val="009432B7"/>
    <w:rsid w:val="0094364A"/>
    <w:rsid w:val="009445FF"/>
    <w:rsid w:val="00944C86"/>
    <w:rsid w:val="009465DF"/>
    <w:rsid w:val="00946D29"/>
    <w:rsid w:val="00947C02"/>
    <w:rsid w:val="00950662"/>
    <w:rsid w:val="00950BE6"/>
    <w:rsid w:val="009533A3"/>
    <w:rsid w:val="00954B1E"/>
    <w:rsid w:val="00956D55"/>
    <w:rsid w:val="00957DE8"/>
    <w:rsid w:val="00960ECB"/>
    <w:rsid w:val="009615D6"/>
    <w:rsid w:val="00962EAC"/>
    <w:rsid w:val="0096301C"/>
    <w:rsid w:val="009635BE"/>
    <w:rsid w:val="009654DE"/>
    <w:rsid w:val="0096594B"/>
    <w:rsid w:val="009660C8"/>
    <w:rsid w:val="00966917"/>
    <w:rsid w:val="00967855"/>
    <w:rsid w:val="00970412"/>
    <w:rsid w:val="00971CD1"/>
    <w:rsid w:val="0097364E"/>
    <w:rsid w:val="009741F0"/>
    <w:rsid w:val="00974709"/>
    <w:rsid w:val="0097542A"/>
    <w:rsid w:val="00975CF0"/>
    <w:rsid w:val="00975FFB"/>
    <w:rsid w:val="009772B3"/>
    <w:rsid w:val="00977AD1"/>
    <w:rsid w:val="009801AE"/>
    <w:rsid w:val="00980736"/>
    <w:rsid w:val="009816E5"/>
    <w:rsid w:val="00981A39"/>
    <w:rsid w:val="00982D56"/>
    <w:rsid w:val="00983DBF"/>
    <w:rsid w:val="009840F6"/>
    <w:rsid w:val="00987097"/>
    <w:rsid w:val="0098719F"/>
    <w:rsid w:val="00991123"/>
    <w:rsid w:val="0099125F"/>
    <w:rsid w:val="00991A02"/>
    <w:rsid w:val="00991CAB"/>
    <w:rsid w:val="009934BE"/>
    <w:rsid w:val="009937EE"/>
    <w:rsid w:val="00995079"/>
    <w:rsid w:val="0099519A"/>
    <w:rsid w:val="009952F2"/>
    <w:rsid w:val="009952FB"/>
    <w:rsid w:val="009956F2"/>
    <w:rsid w:val="00996A4A"/>
    <w:rsid w:val="0099708C"/>
    <w:rsid w:val="009A0A72"/>
    <w:rsid w:val="009A1A34"/>
    <w:rsid w:val="009A1E87"/>
    <w:rsid w:val="009A34D9"/>
    <w:rsid w:val="009A3A9C"/>
    <w:rsid w:val="009A45E7"/>
    <w:rsid w:val="009A5145"/>
    <w:rsid w:val="009A58C6"/>
    <w:rsid w:val="009A59E2"/>
    <w:rsid w:val="009A6585"/>
    <w:rsid w:val="009A7551"/>
    <w:rsid w:val="009B046C"/>
    <w:rsid w:val="009B0AEF"/>
    <w:rsid w:val="009B13FA"/>
    <w:rsid w:val="009B1E2D"/>
    <w:rsid w:val="009B2400"/>
    <w:rsid w:val="009B263C"/>
    <w:rsid w:val="009B3051"/>
    <w:rsid w:val="009B3195"/>
    <w:rsid w:val="009B3231"/>
    <w:rsid w:val="009B3A00"/>
    <w:rsid w:val="009B3D77"/>
    <w:rsid w:val="009B5620"/>
    <w:rsid w:val="009B6009"/>
    <w:rsid w:val="009B6C9F"/>
    <w:rsid w:val="009B6F3A"/>
    <w:rsid w:val="009C042C"/>
    <w:rsid w:val="009C0789"/>
    <w:rsid w:val="009C1AAC"/>
    <w:rsid w:val="009C23F6"/>
    <w:rsid w:val="009C59FB"/>
    <w:rsid w:val="009C605F"/>
    <w:rsid w:val="009C6C94"/>
    <w:rsid w:val="009C6F3B"/>
    <w:rsid w:val="009C7478"/>
    <w:rsid w:val="009D01A9"/>
    <w:rsid w:val="009D1467"/>
    <w:rsid w:val="009D273C"/>
    <w:rsid w:val="009D328D"/>
    <w:rsid w:val="009D3409"/>
    <w:rsid w:val="009D4718"/>
    <w:rsid w:val="009D5869"/>
    <w:rsid w:val="009D5FC1"/>
    <w:rsid w:val="009D62C6"/>
    <w:rsid w:val="009D76FB"/>
    <w:rsid w:val="009E113A"/>
    <w:rsid w:val="009E1E77"/>
    <w:rsid w:val="009E4FA6"/>
    <w:rsid w:val="009E5227"/>
    <w:rsid w:val="009E576C"/>
    <w:rsid w:val="009E743C"/>
    <w:rsid w:val="009E7D93"/>
    <w:rsid w:val="009F0AF9"/>
    <w:rsid w:val="009F0D6F"/>
    <w:rsid w:val="009F3316"/>
    <w:rsid w:val="009F3679"/>
    <w:rsid w:val="009F3C34"/>
    <w:rsid w:val="009F3E4E"/>
    <w:rsid w:val="009F3F1D"/>
    <w:rsid w:val="009F462C"/>
    <w:rsid w:val="009F5C33"/>
    <w:rsid w:val="009F6E68"/>
    <w:rsid w:val="009F7091"/>
    <w:rsid w:val="009F7E7F"/>
    <w:rsid w:val="00A009EB"/>
    <w:rsid w:val="00A022BB"/>
    <w:rsid w:val="00A026F0"/>
    <w:rsid w:val="00A0276F"/>
    <w:rsid w:val="00A02E5C"/>
    <w:rsid w:val="00A0342A"/>
    <w:rsid w:val="00A03EAC"/>
    <w:rsid w:val="00A04DBB"/>
    <w:rsid w:val="00A052B7"/>
    <w:rsid w:val="00A0761C"/>
    <w:rsid w:val="00A07EA0"/>
    <w:rsid w:val="00A11190"/>
    <w:rsid w:val="00A11322"/>
    <w:rsid w:val="00A11CA6"/>
    <w:rsid w:val="00A127DA"/>
    <w:rsid w:val="00A141BA"/>
    <w:rsid w:val="00A15200"/>
    <w:rsid w:val="00A1533A"/>
    <w:rsid w:val="00A15D31"/>
    <w:rsid w:val="00A15FA5"/>
    <w:rsid w:val="00A166A9"/>
    <w:rsid w:val="00A169B4"/>
    <w:rsid w:val="00A16C58"/>
    <w:rsid w:val="00A1765F"/>
    <w:rsid w:val="00A204DD"/>
    <w:rsid w:val="00A20C49"/>
    <w:rsid w:val="00A22932"/>
    <w:rsid w:val="00A2293F"/>
    <w:rsid w:val="00A252A5"/>
    <w:rsid w:val="00A269CA"/>
    <w:rsid w:val="00A26C9A"/>
    <w:rsid w:val="00A27F86"/>
    <w:rsid w:val="00A27F97"/>
    <w:rsid w:val="00A31CA6"/>
    <w:rsid w:val="00A336EE"/>
    <w:rsid w:val="00A33EA1"/>
    <w:rsid w:val="00A33F46"/>
    <w:rsid w:val="00A3427E"/>
    <w:rsid w:val="00A357D7"/>
    <w:rsid w:val="00A359AC"/>
    <w:rsid w:val="00A35B8E"/>
    <w:rsid w:val="00A35FC7"/>
    <w:rsid w:val="00A367BE"/>
    <w:rsid w:val="00A37016"/>
    <w:rsid w:val="00A3708B"/>
    <w:rsid w:val="00A378CA"/>
    <w:rsid w:val="00A37D76"/>
    <w:rsid w:val="00A4010E"/>
    <w:rsid w:val="00A40188"/>
    <w:rsid w:val="00A40F83"/>
    <w:rsid w:val="00A410FB"/>
    <w:rsid w:val="00A41366"/>
    <w:rsid w:val="00A41413"/>
    <w:rsid w:val="00A4165B"/>
    <w:rsid w:val="00A42268"/>
    <w:rsid w:val="00A428BE"/>
    <w:rsid w:val="00A428F7"/>
    <w:rsid w:val="00A43033"/>
    <w:rsid w:val="00A431E6"/>
    <w:rsid w:val="00A436E8"/>
    <w:rsid w:val="00A44F17"/>
    <w:rsid w:val="00A45FB1"/>
    <w:rsid w:val="00A46A0F"/>
    <w:rsid w:val="00A46CCC"/>
    <w:rsid w:val="00A47996"/>
    <w:rsid w:val="00A51CFE"/>
    <w:rsid w:val="00A5204D"/>
    <w:rsid w:val="00A52B6A"/>
    <w:rsid w:val="00A5374C"/>
    <w:rsid w:val="00A53B02"/>
    <w:rsid w:val="00A5406D"/>
    <w:rsid w:val="00A54D51"/>
    <w:rsid w:val="00A55793"/>
    <w:rsid w:val="00A558E8"/>
    <w:rsid w:val="00A56053"/>
    <w:rsid w:val="00A5643C"/>
    <w:rsid w:val="00A569B9"/>
    <w:rsid w:val="00A56E77"/>
    <w:rsid w:val="00A60A68"/>
    <w:rsid w:val="00A61605"/>
    <w:rsid w:val="00A6372A"/>
    <w:rsid w:val="00A65703"/>
    <w:rsid w:val="00A65F97"/>
    <w:rsid w:val="00A709CA"/>
    <w:rsid w:val="00A70EC4"/>
    <w:rsid w:val="00A71DAE"/>
    <w:rsid w:val="00A71F93"/>
    <w:rsid w:val="00A726B1"/>
    <w:rsid w:val="00A73B04"/>
    <w:rsid w:val="00A73B55"/>
    <w:rsid w:val="00A74EDE"/>
    <w:rsid w:val="00A763E0"/>
    <w:rsid w:val="00A76727"/>
    <w:rsid w:val="00A76B98"/>
    <w:rsid w:val="00A76C13"/>
    <w:rsid w:val="00A77313"/>
    <w:rsid w:val="00A778AC"/>
    <w:rsid w:val="00A8301F"/>
    <w:rsid w:val="00A84FD0"/>
    <w:rsid w:val="00A851D7"/>
    <w:rsid w:val="00A85B00"/>
    <w:rsid w:val="00A914C6"/>
    <w:rsid w:val="00A918F1"/>
    <w:rsid w:val="00A92325"/>
    <w:rsid w:val="00A927ED"/>
    <w:rsid w:val="00A92A9F"/>
    <w:rsid w:val="00A92E79"/>
    <w:rsid w:val="00A9367D"/>
    <w:rsid w:val="00A93DE2"/>
    <w:rsid w:val="00A949C3"/>
    <w:rsid w:val="00A94B29"/>
    <w:rsid w:val="00A950B6"/>
    <w:rsid w:val="00A95D45"/>
    <w:rsid w:val="00A96065"/>
    <w:rsid w:val="00A974BB"/>
    <w:rsid w:val="00A97796"/>
    <w:rsid w:val="00A97E24"/>
    <w:rsid w:val="00AA18E3"/>
    <w:rsid w:val="00AA2A6D"/>
    <w:rsid w:val="00AA2E2F"/>
    <w:rsid w:val="00AA3EA8"/>
    <w:rsid w:val="00AA5193"/>
    <w:rsid w:val="00AB070A"/>
    <w:rsid w:val="00AB0C49"/>
    <w:rsid w:val="00AB1E08"/>
    <w:rsid w:val="00AB41C1"/>
    <w:rsid w:val="00AB4A96"/>
    <w:rsid w:val="00AB4CF2"/>
    <w:rsid w:val="00AB6748"/>
    <w:rsid w:val="00AB6CCA"/>
    <w:rsid w:val="00AB6D80"/>
    <w:rsid w:val="00AB72EF"/>
    <w:rsid w:val="00AB7B25"/>
    <w:rsid w:val="00AB7C1E"/>
    <w:rsid w:val="00AC223F"/>
    <w:rsid w:val="00AC2430"/>
    <w:rsid w:val="00AC27D3"/>
    <w:rsid w:val="00AC33B1"/>
    <w:rsid w:val="00AC4AEC"/>
    <w:rsid w:val="00AC4D79"/>
    <w:rsid w:val="00AC5659"/>
    <w:rsid w:val="00AC5740"/>
    <w:rsid w:val="00AC5A01"/>
    <w:rsid w:val="00AC5B43"/>
    <w:rsid w:val="00AC6963"/>
    <w:rsid w:val="00AC7298"/>
    <w:rsid w:val="00AC7B8E"/>
    <w:rsid w:val="00AD0455"/>
    <w:rsid w:val="00AD083A"/>
    <w:rsid w:val="00AD12A8"/>
    <w:rsid w:val="00AD2CB0"/>
    <w:rsid w:val="00AD37A0"/>
    <w:rsid w:val="00AD518D"/>
    <w:rsid w:val="00AD584A"/>
    <w:rsid w:val="00AD62DC"/>
    <w:rsid w:val="00AD6512"/>
    <w:rsid w:val="00AD785B"/>
    <w:rsid w:val="00AD78C7"/>
    <w:rsid w:val="00AE023F"/>
    <w:rsid w:val="00AE25E0"/>
    <w:rsid w:val="00AE38D7"/>
    <w:rsid w:val="00AE4642"/>
    <w:rsid w:val="00AE4C43"/>
    <w:rsid w:val="00AE5410"/>
    <w:rsid w:val="00AF095E"/>
    <w:rsid w:val="00AF0D70"/>
    <w:rsid w:val="00AF28E1"/>
    <w:rsid w:val="00AF3577"/>
    <w:rsid w:val="00AF35F9"/>
    <w:rsid w:val="00AF4D03"/>
    <w:rsid w:val="00AF4EAA"/>
    <w:rsid w:val="00AF6763"/>
    <w:rsid w:val="00AF7665"/>
    <w:rsid w:val="00B0424C"/>
    <w:rsid w:val="00B05AF6"/>
    <w:rsid w:val="00B05BF0"/>
    <w:rsid w:val="00B05C7D"/>
    <w:rsid w:val="00B071D9"/>
    <w:rsid w:val="00B110D9"/>
    <w:rsid w:val="00B1171A"/>
    <w:rsid w:val="00B128C6"/>
    <w:rsid w:val="00B12E4E"/>
    <w:rsid w:val="00B15403"/>
    <w:rsid w:val="00B15D57"/>
    <w:rsid w:val="00B16347"/>
    <w:rsid w:val="00B17D6E"/>
    <w:rsid w:val="00B17F01"/>
    <w:rsid w:val="00B21AB5"/>
    <w:rsid w:val="00B22DF0"/>
    <w:rsid w:val="00B22E03"/>
    <w:rsid w:val="00B235C9"/>
    <w:rsid w:val="00B2435E"/>
    <w:rsid w:val="00B24D6E"/>
    <w:rsid w:val="00B26C7A"/>
    <w:rsid w:val="00B27F8A"/>
    <w:rsid w:val="00B32CE2"/>
    <w:rsid w:val="00B346C3"/>
    <w:rsid w:val="00B34ACD"/>
    <w:rsid w:val="00B354A8"/>
    <w:rsid w:val="00B37918"/>
    <w:rsid w:val="00B4001D"/>
    <w:rsid w:val="00B4005C"/>
    <w:rsid w:val="00B40C09"/>
    <w:rsid w:val="00B417D6"/>
    <w:rsid w:val="00B41C4D"/>
    <w:rsid w:val="00B4227E"/>
    <w:rsid w:val="00B43090"/>
    <w:rsid w:val="00B44025"/>
    <w:rsid w:val="00B446B5"/>
    <w:rsid w:val="00B4471C"/>
    <w:rsid w:val="00B451A6"/>
    <w:rsid w:val="00B46D77"/>
    <w:rsid w:val="00B47197"/>
    <w:rsid w:val="00B5029F"/>
    <w:rsid w:val="00B50438"/>
    <w:rsid w:val="00B508EE"/>
    <w:rsid w:val="00B51BF9"/>
    <w:rsid w:val="00B53E0F"/>
    <w:rsid w:val="00B553A7"/>
    <w:rsid w:val="00B55BFC"/>
    <w:rsid w:val="00B56D6E"/>
    <w:rsid w:val="00B57559"/>
    <w:rsid w:val="00B57B93"/>
    <w:rsid w:val="00B57D78"/>
    <w:rsid w:val="00B61CF3"/>
    <w:rsid w:val="00B61F1B"/>
    <w:rsid w:val="00B621BA"/>
    <w:rsid w:val="00B626D3"/>
    <w:rsid w:val="00B64347"/>
    <w:rsid w:val="00B64581"/>
    <w:rsid w:val="00B64D4E"/>
    <w:rsid w:val="00B65287"/>
    <w:rsid w:val="00B654A9"/>
    <w:rsid w:val="00B65DC6"/>
    <w:rsid w:val="00B667F3"/>
    <w:rsid w:val="00B66DDF"/>
    <w:rsid w:val="00B67284"/>
    <w:rsid w:val="00B67AC2"/>
    <w:rsid w:val="00B70E79"/>
    <w:rsid w:val="00B717B6"/>
    <w:rsid w:val="00B71A1A"/>
    <w:rsid w:val="00B71CCD"/>
    <w:rsid w:val="00B722DE"/>
    <w:rsid w:val="00B73263"/>
    <w:rsid w:val="00B7345A"/>
    <w:rsid w:val="00B74822"/>
    <w:rsid w:val="00B74958"/>
    <w:rsid w:val="00B751E3"/>
    <w:rsid w:val="00B75BA6"/>
    <w:rsid w:val="00B75D18"/>
    <w:rsid w:val="00B76C44"/>
    <w:rsid w:val="00B76D52"/>
    <w:rsid w:val="00B7791A"/>
    <w:rsid w:val="00B77EE6"/>
    <w:rsid w:val="00B8184A"/>
    <w:rsid w:val="00B8211B"/>
    <w:rsid w:val="00B82283"/>
    <w:rsid w:val="00B828D8"/>
    <w:rsid w:val="00B82A1B"/>
    <w:rsid w:val="00B82F48"/>
    <w:rsid w:val="00B83F87"/>
    <w:rsid w:val="00B84C8F"/>
    <w:rsid w:val="00B85660"/>
    <w:rsid w:val="00B87143"/>
    <w:rsid w:val="00B87996"/>
    <w:rsid w:val="00B87CDC"/>
    <w:rsid w:val="00B87F8D"/>
    <w:rsid w:val="00B90B15"/>
    <w:rsid w:val="00B910C1"/>
    <w:rsid w:val="00B91216"/>
    <w:rsid w:val="00B92E0C"/>
    <w:rsid w:val="00B932D0"/>
    <w:rsid w:val="00B93678"/>
    <w:rsid w:val="00B939F8"/>
    <w:rsid w:val="00B94AE8"/>
    <w:rsid w:val="00B96D3A"/>
    <w:rsid w:val="00B977D0"/>
    <w:rsid w:val="00BA0AA7"/>
    <w:rsid w:val="00BA0B8D"/>
    <w:rsid w:val="00BA14B4"/>
    <w:rsid w:val="00BA1631"/>
    <w:rsid w:val="00BA1AE5"/>
    <w:rsid w:val="00BA2CA4"/>
    <w:rsid w:val="00BA2EFA"/>
    <w:rsid w:val="00BA3620"/>
    <w:rsid w:val="00BA385D"/>
    <w:rsid w:val="00BA39A0"/>
    <w:rsid w:val="00BA3DBC"/>
    <w:rsid w:val="00BA3F84"/>
    <w:rsid w:val="00BA5761"/>
    <w:rsid w:val="00BA5DD2"/>
    <w:rsid w:val="00BA707A"/>
    <w:rsid w:val="00BB063B"/>
    <w:rsid w:val="00BB0CA6"/>
    <w:rsid w:val="00BB1083"/>
    <w:rsid w:val="00BB1AFB"/>
    <w:rsid w:val="00BB2144"/>
    <w:rsid w:val="00BB2729"/>
    <w:rsid w:val="00BB27AE"/>
    <w:rsid w:val="00BB2A5E"/>
    <w:rsid w:val="00BB2DA2"/>
    <w:rsid w:val="00BB4EAA"/>
    <w:rsid w:val="00BB537C"/>
    <w:rsid w:val="00BB56DC"/>
    <w:rsid w:val="00BB6293"/>
    <w:rsid w:val="00BB68F0"/>
    <w:rsid w:val="00BB69D4"/>
    <w:rsid w:val="00BB6F20"/>
    <w:rsid w:val="00BB7F61"/>
    <w:rsid w:val="00BC30C6"/>
    <w:rsid w:val="00BC3DA5"/>
    <w:rsid w:val="00BC4012"/>
    <w:rsid w:val="00BC4A3C"/>
    <w:rsid w:val="00BC715D"/>
    <w:rsid w:val="00BC7712"/>
    <w:rsid w:val="00BD00E9"/>
    <w:rsid w:val="00BD0588"/>
    <w:rsid w:val="00BD0947"/>
    <w:rsid w:val="00BD0BD1"/>
    <w:rsid w:val="00BD281D"/>
    <w:rsid w:val="00BD5CBE"/>
    <w:rsid w:val="00BD6C95"/>
    <w:rsid w:val="00BD79BF"/>
    <w:rsid w:val="00BE03FB"/>
    <w:rsid w:val="00BE0827"/>
    <w:rsid w:val="00BE0F92"/>
    <w:rsid w:val="00BE1736"/>
    <w:rsid w:val="00BE183D"/>
    <w:rsid w:val="00BE31AA"/>
    <w:rsid w:val="00BE43B9"/>
    <w:rsid w:val="00BE4F42"/>
    <w:rsid w:val="00BE58ED"/>
    <w:rsid w:val="00BE6532"/>
    <w:rsid w:val="00BE7DCF"/>
    <w:rsid w:val="00BF24C2"/>
    <w:rsid w:val="00BF2922"/>
    <w:rsid w:val="00BF4C25"/>
    <w:rsid w:val="00BF5D7A"/>
    <w:rsid w:val="00BF60F2"/>
    <w:rsid w:val="00BF6114"/>
    <w:rsid w:val="00BF657B"/>
    <w:rsid w:val="00BF797D"/>
    <w:rsid w:val="00C01C2E"/>
    <w:rsid w:val="00C01DB1"/>
    <w:rsid w:val="00C01EAF"/>
    <w:rsid w:val="00C02D33"/>
    <w:rsid w:val="00C035F5"/>
    <w:rsid w:val="00C03CD0"/>
    <w:rsid w:val="00C04B53"/>
    <w:rsid w:val="00C04B7F"/>
    <w:rsid w:val="00C06EF2"/>
    <w:rsid w:val="00C10149"/>
    <w:rsid w:val="00C1232C"/>
    <w:rsid w:val="00C12B0F"/>
    <w:rsid w:val="00C12FEC"/>
    <w:rsid w:val="00C1631B"/>
    <w:rsid w:val="00C1797B"/>
    <w:rsid w:val="00C208A9"/>
    <w:rsid w:val="00C20B0C"/>
    <w:rsid w:val="00C240F2"/>
    <w:rsid w:val="00C25D94"/>
    <w:rsid w:val="00C265A0"/>
    <w:rsid w:val="00C27554"/>
    <w:rsid w:val="00C27C6B"/>
    <w:rsid w:val="00C30BBE"/>
    <w:rsid w:val="00C31B0B"/>
    <w:rsid w:val="00C33A0D"/>
    <w:rsid w:val="00C33F4A"/>
    <w:rsid w:val="00C3594D"/>
    <w:rsid w:val="00C35CFF"/>
    <w:rsid w:val="00C36442"/>
    <w:rsid w:val="00C400CE"/>
    <w:rsid w:val="00C40266"/>
    <w:rsid w:val="00C40E57"/>
    <w:rsid w:val="00C410FD"/>
    <w:rsid w:val="00C41567"/>
    <w:rsid w:val="00C419F6"/>
    <w:rsid w:val="00C4302A"/>
    <w:rsid w:val="00C43A22"/>
    <w:rsid w:val="00C43E7A"/>
    <w:rsid w:val="00C4466E"/>
    <w:rsid w:val="00C457DE"/>
    <w:rsid w:val="00C461EC"/>
    <w:rsid w:val="00C474AE"/>
    <w:rsid w:val="00C475E3"/>
    <w:rsid w:val="00C47DD3"/>
    <w:rsid w:val="00C52428"/>
    <w:rsid w:val="00C5253A"/>
    <w:rsid w:val="00C5316F"/>
    <w:rsid w:val="00C53562"/>
    <w:rsid w:val="00C539B6"/>
    <w:rsid w:val="00C539FB"/>
    <w:rsid w:val="00C54ACB"/>
    <w:rsid w:val="00C55EC8"/>
    <w:rsid w:val="00C5600D"/>
    <w:rsid w:val="00C568A7"/>
    <w:rsid w:val="00C63DC2"/>
    <w:rsid w:val="00C66AA3"/>
    <w:rsid w:val="00C66E57"/>
    <w:rsid w:val="00C67020"/>
    <w:rsid w:val="00C67F5C"/>
    <w:rsid w:val="00C715E2"/>
    <w:rsid w:val="00C715E8"/>
    <w:rsid w:val="00C724D7"/>
    <w:rsid w:val="00C73EDC"/>
    <w:rsid w:val="00C74150"/>
    <w:rsid w:val="00C75594"/>
    <w:rsid w:val="00C75848"/>
    <w:rsid w:val="00C76A52"/>
    <w:rsid w:val="00C77224"/>
    <w:rsid w:val="00C77A81"/>
    <w:rsid w:val="00C801E1"/>
    <w:rsid w:val="00C80B30"/>
    <w:rsid w:val="00C81951"/>
    <w:rsid w:val="00C81CAE"/>
    <w:rsid w:val="00C82A77"/>
    <w:rsid w:val="00C83CBC"/>
    <w:rsid w:val="00C85982"/>
    <w:rsid w:val="00C862A0"/>
    <w:rsid w:val="00C86557"/>
    <w:rsid w:val="00C86750"/>
    <w:rsid w:val="00C8774B"/>
    <w:rsid w:val="00C87948"/>
    <w:rsid w:val="00C87C66"/>
    <w:rsid w:val="00C905DA"/>
    <w:rsid w:val="00C91E2C"/>
    <w:rsid w:val="00C92517"/>
    <w:rsid w:val="00C9258F"/>
    <w:rsid w:val="00C925D1"/>
    <w:rsid w:val="00C92CC4"/>
    <w:rsid w:val="00C96345"/>
    <w:rsid w:val="00C97799"/>
    <w:rsid w:val="00CA0226"/>
    <w:rsid w:val="00CA0466"/>
    <w:rsid w:val="00CA1695"/>
    <w:rsid w:val="00CA17FA"/>
    <w:rsid w:val="00CA1B6F"/>
    <w:rsid w:val="00CA246D"/>
    <w:rsid w:val="00CA3424"/>
    <w:rsid w:val="00CA3995"/>
    <w:rsid w:val="00CA50D9"/>
    <w:rsid w:val="00CA5C72"/>
    <w:rsid w:val="00CA5FB5"/>
    <w:rsid w:val="00CA6FEC"/>
    <w:rsid w:val="00CA78DA"/>
    <w:rsid w:val="00CB0017"/>
    <w:rsid w:val="00CB02AC"/>
    <w:rsid w:val="00CB162B"/>
    <w:rsid w:val="00CB2712"/>
    <w:rsid w:val="00CB3054"/>
    <w:rsid w:val="00CB3430"/>
    <w:rsid w:val="00CB5636"/>
    <w:rsid w:val="00CB5F30"/>
    <w:rsid w:val="00CB6FB0"/>
    <w:rsid w:val="00CB7951"/>
    <w:rsid w:val="00CC3EE5"/>
    <w:rsid w:val="00CC4B61"/>
    <w:rsid w:val="00CC5D30"/>
    <w:rsid w:val="00CC5F6A"/>
    <w:rsid w:val="00CC6203"/>
    <w:rsid w:val="00CC6E00"/>
    <w:rsid w:val="00CC6E47"/>
    <w:rsid w:val="00CC770D"/>
    <w:rsid w:val="00CD068B"/>
    <w:rsid w:val="00CD0D7E"/>
    <w:rsid w:val="00CD0DCF"/>
    <w:rsid w:val="00CD1346"/>
    <w:rsid w:val="00CD19BF"/>
    <w:rsid w:val="00CD2136"/>
    <w:rsid w:val="00CD3631"/>
    <w:rsid w:val="00CD60E1"/>
    <w:rsid w:val="00CD641A"/>
    <w:rsid w:val="00CD6816"/>
    <w:rsid w:val="00CD7359"/>
    <w:rsid w:val="00CD7C84"/>
    <w:rsid w:val="00CD7F13"/>
    <w:rsid w:val="00CE1A71"/>
    <w:rsid w:val="00CE425C"/>
    <w:rsid w:val="00CE4AC3"/>
    <w:rsid w:val="00CE58AC"/>
    <w:rsid w:val="00CE7312"/>
    <w:rsid w:val="00CF05F9"/>
    <w:rsid w:val="00CF07C7"/>
    <w:rsid w:val="00CF26CC"/>
    <w:rsid w:val="00CF3596"/>
    <w:rsid w:val="00CF37E1"/>
    <w:rsid w:val="00CF4248"/>
    <w:rsid w:val="00CF5A80"/>
    <w:rsid w:val="00CF6AF6"/>
    <w:rsid w:val="00CF7535"/>
    <w:rsid w:val="00D00769"/>
    <w:rsid w:val="00D037D3"/>
    <w:rsid w:val="00D03A46"/>
    <w:rsid w:val="00D045EE"/>
    <w:rsid w:val="00D049C5"/>
    <w:rsid w:val="00D05091"/>
    <w:rsid w:val="00D06135"/>
    <w:rsid w:val="00D06DD2"/>
    <w:rsid w:val="00D10CA6"/>
    <w:rsid w:val="00D10D6D"/>
    <w:rsid w:val="00D10F21"/>
    <w:rsid w:val="00D11DA3"/>
    <w:rsid w:val="00D12156"/>
    <w:rsid w:val="00D126C3"/>
    <w:rsid w:val="00D1306E"/>
    <w:rsid w:val="00D130A1"/>
    <w:rsid w:val="00D134CF"/>
    <w:rsid w:val="00D13C09"/>
    <w:rsid w:val="00D14E15"/>
    <w:rsid w:val="00D1573B"/>
    <w:rsid w:val="00D16A82"/>
    <w:rsid w:val="00D1729D"/>
    <w:rsid w:val="00D1768B"/>
    <w:rsid w:val="00D22881"/>
    <w:rsid w:val="00D2327D"/>
    <w:rsid w:val="00D24806"/>
    <w:rsid w:val="00D30262"/>
    <w:rsid w:val="00D33035"/>
    <w:rsid w:val="00D34040"/>
    <w:rsid w:val="00D34E69"/>
    <w:rsid w:val="00D36A19"/>
    <w:rsid w:val="00D36C78"/>
    <w:rsid w:val="00D374E5"/>
    <w:rsid w:val="00D375EE"/>
    <w:rsid w:val="00D4052F"/>
    <w:rsid w:val="00D40DFE"/>
    <w:rsid w:val="00D41079"/>
    <w:rsid w:val="00D411BB"/>
    <w:rsid w:val="00D41C88"/>
    <w:rsid w:val="00D41CEF"/>
    <w:rsid w:val="00D45776"/>
    <w:rsid w:val="00D45981"/>
    <w:rsid w:val="00D50AA1"/>
    <w:rsid w:val="00D52A4B"/>
    <w:rsid w:val="00D52DA2"/>
    <w:rsid w:val="00D533D2"/>
    <w:rsid w:val="00D53BC5"/>
    <w:rsid w:val="00D54A83"/>
    <w:rsid w:val="00D5582A"/>
    <w:rsid w:val="00D55AE8"/>
    <w:rsid w:val="00D55F11"/>
    <w:rsid w:val="00D56056"/>
    <w:rsid w:val="00D56E62"/>
    <w:rsid w:val="00D5795F"/>
    <w:rsid w:val="00D6085F"/>
    <w:rsid w:val="00D62699"/>
    <w:rsid w:val="00D629F1"/>
    <w:rsid w:val="00D62BE9"/>
    <w:rsid w:val="00D640C6"/>
    <w:rsid w:val="00D6543A"/>
    <w:rsid w:val="00D66F1B"/>
    <w:rsid w:val="00D7111E"/>
    <w:rsid w:val="00D7157E"/>
    <w:rsid w:val="00D72FF4"/>
    <w:rsid w:val="00D75913"/>
    <w:rsid w:val="00D7682B"/>
    <w:rsid w:val="00D778E9"/>
    <w:rsid w:val="00D77DBD"/>
    <w:rsid w:val="00D80462"/>
    <w:rsid w:val="00D812BF"/>
    <w:rsid w:val="00D8158C"/>
    <w:rsid w:val="00D8220C"/>
    <w:rsid w:val="00D822DC"/>
    <w:rsid w:val="00D82620"/>
    <w:rsid w:val="00D829F4"/>
    <w:rsid w:val="00D838E9"/>
    <w:rsid w:val="00D848BD"/>
    <w:rsid w:val="00D85195"/>
    <w:rsid w:val="00D85596"/>
    <w:rsid w:val="00D85707"/>
    <w:rsid w:val="00D85BE3"/>
    <w:rsid w:val="00D870E5"/>
    <w:rsid w:val="00D872F4"/>
    <w:rsid w:val="00D943C8"/>
    <w:rsid w:val="00D94765"/>
    <w:rsid w:val="00D9725F"/>
    <w:rsid w:val="00DA01B1"/>
    <w:rsid w:val="00DA11A2"/>
    <w:rsid w:val="00DA14ED"/>
    <w:rsid w:val="00DA1C91"/>
    <w:rsid w:val="00DA26D6"/>
    <w:rsid w:val="00DA40D0"/>
    <w:rsid w:val="00DA56E8"/>
    <w:rsid w:val="00DA7A23"/>
    <w:rsid w:val="00DB05AF"/>
    <w:rsid w:val="00DB099D"/>
    <w:rsid w:val="00DB0B8E"/>
    <w:rsid w:val="00DB0E18"/>
    <w:rsid w:val="00DB1368"/>
    <w:rsid w:val="00DB28B0"/>
    <w:rsid w:val="00DB2EF1"/>
    <w:rsid w:val="00DB3DE1"/>
    <w:rsid w:val="00DB5200"/>
    <w:rsid w:val="00DB5DA0"/>
    <w:rsid w:val="00DB6414"/>
    <w:rsid w:val="00DB716C"/>
    <w:rsid w:val="00DC0798"/>
    <w:rsid w:val="00DC1745"/>
    <w:rsid w:val="00DC1C15"/>
    <w:rsid w:val="00DC2557"/>
    <w:rsid w:val="00DC3ACD"/>
    <w:rsid w:val="00DC3F82"/>
    <w:rsid w:val="00DC5C85"/>
    <w:rsid w:val="00DC63C6"/>
    <w:rsid w:val="00DC644E"/>
    <w:rsid w:val="00DC6B7A"/>
    <w:rsid w:val="00DC7C5D"/>
    <w:rsid w:val="00DD00C8"/>
    <w:rsid w:val="00DD0A79"/>
    <w:rsid w:val="00DD129D"/>
    <w:rsid w:val="00DD16EC"/>
    <w:rsid w:val="00DD4236"/>
    <w:rsid w:val="00DD44F1"/>
    <w:rsid w:val="00DD68C9"/>
    <w:rsid w:val="00DD6957"/>
    <w:rsid w:val="00DD6E07"/>
    <w:rsid w:val="00DD6E7A"/>
    <w:rsid w:val="00DD7019"/>
    <w:rsid w:val="00DD79EA"/>
    <w:rsid w:val="00DE055A"/>
    <w:rsid w:val="00DE07E6"/>
    <w:rsid w:val="00DE0930"/>
    <w:rsid w:val="00DE0E99"/>
    <w:rsid w:val="00DE3067"/>
    <w:rsid w:val="00DE38E0"/>
    <w:rsid w:val="00DE5399"/>
    <w:rsid w:val="00DE57D0"/>
    <w:rsid w:val="00DE7E73"/>
    <w:rsid w:val="00DF0396"/>
    <w:rsid w:val="00DF1011"/>
    <w:rsid w:val="00DF3DDE"/>
    <w:rsid w:val="00DF3EEE"/>
    <w:rsid w:val="00DF6676"/>
    <w:rsid w:val="00DF6754"/>
    <w:rsid w:val="00DF705F"/>
    <w:rsid w:val="00DF75E1"/>
    <w:rsid w:val="00DF795D"/>
    <w:rsid w:val="00DF7DF0"/>
    <w:rsid w:val="00E016F5"/>
    <w:rsid w:val="00E01C8F"/>
    <w:rsid w:val="00E0240C"/>
    <w:rsid w:val="00E027BC"/>
    <w:rsid w:val="00E03403"/>
    <w:rsid w:val="00E034C4"/>
    <w:rsid w:val="00E03F8D"/>
    <w:rsid w:val="00E04155"/>
    <w:rsid w:val="00E045BE"/>
    <w:rsid w:val="00E0470B"/>
    <w:rsid w:val="00E04BDC"/>
    <w:rsid w:val="00E054F6"/>
    <w:rsid w:val="00E10F0D"/>
    <w:rsid w:val="00E11FD0"/>
    <w:rsid w:val="00E135C9"/>
    <w:rsid w:val="00E13625"/>
    <w:rsid w:val="00E14EA5"/>
    <w:rsid w:val="00E15611"/>
    <w:rsid w:val="00E15CCC"/>
    <w:rsid w:val="00E17C19"/>
    <w:rsid w:val="00E2070E"/>
    <w:rsid w:val="00E21133"/>
    <w:rsid w:val="00E21BE7"/>
    <w:rsid w:val="00E22541"/>
    <w:rsid w:val="00E2327E"/>
    <w:rsid w:val="00E23577"/>
    <w:rsid w:val="00E23F7E"/>
    <w:rsid w:val="00E24E22"/>
    <w:rsid w:val="00E25E06"/>
    <w:rsid w:val="00E266EF"/>
    <w:rsid w:val="00E31CBB"/>
    <w:rsid w:val="00E326A8"/>
    <w:rsid w:val="00E336B7"/>
    <w:rsid w:val="00E34127"/>
    <w:rsid w:val="00E35F68"/>
    <w:rsid w:val="00E36A0D"/>
    <w:rsid w:val="00E427B5"/>
    <w:rsid w:val="00E429E6"/>
    <w:rsid w:val="00E42A91"/>
    <w:rsid w:val="00E4389C"/>
    <w:rsid w:val="00E441A9"/>
    <w:rsid w:val="00E444E0"/>
    <w:rsid w:val="00E45EDA"/>
    <w:rsid w:val="00E47428"/>
    <w:rsid w:val="00E5012D"/>
    <w:rsid w:val="00E50286"/>
    <w:rsid w:val="00E502D2"/>
    <w:rsid w:val="00E505E0"/>
    <w:rsid w:val="00E53DBA"/>
    <w:rsid w:val="00E5476F"/>
    <w:rsid w:val="00E55490"/>
    <w:rsid w:val="00E55FC3"/>
    <w:rsid w:val="00E56C8E"/>
    <w:rsid w:val="00E5716B"/>
    <w:rsid w:val="00E57550"/>
    <w:rsid w:val="00E57F1F"/>
    <w:rsid w:val="00E60025"/>
    <w:rsid w:val="00E60BF8"/>
    <w:rsid w:val="00E61186"/>
    <w:rsid w:val="00E61D81"/>
    <w:rsid w:val="00E624A4"/>
    <w:rsid w:val="00E633FF"/>
    <w:rsid w:val="00E634A0"/>
    <w:rsid w:val="00E650EB"/>
    <w:rsid w:val="00E65E20"/>
    <w:rsid w:val="00E66B9F"/>
    <w:rsid w:val="00E676E8"/>
    <w:rsid w:val="00E67CA4"/>
    <w:rsid w:val="00E70A6A"/>
    <w:rsid w:val="00E710D6"/>
    <w:rsid w:val="00E719C4"/>
    <w:rsid w:val="00E723DA"/>
    <w:rsid w:val="00E72421"/>
    <w:rsid w:val="00E7317F"/>
    <w:rsid w:val="00E73DA4"/>
    <w:rsid w:val="00E73E29"/>
    <w:rsid w:val="00E7556A"/>
    <w:rsid w:val="00E76E45"/>
    <w:rsid w:val="00E774B7"/>
    <w:rsid w:val="00E777C9"/>
    <w:rsid w:val="00E8125A"/>
    <w:rsid w:val="00E81DA6"/>
    <w:rsid w:val="00E82008"/>
    <w:rsid w:val="00E84212"/>
    <w:rsid w:val="00E85057"/>
    <w:rsid w:val="00E856C3"/>
    <w:rsid w:val="00E87658"/>
    <w:rsid w:val="00E9086C"/>
    <w:rsid w:val="00E90AAA"/>
    <w:rsid w:val="00E910E8"/>
    <w:rsid w:val="00E91676"/>
    <w:rsid w:val="00E91930"/>
    <w:rsid w:val="00E91A0F"/>
    <w:rsid w:val="00E91FE8"/>
    <w:rsid w:val="00E94A71"/>
    <w:rsid w:val="00E94CBF"/>
    <w:rsid w:val="00E94D64"/>
    <w:rsid w:val="00E95752"/>
    <w:rsid w:val="00E95F8F"/>
    <w:rsid w:val="00E97A54"/>
    <w:rsid w:val="00EA015D"/>
    <w:rsid w:val="00EA03CE"/>
    <w:rsid w:val="00EA23E5"/>
    <w:rsid w:val="00EA32AD"/>
    <w:rsid w:val="00EA35A3"/>
    <w:rsid w:val="00EA4E2E"/>
    <w:rsid w:val="00EA51F9"/>
    <w:rsid w:val="00EA5C2D"/>
    <w:rsid w:val="00EB15D8"/>
    <w:rsid w:val="00EB2417"/>
    <w:rsid w:val="00EB2CCB"/>
    <w:rsid w:val="00EB54D9"/>
    <w:rsid w:val="00EB5923"/>
    <w:rsid w:val="00EB6A59"/>
    <w:rsid w:val="00EB7A25"/>
    <w:rsid w:val="00EC0F3E"/>
    <w:rsid w:val="00EC214F"/>
    <w:rsid w:val="00EC2608"/>
    <w:rsid w:val="00EC3808"/>
    <w:rsid w:val="00EC57A7"/>
    <w:rsid w:val="00EC6AA3"/>
    <w:rsid w:val="00ED05F6"/>
    <w:rsid w:val="00ED0817"/>
    <w:rsid w:val="00ED5498"/>
    <w:rsid w:val="00ED666C"/>
    <w:rsid w:val="00ED6A5F"/>
    <w:rsid w:val="00ED73AA"/>
    <w:rsid w:val="00ED7DD9"/>
    <w:rsid w:val="00EE03A1"/>
    <w:rsid w:val="00EE0E0C"/>
    <w:rsid w:val="00EE0EA8"/>
    <w:rsid w:val="00EE15F4"/>
    <w:rsid w:val="00EE242F"/>
    <w:rsid w:val="00EE2848"/>
    <w:rsid w:val="00EE299B"/>
    <w:rsid w:val="00EE3E2A"/>
    <w:rsid w:val="00EE436E"/>
    <w:rsid w:val="00EE445B"/>
    <w:rsid w:val="00EF18F9"/>
    <w:rsid w:val="00EF3113"/>
    <w:rsid w:val="00EF3F84"/>
    <w:rsid w:val="00EF6797"/>
    <w:rsid w:val="00EF6DBC"/>
    <w:rsid w:val="00EF7D60"/>
    <w:rsid w:val="00EF7D8E"/>
    <w:rsid w:val="00F011DF"/>
    <w:rsid w:val="00F01A15"/>
    <w:rsid w:val="00F01AC0"/>
    <w:rsid w:val="00F057A9"/>
    <w:rsid w:val="00F05CBD"/>
    <w:rsid w:val="00F101D6"/>
    <w:rsid w:val="00F10344"/>
    <w:rsid w:val="00F109A1"/>
    <w:rsid w:val="00F11251"/>
    <w:rsid w:val="00F12D68"/>
    <w:rsid w:val="00F12F56"/>
    <w:rsid w:val="00F15812"/>
    <w:rsid w:val="00F16E3B"/>
    <w:rsid w:val="00F1747A"/>
    <w:rsid w:val="00F176AC"/>
    <w:rsid w:val="00F17A38"/>
    <w:rsid w:val="00F17C23"/>
    <w:rsid w:val="00F20117"/>
    <w:rsid w:val="00F20831"/>
    <w:rsid w:val="00F210A9"/>
    <w:rsid w:val="00F2139C"/>
    <w:rsid w:val="00F2292C"/>
    <w:rsid w:val="00F23549"/>
    <w:rsid w:val="00F24DB9"/>
    <w:rsid w:val="00F24DE6"/>
    <w:rsid w:val="00F252CF"/>
    <w:rsid w:val="00F25B78"/>
    <w:rsid w:val="00F2682F"/>
    <w:rsid w:val="00F26F28"/>
    <w:rsid w:val="00F27714"/>
    <w:rsid w:val="00F311D7"/>
    <w:rsid w:val="00F31361"/>
    <w:rsid w:val="00F31534"/>
    <w:rsid w:val="00F3234E"/>
    <w:rsid w:val="00F3276E"/>
    <w:rsid w:val="00F33419"/>
    <w:rsid w:val="00F33D3C"/>
    <w:rsid w:val="00F36791"/>
    <w:rsid w:val="00F371DB"/>
    <w:rsid w:val="00F37A91"/>
    <w:rsid w:val="00F408A0"/>
    <w:rsid w:val="00F42196"/>
    <w:rsid w:val="00F42FB2"/>
    <w:rsid w:val="00F438E5"/>
    <w:rsid w:val="00F444D9"/>
    <w:rsid w:val="00F45CF5"/>
    <w:rsid w:val="00F471CD"/>
    <w:rsid w:val="00F47DB0"/>
    <w:rsid w:val="00F50C3F"/>
    <w:rsid w:val="00F50E34"/>
    <w:rsid w:val="00F51AFB"/>
    <w:rsid w:val="00F51B1E"/>
    <w:rsid w:val="00F5233F"/>
    <w:rsid w:val="00F53C1D"/>
    <w:rsid w:val="00F53EB9"/>
    <w:rsid w:val="00F53EF7"/>
    <w:rsid w:val="00F54288"/>
    <w:rsid w:val="00F547AA"/>
    <w:rsid w:val="00F54BF2"/>
    <w:rsid w:val="00F55D43"/>
    <w:rsid w:val="00F6333F"/>
    <w:rsid w:val="00F636FA"/>
    <w:rsid w:val="00F63B08"/>
    <w:rsid w:val="00F66846"/>
    <w:rsid w:val="00F67C32"/>
    <w:rsid w:val="00F70DCB"/>
    <w:rsid w:val="00F72F8B"/>
    <w:rsid w:val="00F73AD0"/>
    <w:rsid w:val="00F7466D"/>
    <w:rsid w:val="00F752F2"/>
    <w:rsid w:val="00F75A40"/>
    <w:rsid w:val="00F775AC"/>
    <w:rsid w:val="00F808F6"/>
    <w:rsid w:val="00F80EB4"/>
    <w:rsid w:val="00F83184"/>
    <w:rsid w:val="00F834B8"/>
    <w:rsid w:val="00F843F5"/>
    <w:rsid w:val="00F854A0"/>
    <w:rsid w:val="00F85569"/>
    <w:rsid w:val="00F85AB6"/>
    <w:rsid w:val="00F86A2D"/>
    <w:rsid w:val="00F8792F"/>
    <w:rsid w:val="00F90CEF"/>
    <w:rsid w:val="00F91A97"/>
    <w:rsid w:val="00F9214D"/>
    <w:rsid w:val="00F92355"/>
    <w:rsid w:val="00F93963"/>
    <w:rsid w:val="00F94291"/>
    <w:rsid w:val="00F9470E"/>
    <w:rsid w:val="00F949EA"/>
    <w:rsid w:val="00F9591E"/>
    <w:rsid w:val="00F95B25"/>
    <w:rsid w:val="00F967A6"/>
    <w:rsid w:val="00F9705E"/>
    <w:rsid w:val="00FA002E"/>
    <w:rsid w:val="00FA00FC"/>
    <w:rsid w:val="00FA1526"/>
    <w:rsid w:val="00FA298A"/>
    <w:rsid w:val="00FA2C05"/>
    <w:rsid w:val="00FA3772"/>
    <w:rsid w:val="00FA3796"/>
    <w:rsid w:val="00FA4026"/>
    <w:rsid w:val="00FA47DA"/>
    <w:rsid w:val="00FA510B"/>
    <w:rsid w:val="00FA5A8B"/>
    <w:rsid w:val="00FA5B66"/>
    <w:rsid w:val="00FA5DFB"/>
    <w:rsid w:val="00FA5E3C"/>
    <w:rsid w:val="00FB0349"/>
    <w:rsid w:val="00FB0B9C"/>
    <w:rsid w:val="00FB102D"/>
    <w:rsid w:val="00FB11EA"/>
    <w:rsid w:val="00FB1493"/>
    <w:rsid w:val="00FB30EB"/>
    <w:rsid w:val="00FB534B"/>
    <w:rsid w:val="00FB70E4"/>
    <w:rsid w:val="00FB7885"/>
    <w:rsid w:val="00FB7982"/>
    <w:rsid w:val="00FB7CF4"/>
    <w:rsid w:val="00FC027E"/>
    <w:rsid w:val="00FC0734"/>
    <w:rsid w:val="00FC0FC5"/>
    <w:rsid w:val="00FC2919"/>
    <w:rsid w:val="00FC5143"/>
    <w:rsid w:val="00FC588F"/>
    <w:rsid w:val="00FC6879"/>
    <w:rsid w:val="00FD0BB0"/>
    <w:rsid w:val="00FD1218"/>
    <w:rsid w:val="00FD3B92"/>
    <w:rsid w:val="00FD43C2"/>
    <w:rsid w:val="00FD4E31"/>
    <w:rsid w:val="00FD57CC"/>
    <w:rsid w:val="00FD6532"/>
    <w:rsid w:val="00FD6886"/>
    <w:rsid w:val="00FE0623"/>
    <w:rsid w:val="00FE1B30"/>
    <w:rsid w:val="00FE252F"/>
    <w:rsid w:val="00FE25A5"/>
    <w:rsid w:val="00FE27A0"/>
    <w:rsid w:val="00FE2CC1"/>
    <w:rsid w:val="00FE346D"/>
    <w:rsid w:val="00FE36EB"/>
    <w:rsid w:val="00FE4AF4"/>
    <w:rsid w:val="00FE4B7F"/>
    <w:rsid w:val="00FE5A99"/>
    <w:rsid w:val="00FE63FF"/>
    <w:rsid w:val="00FE6989"/>
    <w:rsid w:val="00FE7B44"/>
    <w:rsid w:val="00FF1510"/>
    <w:rsid w:val="00FF2582"/>
    <w:rsid w:val="00FF2F42"/>
    <w:rsid w:val="00FF4FB7"/>
    <w:rsid w:val="00FF5FCB"/>
    <w:rsid w:val="00FF7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44E11"/>
  <w15:docId w15:val="{37164B28-C5ED-47B2-83DC-28C22DD3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6E572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6C4BCC5A943028A4D9EBAA8C9F1C8"/>
        <w:category>
          <w:name w:val="General"/>
          <w:gallery w:val="placeholder"/>
        </w:category>
        <w:types>
          <w:type w:val="bbPlcHdr"/>
        </w:types>
        <w:behaviors>
          <w:behavior w:val="content"/>
        </w:behaviors>
        <w:guid w:val="{EEC14A67-26FE-478C-BE80-F9E7B221DF61}"/>
      </w:docPartPr>
      <w:docPartBody>
        <w:p w:rsidR="005E35E3" w:rsidRDefault="00055A62">
          <w:pPr>
            <w:pStyle w:val="7EF6C4BCC5A943028A4D9EBAA8C9F1C8"/>
          </w:pPr>
          <w:r>
            <w:rPr>
              <w:rStyle w:val="PlaceholderText"/>
            </w:rPr>
            <w:t>MNC Text</w:t>
          </w:r>
        </w:p>
      </w:docPartBody>
    </w:docPart>
    <w:docPart>
      <w:docPartPr>
        <w:name w:val="6C91E0D077084E4C849B04AE34DEF535"/>
        <w:category>
          <w:name w:val="General"/>
          <w:gallery w:val="placeholder"/>
        </w:category>
        <w:types>
          <w:type w:val="bbPlcHdr"/>
        </w:types>
        <w:behaviors>
          <w:behavior w:val="content"/>
        </w:behaviors>
        <w:guid w:val="{643C905D-4370-46C1-B9D4-02B5D2A37778}"/>
      </w:docPartPr>
      <w:docPartBody>
        <w:p w:rsidR="005E35E3" w:rsidRDefault="00055A62">
          <w:pPr>
            <w:pStyle w:val="6C91E0D077084E4C849B04AE34DEF535"/>
          </w:pPr>
          <w:r w:rsidRPr="005C44BE">
            <w:rPr>
              <w:rStyle w:val="PlaceholderText"/>
            </w:rPr>
            <w:t>Click or tap here to enter text.</w:t>
          </w:r>
        </w:p>
      </w:docPartBody>
    </w:docPart>
    <w:docPart>
      <w:docPartPr>
        <w:name w:val="F1E2E193A6A249F49309F4C20AB37267"/>
        <w:category>
          <w:name w:val="General"/>
          <w:gallery w:val="placeholder"/>
        </w:category>
        <w:types>
          <w:type w:val="bbPlcHdr"/>
        </w:types>
        <w:behaviors>
          <w:behavior w:val="content"/>
        </w:behaviors>
        <w:guid w:val="{0326BF1C-DF4E-45C6-BD05-E64FAACC30DC}"/>
      </w:docPartPr>
      <w:docPartBody>
        <w:p w:rsidR="005E35E3" w:rsidRDefault="00055A62">
          <w:pPr>
            <w:pStyle w:val="F1E2E193A6A249F49309F4C20AB37267"/>
          </w:pPr>
          <w:r w:rsidRPr="005C44BE">
            <w:rPr>
              <w:rStyle w:val="PlaceholderText"/>
            </w:rPr>
            <w:t>Click or tap here to enter text.</w:t>
          </w:r>
        </w:p>
      </w:docPartBody>
    </w:docPart>
    <w:docPart>
      <w:docPartPr>
        <w:name w:val="D641D40187D74E9F901DD096576DDA11"/>
        <w:category>
          <w:name w:val="General"/>
          <w:gallery w:val="placeholder"/>
        </w:category>
        <w:types>
          <w:type w:val="bbPlcHdr"/>
        </w:types>
        <w:behaviors>
          <w:behavior w:val="content"/>
        </w:behaviors>
        <w:guid w:val="{D88C90E9-7A78-4562-8895-6A95CB735054}"/>
      </w:docPartPr>
      <w:docPartBody>
        <w:p w:rsidR="005E35E3" w:rsidRDefault="00055A62">
          <w:pPr>
            <w:pStyle w:val="D641D40187D74E9F901DD096576DDA11"/>
          </w:pPr>
          <w:r w:rsidRPr="005C44BE">
            <w:rPr>
              <w:rStyle w:val="PlaceholderText"/>
            </w:rPr>
            <w:t>Click or tap here to enter text.</w:t>
          </w:r>
        </w:p>
      </w:docPartBody>
    </w:docPart>
    <w:docPart>
      <w:docPartPr>
        <w:name w:val="FCCE71D2116F414EB376331EA0C20571"/>
        <w:category>
          <w:name w:val="General"/>
          <w:gallery w:val="placeholder"/>
        </w:category>
        <w:types>
          <w:type w:val="bbPlcHdr"/>
        </w:types>
        <w:behaviors>
          <w:behavior w:val="content"/>
        </w:behaviors>
        <w:guid w:val="{FC8DD035-341D-4052-A203-5E887A1E8AC8}"/>
      </w:docPartPr>
      <w:docPartBody>
        <w:p w:rsidR="005E35E3" w:rsidRDefault="00055A62">
          <w:pPr>
            <w:pStyle w:val="FCCE71D2116F414EB376331EA0C2057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E3"/>
    <w:rsid w:val="00055A62"/>
    <w:rsid w:val="005E35E3"/>
    <w:rsid w:val="00B52A3A"/>
    <w:rsid w:val="00CD74EF"/>
    <w:rsid w:val="00FA2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F6C4BCC5A943028A4D9EBAA8C9F1C8">
    <w:name w:val="7EF6C4BCC5A943028A4D9EBAA8C9F1C8"/>
  </w:style>
  <w:style w:type="paragraph" w:customStyle="1" w:styleId="6C91E0D077084E4C849B04AE34DEF535">
    <w:name w:val="6C91E0D077084E4C849B04AE34DEF535"/>
  </w:style>
  <w:style w:type="paragraph" w:customStyle="1" w:styleId="F1E2E193A6A249F49309F4C20AB37267">
    <w:name w:val="F1E2E193A6A249F49309F4C20AB37267"/>
  </w:style>
  <w:style w:type="paragraph" w:customStyle="1" w:styleId="D641D40187D74E9F901DD096576DDA11">
    <w:name w:val="D641D40187D74E9F901DD096576DDA11"/>
  </w:style>
  <w:style w:type="paragraph" w:customStyle="1" w:styleId="FCCE71D2116F414EB376331EA0C20571">
    <w:name w:val="FCCE71D2116F414EB376331EA0C20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Mentha v Australian Securities and Investments Commission (Costs) [2024] FCA 375</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14</Pages>
  <Words>4519</Words>
  <Characters>23447</Characters>
  <Application>Microsoft Office Word</Application>
  <DocSecurity>0</DocSecurity>
  <Lines>478</Lines>
  <Paragraphs>185</Paragraphs>
  <ScaleCrop>false</ScaleCrop>
  <HeadingPairs>
    <vt:vector size="2" baseType="variant">
      <vt:variant>
        <vt:lpstr>Title</vt:lpstr>
      </vt:variant>
      <vt:variant>
        <vt:i4>1</vt:i4>
      </vt:variant>
    </vt:vector>
  </HeadingPairs>
  <TitlesOfParts>
    <vt:vector size="1" baseType="lpstr">
      <vt:lpstr>Mentha v Australian Securities and Investments Commission (Costs) [2024] FCA 375</vt:lpstr>
    </vt:vector>
  </TitlesOfParts>
  <Company>Federal Court of Australia</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Mentha v Australian Securities and Investments Commission (Costs) [2024] FCA 375</dc:title>
  <dc:creator>Sandra Casey</dc:creator>
  <dc:description>v1.3</dc:description>
  <cp:lastModifiedBy>Sandra Casey</cp:lastModifiedBy>
  <cp:revision>3</cp:revision>
  <cp:lastPrinted>2024-04-16T02:05:00Z</cp:lastPrinted>
  <dcterms:created xsi:type="dcterms:W3CDTF">2024-04-16T22:34:00Z</dcterms:created>
  <dcterms:modified xsi:type="dcterms:W3CDTF">2024-04-16T22:35:00Z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