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3076" w14:textId="77777777" w:rsidR="00395B24" w:rsidRDefault="00F94B07" w:rsidP="00A22932">
      <w:pPr>
        <w:pStyle w:val="CourtTitle"/>
      </w:pPr>
      <w:r>
        <w:fldChar w:fldCharType="begin"/>
      </w:r>
      <w:r>
        <w:instrText xml:space="preserve"> DOCPROPERTY  Court  \* MERGEFORMAT </w:instrText>
      </w:r>
      <w:r>
        <w:fldChar w:fldCharType="separate"/>
      </w:r>
      <w:r w:rsidR="00B63AFC">
        <w:t>Federal Court of Australia</w:t>
      </w:r>
      <w:r>
        <w:fldChar w:fldCharType="end"/>
      </w:r>
    </w:p>
    <w:p w14:paraId="5C15EB5E" w14:textId="77777777" w:rsidR="004D7950" w:rsidRDefault="004D7950">
      <w:pPr>
        <w:pStyle w:val="NormalHeadings"/>
        <w:jc w:val="center"/>
        <w:rPr>
          <w:sz w:val="32"/>
        </w:rPr>
      </w:pPr>
    </w:p>
    <w:bookmarkStart w:id="0" w:name="MNC"/>
    <w:p w14:paraId="4FF36072" w14:textId="440BE5D0" w:rsidR="00374CC4" w:rsidRDefault="000C0D9C" w:rsidP="001A2B40">
      <w:pPr>
        <w:pStyle w:val="MNC"/>
      </w:pPr>
      <w:sdt>
        <w:sdtPr>
          <w:alias w:val="MNC"/>
          <w:tag w:val="MNC"/>
          <w:id w:val="343289786"/>
          <w:lock w:val="sdtLocked"/>
          <w:placeholder>
            <w:docPart w:val="17E048945C78424BA52E51CA6689B73A"/>
          </w:placeholder>
          <w:dataBinding w:prefixMappings="xmlns:ns0='http://schemas.globalmacros.com/FCA'" w:xpath="/ns0:root[1]/ns0:Name[1]" w:storeItemID="{687E7CCB-4AA5-44E7-B148-17BA2B6F57C0}"/>
          <w:text w:multiLine="1"/>
        </w:sdtPr>
        <w:sdtEndPr/>
        <w:sdtContent>
          <w:proofErr w:type="spellStart"/>
          <w:r w:rsidR="00D742D0">
            <w:t>Bioaction</w:t>
          </w:r>
          <w:proofErr w:type="spellEnd"/>
          <w:r w:rsidR="00D742D0">
            <w:t xml:space="preserve"> Pty Ltd v </w:t>
          </w:r>
          <w:proofErr w:type="spellStart"/>
          <w:r w:rsidR="00D742D0">
            <w:t>Ogborne</w:t>
          </w:r>
          <w:proofErr w:type="spellEnd"/>
          <w:r w:rsidR="00756DA8">
            <w:t xml:space="preserve">, in the matter of </w:t>
          </w:r>
          <w:proofErr w:type="spellStart"/>
          <w:r w:rsidR="00756DA8">
            <w:t>Bioaction</w:t>
          </w:r>
          <w:proofErr w:type="spellEnd"/>
          <w:r w:rsidR="00756DA8">
            <w:t xml:space="preserve"> Pty Ltd</w:t>
          </w:r>
          <w:r w:rsidR="00D742D0">
            <w:t xml:space="preserve"> [2022] FCA </w:t>
          </w:r>
          <w:r w:rsidR="00756DA8">
            <w:t>436</w:t>
          </w:r>
          <w:r w:rsidR="00D742D0">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729F6DC9" w14:textId="77777777" w:rsidTr="00756DA8">
        <w:tc>
          <w:tcPr>
            <w:tcW w:w="3084" w:type="dxa"/>
            <w:shd w:val="clear" w:color="auto" w:fill="auto"/>
          </w:tcPr>
          <w:p w14:paraId="46C7D373" w14:textId="336CFEB3" w:rsidR="00395B24" w:rsidRDefault="002C7385" w:rsidP="00663878">
            <w:pPr>
              <w:pStyle w:val="Normal1linespace"/>
              <w:widowControl w:val="0"/>
              <w:jc w:val="left"/>
            </w:pPr>
            <w:r>
              <w:t>File number:</w:t>
            </w:r>
          </w:p>
        </w:tc>
        <w:tc>
          <w:tcPr>
            <w:tcW w:w="5989" w:type="dxa"/>
            <w:shd w:val="clear" w:color="auto" w:fill="auto"/>
          </w:tcPr>
          <w:p w14:paraId="7B07BB0A" w14:textId="77777777" w:rsidR="00395B24" w:rsidRPr="00B63AFC" w:rsidRDefault="007E6103" w:rsidP="00B63AFC">
            <w:pPr>
              <w:pStyle w:val="Normal1linespace"/>
              <w:jc w:val="left"/>
            </w:pPr>
            <w:fldSimple w:instr=" REF  FileNo  \* MERGEFORMAT " w:fldLock="1">
              <w:r w:rsidR="00B63AFC" w:rsidRPr="00B63AFC">
                <w:t>NSD 61 of 2022</w:t>
              </w:r>
            </w:fldSimple>
          </w:p>
        </w:tc>
      </w:tr>
      <w:tr w:rsidR="00395B24" w14:paraId="44607CB4" w14:textId="77777777" w:rsidTr="00756DA8">
        <w:tc>
          <w:tcPr>
            <w:tcW w:w="3084" w:type="dxa"/>
            <w:shd w:val="clear" w:color="auto" w:fill="auto"/>
          </w:tcPr>
          <w:p w14:paraId="69439B4C" w14:textId="77777777" w:rsidR="00395B24" w:rsidRDefault="00395B24" w:rsidP="00663878">
            <w:pPr>
              <w:pStyle w:val="Normal1linespace"/>
              <w:widowControl w:val="0"/>
              <w:jc w:val="left"/>
            </w:pPr>
          </w:p>
        </w:tc>
        <w:tc>
          <w:tcPr>
            <w:tcW w:w="5989" w:type="dxa"/>
            <w:shd w:val="clear" w:color="auto" w:fill="auto"/>
          </w:tcPr>
          <w:p w14:paraId="61A9A65F" w14:textId="77777777" w:rsidR="00395B24" w:rsidRDefault="00395B24" w:rsidP="00663878">
            <w:pPr>
              <w:pStyle w:val="Normal1linespace"/>
              <w:widowControl w:val="0"/>
              <w:jc w:val="left"/>
            </w:pPr>
          </w:p>
        </w:tc>
      </w:tr>
      <w:tr w:rsidR="00395B24" w14:paraId="18855343" w14:textId="77777777" w:rsidTr="00756DA8">
        <w:tc>
          <w:tcPr>
            <w:tcW w:w="3084" w:type="dxa"/>
            <w:shd w:val="clear" w:color="auto" w:fill="auto"/>
          </w:tcPr>
          <w:p w14:paraId="449CD85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0243801" w14:textId="77777777" w:rsidR="00395B24" w:rsidRDefault="002C7385" w:rsidP="00663878">
            <w:pPr>
              <w:pStyle w:val="Normal1linespace"/>
              <w:widowControl w:val="0"/>
              <w:jc w:val="left"/>
              <w:rPr>
                <w:b/>
              </w:rPr>
            </w:pPr>
            <w:r w:rsidRPr="00B63AFC">
              <w:rPr>
                <w:b/>
              </w:rPr>
              <w:fldChar w:fldCharType="begin" w:fldLock="1"/>
            </w:r>
            <w:r w:rsidRPr="00B63AFC">
              <w:rPr>
                <w:b/>
              </w:rPr>
              <w:instrText xml:space="preserve"> REF  Judge  \* MERGEFORMAT </w:instrText>
            </w:r>
            <w:r w:rsidRPr="00B63AFC">
              <w:rPr>
                <w:b/>
              </w:rPr>
              <w:fldChar w:fldCharType="separate"/>
            </w:r>
            <w:r w:rsidR="00B63AFC" w:rsidRPr="00B63AFC">
              <w:rPr>
                <w:b/>
                <w:caps/>
                <w:szCs w:val="24"/>
              </w:rPr>
              <w:t>CHEESEMAN J</w:t>
            </w:r>
            <w:r w:rsidRPr="00B63AFC">
              <w:rPr>
                <w:b/>
              </w:rPr>
              <w:fldChar w:fldCharType="end"/>
            </w:r>
          </w:p>
        </w:tc>
      </w:tr>
      <w:tr w:rsidR="00395B24" w14:paraId="46DFE73C" w14:textId="77777777" w:rsidTr="00756DA8">
        <w:tc>
          <w:tcPr>
            <w:tcW w:w="3084" w:type="dxa"/>
            <w:shd w:val="clear" w:color="auto" w:fill="auto"/>
          </w:tcPr>
          <w:p w14:paraId="4DD7DD19" w14:textId="77777777" w:rsidR="00395B24" w:rsidRDefault="00395B24" w:rsidP="00663878">
            <w:pPr>
              <w:pStyle w:val="Normal1linespace"/>
              <w:widowControl w:val="0"/>
              <w:jc w:val="left"/>
            </w:pPr>
          </w:p>
        </w:tc>
        <w:tc>
          <w:tcPr>
            <w:tcW w:w="5989" w:type="dxa"/>
            <w:shd w:val="clear" w:color="auto" w:fill="auto"/>
          </w:tcPr>
          <w:p w14:paraId="6D49E4EA" w14:textId="77777777" w:rsidR="00395B24" w:rsidRDefault="00395B24" w:rsidP="00663878">
            <w:pPr>
              <w:pStyle w:val="Normal1linespace"/>
              <w:widowControl w:val="0"/>
              <w:jc w:val="left"/>
            </w:pPr>
          </w:p>
        </w:tc>
      </w:tr>
      <w:tr w:rsidR="00395B24" w14:paraId="4CBA2EE9" w14:textId="77777777" w:rsidTr="00756DA8">
        <w:tc>
          <w:tcPr>
            <w:tcW w:w="3084" w:type="dxa"/>
            <w:shd w:val="clear" w:color="auto" w:fill="auto"/>
          </w:tcPr>
          <w:p w14:paraId="16B6B6F3" w14:textId="77777777" w:rsidR="00395B24" w:rsidRDefault="002C7385" w:rsidP="00663878">
            <w:pPr>
              <w:pStyle w:val="Normal1linespace"/>
              <w:widowControl w:val="0"/>
              <w:jc w:val="left"/>
            </w:pPr>
            <w:r>
              <w:t>Date of judgment:</w:t>
            </w:r>
          </w:p>
        </w:tc>
        <w:tc>
          <w:tcPr>
            <w:tcW w:w="5989" w:type="dxa"/>
            <w:shd w:val="clear" w:color="auto" w:fill="auto"/>
          </w:tcPr>
          <w:p w14:paraId="7A954D0F" w14:textId="39B1D1A7" w:rsidR="00395B24" w:rsidRDefault="00493552" w:rsidP="00663878">
            <w:pPr>
              <w:pStyle w:val="Normal1linespace"/>
              <w:widowControl w:val="0"/>
              <w:jc w:val="left"/>
            </w:pPr>
            <w:r>
              <w:t>26 April 2022</w:t>
            </w:r>
          </w:p>
        </w:tc>
      </w:tr>
      <w:tr w:rsidR="00395B24" w14:paraId="193D7E65" w14:textId="77777777" w:rsidTr="00756DA8">
        <w:tc>
          <w:tcPr>
            <w:tcW w:w="3084" w:type="dxa"/>
            <w:shd w:val="clear" w:color="auto" w:fill="auto"/>
          </w:tcPr>
          <w:p w14:paraId="1DA6813B" w14:textId="77777777" w:rsidR="00395B24" w:rsidRDefault="00395B24" w:rsidP="00663878">
            <w:pPr>
              <w:pStyle w:val="Normal1linespace"/>
              <w:widowControl w:val="0"/>
              <w:jc w:val="left"/>
            </w:pPr>
          </w:p>
        </w:tc>
        <w:tc>
          <w:tcPr>
            <w:tcW w:w="5989" w:type="dxa"/>
            <w:shd w:val="clear" w:color="auto" w:fill="auto"/>
          </w:tcPr>
          <w:p w14:paraId="17B86D15" w14:textId="77777777" w:rsidR="00395B24" w:rsidRDefault="00395B24" w:rsidP="00663878">
            <w:pPr>
              <w:pStyle w:val="Normal1linespace"/>
              <w:widowControl w:val="0"/>
              <w:jc w:val="left"/>
            </w:pPr>
          </w:p>
        </w:tc>
      </w:tr>
      <w:tr w:rsidR="00045019" w14:paraId="42A9EF62" w14:textId="77777777" w:rsidTr="00756DA8">
        <w:tc>
          <w:tcPr>
            <w:tcW w:w="3084" w:type="dxa"/>
            <w:shd w:val="clear" w:color="auto" w:fill="auto"/>
          </w:tcPr>
          <w:p w14:paraId="6726B245" w14:textId="77777777" w:rsidR="00045019" w:rsidRDefault="00045019" w:rsidP="00045019">
            <w:pPr>
              <w:pStyle w:val="Normal1linespace"/>
              <w:widowControl w:val="0"/>
              <w:jc w:val="left"/>
            </w:pPr>
            <w:r>
              <w:t>Catchwords:</w:t>
            </w:r>
          </w:p>
        </w:tc>
        <w:tc>
          <w:tcPr>
            <w:tcW w:w="5989" w:type="dxa"/>
            <w:shd w:val="clear" w:color="auto" w:fill="auto"/>
          </w:tcPr>
          <w:p w14:paraId="5291E924" w14:textId="59F66030" w:rsidR="00045019" w:rsidRDefault="00045019" w:rsidP="00430553">
            <w:pPr>
              <w:pStyle w:val="Normal1linespace"/>
              <w:widowControl w:val="0"/>
              <w:jc w:val="left"/>
            </w:pPr>
            <w:bookmarkStart w:id="1" w:name="Catchwords"/>
            <w:r>
              <w:rPr>
                <w:b/>
              </w:rPr>
              <w:t xml:space="preserve">CORPORATIONS </w:t>
            </w:r>
            <w:r>
              <w:t xml:space="preserve">– </w:t>
            </w:r>
            <w:r w:rsidRPr="008E1899">
              <w:t>determination</w:t>
            </w:r>
            <w:r>
              <w:t xml:space="preserve"> of a separate question pursuant to rule 30.01 of the </w:t>
            </w:r>
            <w:r>
              <w:rPr>
                <w:i/>
              </w:rPr>
              <w:t xml:space="preserve">Federal Court Rules 2011 </w:t>
            </w:r>
            <w:r>
              <w:t>(</w:t>
            </w:r>
            <w:proofErr w:type="spellStart"/>
            <w:r>
              <w:t>Cth</w:t>
            </w:r>
            <w:proofErr w:type="spellEnd"/>
            <w:r>
              <w:t xml:space="preserve">) – where substantive proceedings are an application to set aside a statutory demand pursuant to s 459G of the </w:t>
            </w:r>
            <w:r>
              <w:rPr>
                <w:i/>
              </w:rPr>
              <w:t xml:space="preserve">Corporations Act 2001 </w:t>
            </w:r>
            <w:r>
              <w:t>(</w:t>
            </w:r>
            <w:proofErr w:type="spellStart"/>
            <w:r>
              <w:t>Cth</w:t>
            </w:r>
            <w:proofErr w:type="spellEnd"/>
            <w:r>
              <w:t>) – whether the application to set aside a statutory demand was served within the 21 day period specified in s 459G – where application and supporting documents (</w:t>
            </w:r>
            <w:r w:rsidRPr="00BA20BB">
              <w:rPr>
                <w:b/>
              </w:rPr>
              <w:t>originating documents</w:t>
            </w:r>
            <w:r>
              <w:t>) were sent by email to the defendant’s legal representative – where email contained originating documents as attachments in portable document format (</w:t>
            </w:r>
            <w:r w:rsidRPr="00BA20BB">
              <w:rPr>
                <w:b/>
              </w:rPr>
              <w:t>PDF</w:t>
            </w:r>
            <w:r>
              <w:t>) – where email attaching the originating documents was sent on the last day of the statutory period provided by s 459G – where plaintiff relies on expert evidence as to the timing of receipt of the originating documents by the defendant’s legal representative – whether s</w:t>
            </w:r>
            <w:r w:rsidR="00430553">
              <w:t xml:space="preserve"> </w:t>
            </w:r>
            <w:r>
              <w:t xml:space="preserve">600G and the deeming provisions in </w:t>
            </w:r>
            <w:proofErr w:type="spellStart"/>
            <w:r>
              <w:t>ss</w:t>
            </w:r>
            <w:proofErr w:type="spellEnd"/>
            <w:r>
              <w:t xml:space="preserve"> 105A and 105B of the </w:t>
            </w:r>
            <w:r>
              <w:rPr>
                <w:i/>
              </w:rPr>
              <w:t xml:space="preserve">Corporations Act 2001 </w:t>
            </w:r>
            <w:r>
              <w:t>(</w:t>
            </w:r>
            <w:proofErr w:type="spellStart"/>
            <w:r>
              <w:t>Cth</w:t>
            </w:r>
            <w:proofErr w:type="spellEnd"/>
            <w:r>
              <w:t xml:space="preserve">) </w:t>
            </w:r>
            <w:r w:rsidR="00F13643">
              <w:t xml:space="preserve">apply </w:t>
            </w:r>
            <w:r>
              <w:t xml:space="preserve">- whether rebuttable presumption in s 161 of the </w:t>
            </w:r>
            <w:r w:rsidRPr="00BA20BB">
              <w:rPr>
                <w:i/>
              </w:rPr>
              <w:t>Evidence Act</w:t>
            </w:r>
            <w:r>
              <w:rPr>
                <w:i/>
              </w:rPr>
              <w:t xml:space="preserve"> 1995 </w:t>
            </w:r>
            <w:r>
              <w:t>(</w:t>
            </w:r>
            <w:proofErr w:type="spellStart"/>
            <w:r>
              <w:t>Cth</w:t>
            </w:r>
            <w:proofErr w:type="spellEnd"/>
            <w:r>
              <w:t xml:space="preserve">) </w:t>
            </w:r>
            <w:r w:rsidR="00F13643">
              <w:t xml:space="preserve">is </w:t>
            </w:r>
            <w:r>
              <w:t>displaced – whether the PDF versions of the originating documents were in complete and legible form – Held: Separate question</w:t>
            </w:r>
            <w:r w:rsidR="00430553">
              <w:t>, being</w:t>
            </w:r>
            <w:r>
              <w:t xml:space="preserve"> “</w:t>
            </w:r>
            <w:r w:rsidR="00430553">
              <w:t>w</w:t>
            </w:r>
            <w:r>
              <w:t xml:space="preserve">as the application for an order setting aside the statutory demand and the affidavit supporting the application filed and served within the 21 day statutory period specified in s.459G of the Corporations Act 2001?”  answered “yes”   </w:t>
            </w:r>
            <w:bookmarkEnd w:id="1"/>
          </w:p>
        </w:tc>
      </w:tr>
      <w:tr w:rsidR="00045019" w14:paraId="34DB3637" w14:textId="77777777" w:rsidTr="00756DA8">
        <w:tc>
          <w:tcPr>
            <w:tcW w:w="3084" w:type="dxa"/>
            <w:shd w:val="clear" w:color="auto" w:fill="auto"/>
          </w:tcPr>
          <w:p w14:paraId="0C514C42" w14:textId="77777777" w:rsidR="00045019" w:rsidRDefault="00045019" w:rsidP="00045019">
            <w:pPr>
              <w:pStyle w:val="Normal1linespace"/>
              <w:widowControl w:val="0"/>
              <w:jc w:val="left"/>
            </w:pPr>
          </w:p>
        </w:tc>
        <w:tc>
          <w:tcPr>
            <w:tcW w:w="5989" w:type="dxa"/>
            <w:shd w:val="clear" w:color="auto" w:fill="auto"/>
          </w:tcPr>
          <w:p w14:paraId="25E748A9" w14:textId="77777777" w:rsidR="00045019" w:rsidRDefault="00045019" w:rsidP="00045019">
            <w:pPr>
              <w:pStyle w:val="Normal1linespace"/>
              <w:widowControl w:val="0"/>
              <w:jc w:val="left"/>
            </w:pPr>
          </w:p>
        </w:tc>
      </w:tr>
      <w:tr w:rsidR="00045019" w14:paraId="741711D3" w14:textId="77777777" w:rsidTr="00756DA8">
        <w:tc>
          <w:tcPr>
            <w:tcW w:w="3084" w:type="dxa"/>
            <w:shd w:val="clear" w:color="auto" w:fill="auto"/>
          </w:tcPr>
          <w:p w14:paraId="58BBA602" w14:textId="77777777" w:rsidR="00045019" w:rsidRDefault="00045019" w:rsidP="00045019">
            <w:pPr>
              <w:pStyle w:val="Normal1linespace"/>
              <w:widowControl w:val="0"/>
              <w:jc w:val="left"/>
            </w:pPr>
            <w:r>
              <w:t>Legislation:</w:t>
            </w:r>
          </w:p>
        </w:tc>
        <w:tc>
          <w:tcPr>
            <w:tcW w:w="5989" w:type="dxa"/>
            <w:shd w:val="clear" w:color="auto" w:fill="auto"/>
          </w:tcPr>
          <w:p w14:paraId="4F152391" w14:textId="34257242" w:rsidR="00045019" w:rsidRPr="007E417C" w:rsidRDefault="00045019" w:rsidP="00045019">
            <w:pPr>
              <w:pStyle w:val="CasesLegislationAppealFrom"/>
              <w:spacing w:after="60"/>
              <w:rPr>
                <w:i/>
              </w:rPr>
            </w:pPr>
            <w:bookmarkStart w:id="2" w:name="Legislation"/>
            <w:r w:rsidRPr="00BC75EF">
              <w:rPr>
                <w:i/>
              </w:rPr>
              <w:t xml:space="preserve">Acts Interpretation Act </w:t>
            </w:r>
            <w:r w:rsidRPr="007E417C">
              <w:rPr>
                <w:i/>
              </w:rPr>
              <w:t xml:space="preserve">1901 </w:t>
            </w:r>
            <w:r w:rsidRPr="007E417C">
              <w:t>(</w:t>
            </w:r>
            <w:proofErr w:type="spellStart"/>
            <w:r w:rsidRPr="007E417C">
              <w:t>Cth</w:t>
            </w:r>
            <w:proofErr w:type="spellEnd"/>
            <w:r w:rsidRPr="007E417C">
              <w:t>)</w:t>
            </w:r>
            <w:r>
              <w:t xml:space="preserve">, </w:t>
            </w:r>
            <w:proofErr w:type="spellStart"/>
            <w:r>
              <w:t>ss</w:t>
            </w:r>
            <w:proofErr w:type="spellEnd"/>
            <w:r>
              <w:t xml:space="preserve"> 2B, 28A</w:t>
            </w:r>
          </w:p>
          <w:p w14:paraId="36195BDA" w14:textId="21F76EBB" w:rsidR="00045019" w:rsidRDefault="00045019" w:rsidP="00045019">
            <w:pPr>
              <w:pStyle w:val="CasesLegislationAppealFrom"/>
              <w:spacing w:after="60"/>
            </w:pPr>
            <w:r>
              <w:rPr>
                <w:i/>
              </w:rPr>
              <w:t>Corporation</w:t>
            </w:r>
            <w:r w:rsidR="000C0D9C">
              <w:rPr>
                <w:i/>
              </w:rPr>
              <w:t>s</w:t>
            </w:r>
            <w:r>
              <w:rPr>
                <w:i/>
              </w:rPr>
              <w:t xml:space="preserve"> Act 2001 </w:t>
            </w:r>
            <w:r>
              <w:t>(</w:t>
            </w:r>
            <w:proofErr w:type="spellStart"/>
            <w:r>
              <w:t>Cth</w:t>
            </w:r>
            <w:proofErr w:type="spellEnd"/>
            <w:r>
              <w:t xml:space="preserve">), </w:t>
            </w:r>
            <w:proofErr w:type="spellStart"/>
            <w:r>
              <w:t>ss</w:t>
            </w:r>
            <w:proofErr w:type="spellEnd"/>
            <w:r>
              <w:t xml:space="preserve"> 9, 105A, 105B, </w:t>
            </w:r>
            <w:r w:rsidR="00B429B3">
              <w:t xml:space="preserve">109X, </w:t>
            </w:r>
            <w:r>
              <w:t>459E, 459G, 600G</w:t>
            </w:r>
          </w:p>
          <w:p w14:paraId="138FE62E" w14:textId="51287E41" w:rsidR="00045019" w:rsidRDefault="00045019" w:rsidP="00045019">
            <w:pPr>
              <w:pStyle w:val="CasesLegislationAppealFrom"/>
              <w:spacing w:after="60"/>
            </w:pPr>
            <w:r w:rsidRPr="001124D6">
              <w:rPr>
                <w:i/>
              </w:rPr>
              <w:t>Corporations Amendment (Corporate Insolvency Reforms) Act 2020</w:t>
            </w:r>
            <w:r>
              <w:t xml:space="preserve"> (</w:t>
            </w:r>
            <w:proofErr w:type="spellStart"/>
            <w:r>
              <w:t>Cth</w:t>
            </w:r>
            <w:proofErr w:type="spellEnd"/>
            <w:r>
              <w:t>)</w:t>
            </w:r>
          </w:p>
          <w:p w14:paraId="6101789B" w14:textId="47290929" w:rsidR="001C64E6" w:rsidRPr="001C64E6" w:rsidRDefault="001C64E6" w:rsidP="00045019">
            <w:pPr>
              <w:pStyle w:val="CasesLegislationAppealFrom"/>
              <w:spacing w:after="60"/>
            </w:pPr>
            <w:r>
              <w:rPr>
                <w:i/>
              </w:rPr>
              <w:t xml:space="preserve">Electronic Transactions Act 1999 </w:t>
            </w:r>
            <w:r>
              <w:t>(</w:t>
            </w:r>
            <w:proofErr w:type="spellStart"/>
            <w:r>
              <w:t>Cth</w:t>
            </w:r>
            <w:proofErr w:type="spellEnd"/>
            <w:r>
              <w:t>), s 14A</w:t>
            </w:r>
          </w:p>
          <w:p w14:paraId="6DE0D590" w14:textId="3E0E01C6" w:rsidR="00045019" w:rsidRDefault="00045019" w:rsidP="00045019">
            <w:pPr>
              <w:pStyle w:val="CasesLegislationAppealFrom"/>
              <w:spacing w:after="60"/>
            </w:pPr>
            <w:r>
              <w:rPr>
                <w:i/>
              </w:rPr>
              <w:t xml:space="preserve">Evidence Act 1995 </w:t>
            </w:r>
            <w:r>
              <w:t>(</w:t>
            </w:r>
            <w:proofErr w:type="spellStart"/>
            <w:r>
              <w:t>Cth</w:t>
            </w:r>
            <w:proofErr w:type="spellEnd"/>
            <w:r>
              <w:t>), s 161</w:t>
            </w:r>
          </w:p>
          <w:p w14:paraId="7FF675B6" w14:textId="56B2F1FB" w:rsidR="00756DA8" w:rsidRDefault="00756DA8" w:rsidP="00045019">
            <w:pPr>
              <w:pStyle w:val="CasesLegislationAppealFrom"/>
              <w:spacing w:after="60"/>
            </w:pPr>
            <w:r w:rsidRPr="00BC75EF">
              <w:rPr>
                <w:i/>
              </w:rPr>
              <w:t>Corporations Regulations</w:t>
            </w:r>
            <w:r w:rsidRPr="00544822">
              <w:rPr>
                <w:i/>
              </w:rPr>
              <w:t xml:space="preserve"> 2001 </w:t>
            </w:r>
            <w:r w:rsidRPr="00544822">
              <w:t>(</w:t>
            </w:r>
            <w:proofErr w:type="spellStart"/>
            <w:r w:rsidRPr="00544822">
              <w:t>Cth</w:t>
            </w:r>
            <w:proofErr w:type="spellEnd"/>
            <w:r w:rsidRPr="00544822">
              <w:t>)</w:t>
            </w:r>
            <w:r>
              <w:t xml:space="preserve">, </w:t>
            </w:r>
            <w:proofErr w:type="spellStart"/>
            <w:r>
              <w:t>regs</w:t>
            </w:r>
            <w:proofErr w:type="spellEnd"/>
            <w:r>
              <w:t xml:space="preserve"> 1.0.03, 1.0.04, 1.0.05, </w:t>
            </w:r>
            <w:proofErr w:type="spellStart"/>
            <w:r>
              <w:t>Schs</w:t>
            </w:r>
            <w:proofErr w:type="spellEnd"/>
            <w:r>
              <w:t xml:space="preserve"> 1 and 2</w:t>
            </w:r>
          </w:p>
          <w:p w14:paraId="31DC8640" w14:textId="2600DEB2" w:rsidR="00045019" w:rsidRDefault="00045019" w:rsidP="00045019">
            <w:pPr>
              <w:pStyle w:val="CasesLegislationAppealFrom"/>
              <w:spacing w:after="60"/>
            </w:pPr>
            <w:r>
              <w:rPr>
                <w:i/>
              </w:rPr>
              <w:lastRenderedPageBreak/>
              <w:t xml:space="preserve">Federal Court Rules 2011 </w:t>
            </w:r>
            <w:r>
              <w:t>(</w:t>
            </w:r>
            <w:proofErr w:type="spellStart"/>
            <w:r>
              <w:t>Cth</w:t>
            </w:r>
            <w:proofErr w:type="spellEnd"/>
            <w:r>
              <w:t xml:space="preserve">), r 30.01   </w:t>
            </w:r>
            <w:bookmarkEnd w:id="2"/>
          </w:p>
        </w:tc>
      </w:tr>
      <w:tr w:rsidR="00045019" w14:paraId="171F3B08" w14:textId="77777777" w:rsidTr="00756DA8">
        <w:tc>
          <w:tcPr>
            <w:tcW w:w="3084" w:type="dxa"/>
            <w:shd w:val="clear" w:color="auto" w:fill="auto"/>
          </w:tcPr>
          <w:p w14:paraId="3413BDEB" w14:textId="77777777" w:rsidR="00045019" w:rsidRDefault="00045019" w:rsidP="00045019">
            <w:pPr>
              <w:pStyle w:val="Normal1linespace"/>
              <w:widowControl w:val="0"/>
              <w:jc w:val="left"/>
            </w:pPr>
          </w:p>
        </w:tc>
        <w:tc>
          <w:tcPr>
            <w:tcW w:w="5989" w:type="dxa"/>
            <w:shd w:val="clear" w:color="auto" w:fill="auto"/>
          </w:tcPr>
          <w:p w14:paraId="7469BA5B" w14:textId="77777777" w:rsidR="00045019" w:rsidRDefault="00045019" w:rsidP="00045019">
            <w:pPr>
              <w:pStyle w:val="Normal1linespace"/>
              <w:widowControl w:val="0"/>
              <w:jc w:val="left"/>
            </w:pPr>
          </w:p>
        </w:tc>
      </w:tr>
      <w:tr w:rsidR="00045019" w14:paraId="3392BD86" w14:textId="77777777" w:rsidTr="00756DA8">
        <w:tc>
          <w:tcPr>
            <w:tcW w:w="3084" w:type="dxa"/>
            <w:shd w:val="clear" w:color="auto" w:fill="auto"/>
          </w:tcPr>
          <w:p w14:paraId="2428730E" w14:textId="77777777" w:rsidR="00045019" w:rsidRDefault="00045019" w:rsidP="00045019">
            <w:pPr>
              <w:pStyle w:val="Normal1linespace"/>
              <w:widowControl w:val="0"/>
              <w:jc w:val="left"/>
            </w:pPr>
            <w:r>
              <w:t>Cases cited:</w:t>
            </w:r>
          </w:p>
        </w:tc>
        <w:tc>
          <w:tcPr>
            <w:tcW w:w="5989" w:type="dxa"/>
            <w:shd w:val="clear" w:color="auto" w:fill="auto"/>
          </w:tcPr>
          <w:p w14:paraId="36178404" w14:textId="3F306C2A" w:rsidR="00F71BE0" w:rsidRDefault="00F71BE0" w:rsidP="00045019">
            <w:pPr>
              <w:spacing w:line="240" w:lineRule="auto"/>
              <w:rPr>
                <w:i/>
              </w:rPr>
            </w:pPr>
            <w:bookmarkStart w:id="3" w:name="Cases_Cited"/>
            <w:proofErr w:type="spellStart"/>
            <w:r>
              <w:rPr>
                <w:i/>
              </w:rPr>
              <w:t>Caason</w:t>
            </w:r>
            <w:proofErr w:type="spellEnd"/>
            <w:r>
              <w:rPr>
                <w:i/>
              </w:rPr>
              <w:t xml:space="preserve"> Investments Pty Ltd v International Litigation Partners No 3 Ltd (NO 1662762) </w:t>
            </w:r>
            <w:r>
              <w:t>[2021] VSC 487</w:t>
            </w:r>
          </w:p>
          <w:p w14:paraId="1EA8B4DB" w14:textId="39C3F69A" w:rsidR="00F71BE0" w:rsidRDefault="00F71BE0" w:rsidP="00045019">
            <w:pPr>
              <w:spacing w:line="240" w:lineRule="auto"/>
            </w:pPr>
            <w:r w:rsidRPr="00BA20BB">
              <w:rPr>
                <w:i/>
              </w:rPr>
              <w:t>Certain Lloyd’s Underwriters v Cross</w:t>
            </w:r>
            <w:r w:rsidRPr="00580A43">
              <w:t xml:space="preserve"> [2012] HCA 56; 248 CLR 378</w:t>
            </w:r>
          </w:p>
          <w:p w14:paraId="2DD8365B" w14:textId="47CA75C1" w:rsidR="00F71BE0" w:rsidRDefault="00F71BE0" w:rsidP="00045019">
            <w:pPr>
              <w:spacing w:line="240" w:lineRule="auto"/>
            </w:pPr>
            <w:r w:rsidRPr="00BA20BB">
              <w:rPr>
                <w:i/>
              </w:rPr>
              <w:t xml:space="preserve">Chen &amp; Anor v </w:t>
            </w:r>
            <w:proofErr w:type="spellStart"/>
            <w:r w:rsidRPr="00BA20BB">
              <w:rPr>
                <w:i/>
              </w:rPr>
              <w:t>Kornucopia</w:t>
            </w:r>
            <w:proofErr w:type="spellEnd"/>
            <w:r w:rsidRPr="00BA20BB">
              <w:rPr>
                <w:i/>
              </w:rPr>
              <w:t xml:space="preserve"> Pty Ltd and </w:t>
            </w:r>
            <w:proofErr w:type="spellStart"/>
            <w:r w:rsidRPr="00BA20BB">
              <w:rPr>
                <w:i/>
              </w:rPr>
              <w:t>Ors</w:t>
            </w:r>
            <w:proofErr w:type="spellEnd"/>
            <w:r>
              <w:t xml:space="preserve"> [2019] VSC 756; </w:t>
            </w:r>
            <w:r w:rsidRPr="004D19CF">
              <w:t>349 FLR 35</w:t>
            </w:r>
          </w:p>
          <w:p w14:paraId="02F8DD41" w14:textId="204CC57B" w:rsidR="00F71BE0" w:rsidRDefault="00F71BE0" w:rsidP="00045019">
            <w:pPr>
              <w:spacing w:line="240" w:lineRule="auto"/>
              <w:rPr>
                <w:i/>
              </w:rPr>
            </w:pPr>
            <w:r w:rsidRPr="00BA20BB">
              <w:rPr>
                <w:i/>
              </w:rPr>
              <w:t xml:space="preserve">Construction, Forestry, Maritime, Mining and Energy Union v Australian Building and Construction Commissioner </w:t>
            </w:r>
            <w:r w:rsidRPr="00580A43">
              <w:t>[2020] FCAFC 192; 282 FCR 1</w:t>
            </w:r>
          </w:p>
          <w:p w14:paraId="0B21F105" w14:textId="1DA2D10B" w:rsidR="00045019" w:rsidRPr="00EF6779" w:rsidRDefault="00045019" w:rsidP="00045019">
            <w:pPr>
              <w:spacing w:line="240" w:lineRule="auto"/>
            </w:pPr>
            <w:r w:rsidRPr="00EF6779">
              <w:rPr>
                <w:i/>
              </w:rPr>
              <w:t>David Grant &amp; Co Pty Ltd v Westpac Banking Corp</w:t>
            </w:r>
            <w:r w:rsidRPr="00EF6779">
              <w:t xml:space="preserve"> [1995] HCA 43; 184 CLR 265</w:t>
            </w:r>
          </w:p>
          <w:p w14:paraId="3027F308" w14:textId="1EE33EC0" w:rsidR="00045019" w:rsidRDefault="00045019" w:rsidP="00045019">
            <w:pPr>
              <w:spacing w:line="240" w:lineRule="auto"/>
            </w:pPr>
            <w:r w:rsidRPr="00EF6779">
              <w:rPr>
                <w:i/>
              </w:rPr>
              <w:t>Deputy Commissioner of Taxation v ABW Design and Construction Pty Ltd</w:t>
            </w:r>
            <w:r w:rsidRPr="00EF6779">
              <w:t xml:space="preserve"> [2012] FCA 346; 203 FCR 70</w:t>
            </w:r>
          </w:p>
          <w:p w14:paraId="0EEB1B41" w14:textId="22F1B183" w:rsidR="00045019" w:rsidRDefault="00045019" w:rsidP="00045019">
            <w:pPr>
              <w:spacing w:line="240" w:lineRule="auto"/>
            </w:pPr>
            <w:r>
              <w:rPr>
                <w:i/>
              </w:rPr>
              <w:t xml:space="preserve">Farah Constructions Pty Ltd v Say-Dee Pty Ltd </w:t>
            </w:r>
            <w:r>
              <w:t xml:space="preserve">[2007] HCA 22; </w:t>
            </w:r>
            <w:r w:rsidRPr="00BA20BB">
              <w:t>230 CLR 89</w:t>
            </w:r>
          </w:p>
          <w:p w14:paraId="2D33C489" w14:textId="36077C5C" w:rsidR="00F71BE0" w:rsidRDefault="00F71BE0" w:rsidP="00045019">
            <w:pPr>
              <w:spacing w:line="240" w:lineRule="auto"/>
            </w:pPr>
            <w:r w:rsidRPr="00BA20BB">
              <w:rPr>
                <w:i/>
              </w:rPr>
              <w:t>Federal Commissioner of Taxation v Consolidated Media Holdings Ltd</w:t>
            </w:r>
            <w:r w:rsidRPr="00580A43">
              <w:t xml:space="preserve"> [2012] HCA 55; 250 CLR 503</w:t>
            </w:r>
          </w:p>
          <w:p w14:paraId="4B9AB727" w14:textId="09712990" w:rsidR="00F71BE0" w:rsidRPr="00EF6779" w:rsidRDefault="00F71BE0" w:rsidP="00045019">
            <w:pPr>
              <w:spacing w:line="240" w:lineRule="auto"/>
            </w:pPr>
            <w:proofErr w:type="spellStart"/>
            <w:r>
              <w:rPr>
                <w:i/>
              </w:rPr>
              <w:t>Greenmint</w:t>
            </w:r>
            <w:proofErr w:type="spellEnd"/>
            <w:r>
              <w:rPr>
                <w:i/>
              </w:rPr>
              <w:t xml:space="preserve"> Pty Ltd v O’Keeffe </w:t>
            </w:r>
            <w:r>
              <w:t>[2015] VSC 326</w:t>
            </w:r>
          </w:p>
          <w:p w14:paraId="07A345D0" w14:textId="77777777" w:rsidR="00045019" w:rsidRPr="00EF6779" w:rsidRDefault="00045019" w:rsidP="00045019">
            <w:pPr>
              <w:spacing w:line="240" w:lineRule="auto"/>
            </w:pPr>
            <w:proofErr w:type="spellStart"/>
            <w:r w:rsidRPr="00EF6779">
              <w:rPr>
                <w:i/>
              </w:rPr>
              <w:t>Howship</w:t>
            </w:r>
            <w:proofErr w:type="spellEnd"/>
            <w:r w:rsidRPr="00EF6779">
              <w:rPr>
                <w:i/>
              </w:rPr>
              <w:t xml:space="preserve"> Holdings Pty Ltd v Leslie</w:t>
            </w:r>
            <w:r w:rsidRPr="00EF6779">
              <w:t xml:space="preserve"> [1996] NSWSC 314; 41 NSWLR 542</w:t>
            </w:r>
          </w:p>
          <w:p w14:paraId="1DB9F01E" w14:textId="77777777" w:rsidR="00045019" w:rsidRPr="00EF6779" w:rsidRDefault="00045019" w:rsidP="00045019">
            <w:pPr>
              <w:spacing w:line="240" w:lineRule="auto"/>
            </w:pPr>
            <w:r w:rsidRPr="00EF6779">
              <w:rPr>
                <w:i/>
              </w:rPr>
              <w:t>In the matter of World Square Realty Pty Ltd</w:t>
            </w:r>
            <w:r w:rsidRPr="00EF6779">
              <w:t xml:space="preserve"> [2013] NSWSC 307</w:t>
            </w:r>
          </w:p>
          <w:p w14:paraId="013D612E" w14:textId="77777777" w:rsidR="00045019" w:rsidRPr="00EF6779" w:rsidRDefault="00045019" w:rsidP="00045019">
            <w:pPr>
              <w:spacing w:line="240" w:lineRule="auto"/>
            </w:pPr>
            <w:proofErr w:type="spellStart"/>
            <w:r w:rsidRPr="00EF6779">
              <w:rPr>
                <w:i/>
              </w:rPr>
              <w:t>Intelogent</w:t>
            </w:r>
            <w:proofErr w:type="spellEnd"/>
            <w:r w:rsidRPr="00EF6779">
              <w:rPr>
                <w:i/>
              </w:rPr>
              <w:t xml:space="preserve"> Pty Ltd v </w:t>
            </w:r>
            <w:proofErr w:type="spellStart"/>
            <w:r w:rsidRPr="00EF6779">
              <w:rPr>
                <w:i/>
              </w:rPr>
              <w:t>Onthego</w:t>
            </w:r>
            <w:proofErr w:type="spellEnd"/>
            <w:r w:rsidRPr="00EF6779">
              <w:rPr>
                <w:i/>
              </w:rPr>
              <w:t xml:space="preserve"> Group Pty Ltd</w:t>
            </w:r>
            <w:r w:rsidRPr="00EF6779">
              <w:t xml:space="preserve"> [2021] FCA 257</w:t>
            </w:r>
          </w:p>
          <w:p w14:paraId="7827636B" w14:textId="77777777" w:rsidR="00F71BE0" w:rsidRDefault="00045019" w:rsidP="00045019">
            <w:pPr>
              <w:spacing w:line="240" w:lineRule="auto"/>
            </w:pPr>
            <w:proofErr w:type="spellStart"/>
            <w:r w:rsidRPr="00EF6779">
              <w:rPr>
                <w:i/>
              </w:rPr>
              <w:t>Jin</w:t>
            </w:r>
            <w:proofErr w:type="spellEnd"/>
            <w:r w:rsidRPr="00EF6779">
              <w:rPr>
                <w:i/>
              </w:rPr>
              <w:t xml:space="preserve"> </w:t>
            </w:r>
            <w:proofErr w:type="spellStart"/>
            <w:r w:rsidRPr="00EF6779">
              <w:rPr>
                <w:i/>
              </w:rPr>
              <w:t>Xie</w:t>
            </w:r>
            <w:proofErr w:type="spellEnd"/>
            <w:r w:rsidRPr="00EF6779">
              <w:rPr>
                <w:i/>
              </w:rPr>
              <w:t xml:space="preserve"> Investment &amp; Trade (Australia) Pty Ltd v ISC Property Pty Ltd</w:t>
            </w:r>
            <w:r w:rsidRPr="00EF6779">
              <w:t xml:space="preserve"> [2006] NSWSC 7; 24 ACLC 281</w:t>
            </w:r>
          </w:p>
          <w:p w14:paraId="2AC5D09E" w14:textId="1A1DFD61" w:rsidR="00045019" w:rsidRPr="00EF6779" w:rsidRDefault="00F71BE0" w:rsidP="00045019">
            <w:pPr>
              <w:spacing w:line="240" w:lineRule="auto"/>
            </w:pPr>
            <w:proofErr w:type="spellStart"/>
            <w:r>
              <w:rPr>
                <w:i/>
              </w:rPr>
              <w:t>Miletich</w:t>
            </w:r>
            <w:proofErr w:type="spellEnd"/>
            <w:r>
              <w:rPr>
                <w:i/>
              </w:rPr>
              <w:t xml:space="preserve"> v </w:t>
            </w:r>
            <w:proofErr w:type="spellStart"/>
            <w:r>
              <w:rPr>
                <w:i/>
              </w:rPr>
              <w:t>Murchie</w:t>
            </w:r>
            <w:proofErr w:type="spellEnd"/>
            <w:r>
              <w:rPr>
                <w:i/>
              </w:rPr>
              <w:t xml:space="preserve"> </w:t>
            </w:r>
            <w:r>
              <w:t xml:space="preserve">[2012] FCA 1013; 297 ALR 566 </w:t>
            </w:r>
            <w:r w:rsidR="00045019" w:rsidRPr="00EF6779">
              <w:t xml:space="preserve"> </w:t>
            </w:r>
          </w:p>
          <w:p w14:paraId="01E10C01" w14:textId="77777777" w:rsidR="00045019" w:rsidRPr="00EF6779" w:rsidRDefault="00045019" w:rsidP="00045019">
            <w:pPr>
              <w:spacing w:line="240" w:lineRule="auto"/>
            </w:pPr>
            <w:proofErr w:type="spellStart"/>
            <w:r w:rsidRPr="00EF6779">
              <w:rPr>
                <w:i/>
              </w:rPr>
              <w:t>Newsnet</w:t>
            </w:r>
            <w:proofErr w:type="spellEnd"/>
            <w:r w:rsidRPr="00EF6779">
              <w:rPr>
                <w:i/>
              </w:rPr>
              <w:t xml:space="preserve"> Pty Ltd v Patching </w:t>
            </w:r>
            <w:r w:rsidRPr="00EF6779">
              <w:t>[2011] NSWSC 690; 81 NSWLR 104</w:t>
            </w:r>
          </w:p>
          <w:p w14:paraId="31962FBC" w14:textId="639401FC" w:rsidR="00045019" w:rsidRDefault="00045019" w:rsidP="00045019">
            <w:pPr>
              <w:spacing w:line="240" w:lineRule="auto"/>
            </w:pPr>
            <w:r w:rsidRPr="00EF6779">
              <w:rPr>
                <w:i/>
              </w:rPr>
              <w:t>Players Pty Ltd v Interior Projects Pty Ltd</w:t>
            </w:r>
            <w:r w:rsidRPr="00EF6779">
              <w:t xml:space="preserve"> (1996) </w:t>
            </w:r>
            <w:r w:rsidR="00C30A60">
              <w:t xml:space="preserve">133 FLR 265; </w:t>
            </w:r>
            <w:r w:rsidRPr="00EF6779">
              <w:t>14 ACLC 918</w:t>
            </w:r>
          </w:p>
          <w:p w14:paraId="3752D60D" w14:textId="7FEA926D" w:rsidR="00F71BE0" w:rsidRPr="00EF6779" w:rsidRDefault="00F71BE0" w:rsidP="00045019">
            <w:pPr>
              <w:spacing w:line="240" w:lineRule="auto"/>
            </w:pPr>
            <w:r w:rsidRPr="00BA20BB">
              <w:rPr>
                <w:i/>
              </w:rPr>
              <w:t xml:space="preserve">Project Blue Sky </w:t>
            </w:r>
            <w:proofErr w:type="spellStart"/>
            <w:r w:rsidRPr="00BA20BB">
              <w:rPr>
                <w:i/>
              </w:rPr>
              <w:t>Inc</w:t>
            </w:r>
            <w:proofErr w:type="spellEnd"/>
            <w:r w:rsidRPr="00BA20BB">
              <w:rPr>
                <w:i/>
              </w:rPr>
              <w:t xml:space="preserve"> v Australian Broadcasting Authority</w:t>
            </w:r>
            <w:r w:rsidRPr="00580A43">
              <w:t xml:space="preserve"> [1998] HCA 28; 194 CLR 355</w:t>
            </w:r>
          </w:p>
          <w:p w14:paraId="69B20551" w14:textId="77777777" w:rsidR="00045019" w:rsidRPr="00EF6779" w:rsidRDefault="00045019" w:rsidP="00045019">
            <w:pPr>
              <w:spacing w:line="240" w:lineRule="auto"/>
            </w:pPr>
            <w:r w:rsidRPr="00EF6779">
              <w:rPr>
                <w:i/>
              </w:rPr>
              <w:t xml:space="preserve">Rochester Communications Group Pty Ltd v </w:t>
            </w:r>
            <w:proofErr w:type="spellStart"/>
            <w:r w:rsidRPr="00EF6779">
              <w:rPr>
                <w:i/>
              </w:rPr>
              <w:t>Lader</w:t>
            </w:r>
            <w:proofErr w:type="spellEnd"/>
            <w:r w:rsidRPr="00EF6779">
              <w:rPr>
                <w:i/>
              </w:rPr>
              <w:t xml:space="preserve"> Pty Ltd</w:t>
            </w:r>
            <w:r w:rsidRPr="00EF6779">
              <w:t xml:space="preserve"> (1997) 15 ACLC 570</w:t>
            </w:r>
          </w:p>
          <w:p w14:paraId="6D82EE98" w14:textId="77777777" w:rsidR="00045019" w:rsidRPr="00EF6779" w:rsidRDefault="00045019" w:rsidP="00045019">
            <w:pPr>
              <w:spacing w:line="240" w:lineRule="auto"/>
            </w:pPr>
            <w:r w:rsidRPr="00EF6779">
              <w:rPr>
                <w:i/>
              </w:rPr>
              <w:t xml:space="preserve">Seventh Cameo Nominees Ltd v </w:t>
            </w:r>
            <w:proofErr w:type="spellStart"/>
            <w:r w:rsidRPr="00EF6779">
              <w:rPr>
                <w:i/>
              </w:rPr>
              <w:t>Holdway</w:t>
            </w:r>
            <w:proofErr w:type="spellEnd"/>
            <w:r w:rsidRPr="00EF6779">
              <w:rPr>
                <w:i/>
              </w:rPr>
              <w:t xml:space="preserve"> Pty Ltd </w:t>
            </w:r>
            <w:r w:rsidRPr="00EF6779">
              <w:t xml:space="preserve">(Supreme Court of Victoria 24 April 1998, unreported, </w:t>
            </w:r>
            <w:proofErr w:type="spellStart"/>
            <w:r w:rsidRPr="00EF6779">
              <w:t>Chernov</w:t>
            </w:r>
            <w:proofErr w:type="spellEnd"/>
            <w:r w:rsidRPr="00EF6779">
              <w:t xml:space="preserve"> J)</w:t>
            </w:r>
          </w:p>
          <w:p w14:paraId="5308309C" w14:textId="19E4F5C2" w:rsidR="00045019" w:rsidRPr="00EF6779" w:rsidRDefault="00045019" w:rsidP="00045019">
            <w:pPr>
              <w:spacing w:line="240" w:lineRule="auto"/>
            </w:pPr>
            <w:r w:rsidRPr="00EF6779">
              <w:rPr>
                <w:i/>
              </w:rPr>
              <w:t>SGR Pastoral Pty Ltd v Christensen</w:t>
            </w:r>
            <w:r w:rsidRPr="00EF6779">
              <w:t xml:space="preserve"> [2019] QSC 229</w:t>
            </w:r>
            <w:r>
              <w:t>; 2 QR 334</w:t>
            </w:r>
          </w:p>
          <w:p w14:paraId="7C3DA005" w14:textId="38B9B753" w:rsidR="00045019" w:rsidRDefault="00045019" w:rsidP="00045019">
            <w:pPr>
              <w:spacing w:line="240" w:lineRule="auto"/>
            </w:pPr>
            <w:proofErr w:type="spellStart"/>
            <w:r w:rsidRPr="00EF6779">
              <w:rPr>
                <w:i/>
              </w:rPr>
              <w:t>Sheraz</w:t>
            </w:r>
            <w:proofErr w:type="spellEnd"/>
            <w:r w:rsidRPr="00EF6779">
              <w:rPr>
                <w:i/>
              </w:rPr>
              <w:t xml:space="preserve"> Pty Ltd v </w:t>
            </w:r>
            <w:proofErr w:type="spellStart"/>
            <w:r w:rsidRPr="00EF6779">
              <w:rPr>
                <w:i/>
              </w:rPr>
              <w:t>Rumsley</w:t>
            </w:r>
            <w:proofErr w:type="spellEnd"/>
            <w:r w:rsidRPr="00EF6779">
              <w:rPr>
                <w:i/>
              </w:rPr>
              <w:t xml:space="preserve"> </w:t>
            </w:r>
            <w:r w:rsidRPr="00EF6779">
              <w:t>[2019] FCA 493; 37 ACLC 19-018</w:t>
            </w:r>
          </w:p>
          <w:p w14:paraId="47BAC644" w14:textId="6354F3BF" w:rsidR="00F71BE0" w:rsidRPr="00EF6779" w:rsidRDefault="00F71BE0" w:rsidP="00045019">
            <w:pPr>
              <w:spacing w:line="240" w:lineRule="auto"/>
            </w:pPr>
            <w:r w:rsidRPr="00BA20BB">
              <w:rPr>
                <w:i/>
              </w:rPr>
              <w:t xml:space="preserve">SZTAL v Minister for Immigration and Border Protection </w:t>
            </w:r>
            <w:r w:rsidRPr="00BA20BB">
              <w:t>[2017] HCA 34; 262 CLR 362</w:t>
            </w:r>
          </w:p>
          <w:p w14:paraId="3ED2AF10" w14:textId="1278F219" w:rsidR="00045019" w:rsidRDefault="00045019" w:rsidP="00045019">
            <w:pPr>
              <w:spacing w:line="240" w:lineRule="auto"/>
            </w:pPr>
            <w:r w:rsidRPr="00EF6779">
              <w:rPr>
                <w:i/>
              </w:rPr>
              <w:t>The Site Foreman Pty Ltd v Brand</w:t>
            </w:r>
            <w:r w:rsidRPr="00EF6779">
              <w:t xml:space="preserve"> [2011] NSWSC 451; 81 NSWLR 96</w:t>
            </w:r>
            <w:r>
              <w:t xml:space="preserve">   </w:t>
            </w:r>
            <w:bookmarkEnd w:id="3"/>
          </w:p>
        </w:tc>
      </w:tr>
      <w:tr w:rsidR="00045019" w14:paraId="5E3277AE" w14:textId="77777777" w:rsidTr="00756DA8">
        <w:tc>
          <w:tcPr>
            <w:tcW w:w="3084" w:type="dxa"/>
            <w:shd w:val="clear" w:color="auto" w:fill="auto"/>
          </w:tcPr>
          <w:p w14:paraId="1F7D86D0" w14:textId="77777777" w:rsidR="00045019" w:rsidRDefault="00045019" w:rsidP="00045019">
            <w:pPr>
              <w:pStyle w:val="Normal1linespace"/>
              <w:widowControl w:val="0"/>
            </w:pPr>
          </w:p>
        </w:tc>
        <w:tc>
          <w:tcPr>
            <w:tcW w:w="5989" w:type="dxa"/>
            <w:shd w:val="clear" w:color="auto" w:fill="auto"/>
          </w:tcPr>
          <w:p w14:paraId="2DA997D4" w14:textId="77777777" w:rsidR="00045019" w:rsidRDefault="00045019" w:rsidP="00045019">
            <w:pPr>
              <w:pStyle w:val="Normal1linespace"/>
              <w:widowControl w:val="0"/>
              <w:jc w:val="left"/>
            </w:pPr>
          </w:p>
        </w:tc>
      </w:tr>
      <w:tr w:rsidR="00045019" w14:paraId="70389EFF" w14:textId="77777777" w:rsidTr="00756DA8">
        <w:tc>
          <w:tcPr>
            <w:tcW w:w="3084" w:type="dxa"/>
            <w:shd w:val="clear" w:color="auto" w:fill="auto"/>
          </w:tcPr>
          <w:p w14:paraId="51263BFB" w14:textId="77777777" w:rsidR="00045019" w:rsidRDefault="00045019" w:rsidP="00045019">
            <w:pPr>
              <w:pStyle w:val="Normal1linespace"/>
              <w:widowControl w:val="0"/>
            </w:pPr>
            <w:r>
              <w:t>Division:</w:t>
            </w:r>
          </w:p>
        </w:tc>
        <w:tc>
          <w:tcPr>
            <w:tcW w:w="5989" w:type="dxa"/>
            <w:shd w:val="clear" w:color="auto" w:fill="auto"/>
          </w:tcPr>
          <w:p w14:paraId="42D7E9FE" w14:textId="77777777" w:rsidR="00045019" w:rsidRPr="00F17599" w:rsidRDefault="007E6103" w:rsidP="00045019">
            <w:pPr>
              <w:pStyle w:val="Normal1linespace"/>
              <w:widowControl w:val="0"/>
              <w:jc w:val="left"/>
            </w:pPr>
            <w:fldSimple w:instr=" DOCPROPERTY  Division ">
              <w:r w:rsidR="00045019">
                <w:t>General Division</w:t>
              </w:r>
            </w:fldSimple>
          </w:p>
        </w:tc>
      </w:tr>
      <w:tr w:rsidR="00045019" w14:paraId="4335D9E5" w14:textId="77777777" w:rsidTr="00756DA8">
        <w:tc>
          <w:tcPr>
            <w:tcW w:w="3084" w:type="dxa"/>
            <w:shd w:val="clear" w:color="auto" w:fill="auto"/>
          </w:tcPr>
          <w:p w14:paraId="473881CA" w14:textId="77777777" w:rsidR="00045019" w:rsidRDefault="00045019" w:rsidP="00045019">
            <w:pPr>
              <w:pStyle w:val="Normal1linespace"/>
              <w:widowControl w:val="0"/>
            </w:pPr>
            <w:bookmarkStart w:id="4" w:name="Registry_rows" w:colFirst="0" w:colLast="1"/>
          </w:p>
        </w:tc>
        <w:tc>
          <w:tcPr>
            <w:tcW w:w="5989" w:type="dxa"/>
            <w:shd w:val="clear" w:color="auto" w:fill="auto"/>
          </w:tcPr>
          <w:p w14:paraId="5DD8049D" w14:textId="77777777" w:rsidR="00045019" w:rsidRDefault="00045019" w:rsidP="00045019">
            <w:pPr>
              <w:pStyle w:val="Normal1linespace"/>
              <w:widowControl w:val="0"/>
              <w:jc w:val="left"/>
            </w:pPr>
          </w:p>
        </w:tc>
      </w:tr>
      <w:tr w:rsidR="00045019" w14:paraId="06226190" w14:textId="77777777" w:rsidTr="00756DA8">
        <w:tc>
          <w:tcPr>
            <w:tcW w:w="3084" w:type="dxa"/>
            <w:shd w:val="clear" w:color="auto" w:fill="auto"/>
          </w:tcPr>
          <w:p w14:paraId="03F4FE63" w14:textId="77777777" w:rsidR="00045019" w:rsidRDefault="00045019" w:rsidP="00045019">
            <w:pPr>
              <w:pStyle w:val="Normal1linespace"/>
              <w:widowControl w:val="0"/>
            </w:pPr>
            <w:r>
              <w:t>Registry:</w:t>
            </w:r>
          </w:p>
        </w:tc>
        <w:tc>
          <w:tcPr>
            <w:tcW w:w="5989" w:type="dxa"/>
            <w:shd w:val="clear" w:color="auto" w:fill="auto"/>
          </w:tcPr>
          <w:p w14:paraId="68CFC76C" w14:textId="77777777" w:rsidR="00045019" w:rsidRPr="00F17599" w:rsidRDefault="007E6103" w:rsidP="00045019">
            <w:pPr>
              <w:pStyle w:val="Normal1linespace"/>
              <w:widowControl w:val="0"/>
              <w:jc w:val="left"/>
            </w:pPr>
            <w:fldSimple w:instr=" DOCPROPERTY  Registry ">
              <w:r w:rsidR="00045019">
                <w:t>New South Wales</w:t>
              </w:r>
            </w:fldSimple>
          </w:p>
        </w:tc>
      </w:tr>
      <w:tr w:rsidR="00045019" w14:paraId="47D91C8B" w14:textId="77777777" w:rsidTr="00756DA8">
        <w:tc>
          <w:tcPr>
            <w:tcW w:w="3084" w:type="dxa"/>
            <w:shd w:val="clear" w:color="auto" w:fill="auto"/>
          </w:tcPr>
          <w:p w14:paraId="7005974B" w14:textId="77777777" w:rsidR="00045019" w:rsidRDefault="00045019" w:rsidP="00045019">
            <w:pPr>
              <w:pStyle w:val="Normal1linespace"/>
              <w:widowControl w:val="0"/>
            </w:pPr>
            <w:bookmarkStart w:id="5" w:name="NPARow" w:colFirst="0" w:colLast="1"/>
            <w:bookmarkEnd w:id="4"/>
          </w:p>
        </w:tc>
        <w:tc>
          <w:tcPr>
            <w:tcW w:w="5989" w:type="dxa"/>
            <w:shd w:val="clear" w:color="auto" w:fill="auto"/>
          </w:tcPr>
          <w:p w14:paraId="218A0B1D" w14:textId="77777777" w:rsidR="00045019" w:rsidRPr="00F17599" w:rsidRDefault="00045019" w:rsidP="00045019">
            <w:pPr>
              <w:pStyle w:val="Normal1linespace"/>
              <w:widowControl w:val="0"/>
              <w:jc w:val="left"/>
              <w:rPr>
                <w:b/>
              </w:rPr>
            </w:pPr>
          </w:p>
        </w:tc>
      </w:tr>
      <w:tr w:rsidR="00045019" w14:paraId="093F1A2F" w14:textId="77777777" w:rsidTr="00756DA8">
        <w:tc>
          <w:tcPr>
            <w:tcW w:w="3084" w:type="dxa"/>
            <w:shd w:val="clear" w:color="auto" w:fill="auto"/>
          </w:tcPr>
          <w:p w14:paraId="6F28E57F" w14:textId="77777777" w:rsidR="00045019" w:rsidRDefault="00045019" w:rsidP="00045019">
            <w:pPr>
              <w:pStyle w:val="Normal1linespace"/>
              <w:widowControl w:val="0"/>
            </w:pPr>
            <w:r>
              <w:t>National Practice Area:</w:t>
            </w:r>
          </w:p>
        </w:tc>
        <w:tc>
          <w:tcPr>
            <w:tcW w:w="5989" w:type="dxa"/>
            <w:shd w:val="clear" w:color="auto" w:fill="auto"/>
          </w:tcPr>
          <w:p w14:paraId="0EF933A6" w14:textId="77777777" w:rsidR="00045019" w:rsidRPr="00F17599" w:rsidRDefault="007E6103" w:rsidP="00045019">
            <w:pPr>
              <w:pStyle w:val="Normal1linespace"/>
              <w:widowControl w:val="0"/>
              <w:jc w:val="left"/>
              <w:rPr>
                <w:b/>
              </w:rPr>
            </w:pPr>
            <w:fldSimple w:instr=" DOCPROPERTY  &quot;Practice Area&quot;  \* MERGEFORMAT ">
              <w:r w:rsidR="00045019">
                <w:t>Commercial and Corporations</w:t>
              </w:r>
            </w:fldSimple>
          </w:p>
        </w:tc>
      </w:tr>
      <w:tr w:rsidR="00045019" w14:paraId="29CA7FE3" w14:textId="77777777" w:rsidTr="00756DA8">
        <w:tc>
          <w:tcPr>
            <w:tcW w:w="3084" w:type="dxa"/>
            <w:shd w:val="clear" w:color="auto" w:fill="auto"/>
          </w:tcPr>
          <w:p w14:paraId="54DC3D5D" w14:textId="77777777" w:rsidR="00045019" w:rsidRDefault="00045019" w:rsidP="00045019">
            <w:pPr>
              <w:pStyle w:val="Normal1linespace"/>
              <w:widowControl w:val="0"/>
            </w:pPr>
            <w:bookmarkStart w:id="6" w:name="SubAreaRow" w:colFirst="0" w:colLast="1"/>
            <w:bookmarkEnd w:id="5"/>
          </w:p>
        </w:tc>
        <w:tc>
          <w:tcPr>
            <w:tcW w:w="5989" w:type="dxa"/>
            <w:shd w:val="clear" w:color="auto" w:fill="auto"/>
          </w:tcPr>
          <w:p w14:paraId="202AECC8" w14:textId="77777777" w:rsidR="00045019" w:rsidRDefault="00045019" w:rsidP="00045019">
            <w:pPr>
              <w:pStyle w:val="Normal1linespace"/>
              <w:widowControl w:val="0"/>
              <w:jc w:val="left"/>
            </w:pPr>
          </w:p>
        </w:tc>
      </w:tr>
      <w:tr w:rsidR="00045019" w14:paraId="4A01248A" w14:textId="77777777" w:rsidTr="00756DA8">
        <w:tc>
          <w:tcPr>
            <w:tcW w:w="3084" w:type="dxa"/>
            <w:shd w:val="clear" w:color="auto" w:fill="auto"/>
          </w:tcPr>
          <w:p w14:paraId="5898E907" w14:textId="77777777" w:rsidR="00045019" w:rsidRDefault="00045019" w:rsidP="00045019">
            <w:pPr>
              <w:pStyle w:val="Normal1linespace"/>
              <w:widowControl w:val="0"/>
            </w:pPr>
            <w:r>
              <w:t>Sub-area:</w:t>
            </w:r>
          </w:p>
        </w:tc>
        <w:tc>
          <w:tcPr>
            <w:tcW w:w="5989" w:type="dxa"/>
            <w:shd w:val="clear" w:color="auto" w:fill="auto"/>
          </w:tcPr>
          <w:p w14:paraId="7D3088E8" w14:textId="77777777" w:rsidR="00045019" w:rsidRPr="00837288" w:rsidRDefault="007E6103" w:rsidP="00045019">
            <w:pPr>
              <w:pStyle w:val="Normal1linespace"/>
              <w:widowControl w:val="0"/>
              <w:jc w:val="left"/>
            </w:pPr>
            <w:fldSimple w:instr=" DOCPROPERTY  &quot;Sub Area&quot;  \* MERGEFORMAT ">
              <w:r w:rsidR="00045019" w:rsidRPr="00B63AFC">
                <w:rPr>
                  <w:lang w:val="en-US"/>
                </w:rPr>
                <w:t>Corporations and Corporate</w:t>
              </w:r>
              <w:r w:rsidR="00045019">
                <w:t xml:space="preserve"> Insolvency</w:t>
              </w:r>
            </w:fldSimple>
          </w:p>
        </w:tc>
      </w:tr>
      <w:bookmarkEnd w:id="6"/>
      <w:tr w:rsidR="00045019" w14:paraId="3DD52E6B" w14:textId="77777777" w:rsidTr="00756DA8">
        <w:tc>
          <w:tcPr>
            <w:tcW w:w="3084" w:type="dxa"/>
            <w:shd w:val="clear" w:color="auto" w:fill="auto"/>
          </w:tcPr>
          <w:p w14:paraId="28E3B081" w14:textId="77777777" w:rsidR="00045019" w:rsidRDefault="00045019" w:rsidP="00045019">
            <w:pPr>
              <w:pStyle w:val="Normal1linespace"/>
              <w:widowControl w:val="0"/>
            </w:pPr>
          </w:p>
        </w:tc>
        <w:tc>
          <w:tcPr>
            <w:tcW w:w="5989" w:type="dxa"/>
            <w:shd w:val="clear" w:color="auto" w:fill="auto"/>
          </w:tcPr>
          <w:p w14:paraId="41F70DB2" w14:textId="77777777" w:rsidR="00045019" w:rsidRDefault="00045019" w:rsidP="00045019">
            <w:pPr>
              <w:pStyle w:val="Normal1linespace"/>
              <w:widowControl w:val="0"/>
              <w:jc w:val="left"/>
            </w:pPr>
          </w:p>
        </w:tc>
      </w:tr>
      <w:tr w:rsidR="00045019" w14:paraId="184FD2E4" w14:textId="77777777" w:rsidTr="00756DA8">
        <w:tc>
          <w:tcPr>
            <w:tcW w:w="3084" w:type="dxa"/>
            <w:shd w:val="clear" w:color="auto" w:fill="auto"/>
          </w:tcPr>
          <w:p w14:paraId="3662A706" w14:textId="77777777" w:rsidR="00045019" w:rsidRDefault="00045019" w:rsidP="00045019">
            <w:pPr>
              <w:pStyle w:val="Normal1linespace"/>
              <w:widowControl w:val="0"/>
            </w:pPr>
            <w:r>
              <w:t>Number of paragraphs:</w:t>
            </w:r>
          </w:p>
        </w:tc>
        <w:tc>
          <w:tcPr>
            <w:tcW w:w="5989" w:type="dxa"/>
            <w:shd w:val="clear" w:color="auto" w:fill="auto"/>
          </w:tcPr>
          <w:p w14:paraId="01AE5718" w14:textId="7A02A0F9" w:rsidR="00045019" w:rsidRDefault="00756DA8" w:rsidP="00045019">
            <w:pPr>
              <w:pStyle w:val="Normal1linespace"/>
              <w:widowControl w:val="0"/>
              <w:jc w:val="left"/>
            </w:pPr>
            <w:bookmarkStart w:id="7" w:name="PlaceCategoryParagraphs"/>
            <w:r>
              <w:t>98</w:t>
            </w:r>
            <w:bookmarkEnd w:id="7"/>
          </w:p>
        </w:tc>
      </w:tr>
      <w:tr w:rsidR="00045019" w14:paraId="283B60ED" w14:textId="77777777" w:rsidTr="00756DA8">
        <w:tc>
          <w:tcPr>
            <w:tcW w:w="3084" w:type="dxa"/>
            <w:shd w:val="clear" w:color="auto" w:fill="auto"/>
          </w:tcPr>
          <w:p w14:paraId="495A3DE3" w14:textId="77777777" w:rsidR="00045019" w:rsidRDefault="00045019" w:rsidP="00045019">
            <w:pPr>
              <w:pStyle w:val="Normal1linespace"/>
              <w:widowControl w:val="0"/>
              <w:jc w:val="left"/>
            </w:pPr>
          </w:p>
        </w:tc>
        <w:tc>
          <w:tcPr>
            <w:tcW w:w="5989" w:type="dxa"/>
            <w:shd w:val="clear" w:color="auto" w:fill="auto"/>
          </w:tcPr>
          <w:p w14:paraId="2604FBC4" w14:textId="77777777" w:rsidR="00045019" w:rsidRDefault="00045019" w:rsidP="00045019">
            <w:pPr>
              <w:pStyle w:val="Normal1linespace"/>
              <w:widowControl w:val="0"/>
              <w:jc w:val="left"/>
            </w:pPr>
          </w:p>
        </w:tc>
      </w:tr>
      <w:tr w:rsidR="00045019" w14:paraId="145E188E" w14:textId="77777777" w:rsidTr="00756DA8">
        <w:tc>
          <w:tcPr>
            <w:tcW w:w="3084" w:type="dxa"/>
            <w:shd w:val="clear" w:color="auto" w:fill="auto"/>
          </w:tcPr>
          <w:p w14:paraId="09022BF5" w14:textId="77777777" w:rsidR="00045019" w:rsidRDefault="00045019" w:rsidP="00045019">
            <w:pPr>
              <w:pStyle w:val="Normal1linespace"/>
              <w:widowControl w:val="0"/>
              <w:jc w:val="left"/>
            </w:pPr>
            <w:bookmarkStart w:id="8" w:name="CounselDate" w:colFirst="0" w:colLast="2"/>
            <w:r w:rsidRPr="006A24E3">
              <w:t>Date of hearing:</w:t>
            </w:r>
          </w:p>
        </w:tc>
        <w:tc>
          <w:tcPr>
            <w:tcW w:w="5989" w:type="dxa"/>
            <w:shd w:val="clear" w:color="auto" w:fill="auto"/>
          </w:tcPr>
          <w:p w14:paraId="335D10E6" w14:textId="77777777" w:rsidR="00045019" w:rsidRDefault="00045019" w:rsidP="00045019">
            <w:pPr>
              <w:pStyle w:val="Normal1linespace"/>
              <w:widowControl w:val="0"/>
              <w:jc w:val="left"/>
            </w:pPr>
            <w:r>
              <w:t>12 April 2022</w:t>
            </w:r>
          </w:p>
        </w:tc>
      </w:tr>
      <w:tr w:rsidR="00045019" w14:paraId="032CD2BA" w14:textId="77777777" w:rsidTr="00756DA8">
        <w:tc>
          <w:tcPr>
            <w:tcW w:w="3084" w:type="dxa"/>
            <w:shd w:val="clear" w:color="auto" w:fill="auto"/>
          </w:tcPr>
          <w:p w14:paraId="78E0C09F" w14:textId="77777777" w:rsidR="00045019" w:rsidRDefault="00045019" w:rsidP="00045019">
            <w:pPr>
              <w:pStyle w:val="Normal1linespace"/>
              <w:widowControl w:val="0"/>
              <w:jc w:val="left"/>
            </w:pPr>
          </w:p>
        </w:tc>
        <w:tc>
          <w:tcPr>
            <w:tcW w:w="5989" w:type="dxa"/>
            <w:shd w:val="clear" w:color="auto" w:fill="auto"/>
          </w:tcPr>
          <w:p w14:paraId="614A8713" w14:textId="77777777" w:rsidR="00045019" w:rsidRDefault="00045019" w:rsidP="00045019">
            <w:pPr>
              <w:pStyle w:val="Normal1linespace"/>
              <w:widowControl w:val="0"/>
              <w:jc w:val="left"/>
            </w:pPr>
          </w:p>
        </w:tc>
      </w:tr>
      <w:tr w:rsidR="00045019" w14:paraId="415B3017" w14:textId="77777777" w:rsidTr="00756DA8">
        <w:tc>
          <w:tcPr>
            <w:tcW w:w="3084" w:type="dxa"/>
            <w:shd w:val="clear" w:color="auto" w:fill="auto"/>
          </w:tcPr>
          <w:p w14:paraId="699CCF7B" w14:textId="77777777" w:rsidR="00045019" w:rsidRDefault="00045019" w:rsidP="00045019">
            <w:pPr>
              <w:pStyle w:val="Normal1linespace"/>
              <w:widowControl w:val="0"/>
              <w:jc w:val="left"/>
            </w:pPr>
            <w:r>
              <w:t xml:space="preserve">Counsel for the Plaintiff: </w:t>
            </w:r>
          </w:p>
        </w:tc>
        <w:tc>
          <w:tcPr>
            <w:tcW w:w="5989" w:type="dxa"/>
            <w:shd w:val="clear" w:color="auto" w:fill="auto"/>
          </w:tcPr>
          <w:p w14:paraId="3FD09E71" w14:textId="57C28650" w:rsidR="00045019" w:rsidRDefault="00045019" w:rsidP="00F13643">
            <w:pPr>
              <w:pStyle w:val="Normal1linespace"/>
              <w:widowControl w:val="0"/>
              <w:jc w:val="left"/>
            </w:pPr>
            <w:r>
              <w:t xml:space="preserve">Mr S Golledge SC </w:t>
            </w:r>
            <w:r w:rsidR="00F13643">
              <w:t xml:space="preserve">with </w:t>
            </w:r>
            <w:r>
              <w:t>Mr A Wilson</w:t>
            </w:r>
          </w:p>
        </w:tc>
      </w:tr>
      <w:tr w:rsidR="00045019" w14:paraId="6448494C" w14:textId="77777777" w:rsidTr="00756DA8">
        <w:tc>
          <w:tcPr>
            <w:tcW w:w="3084" w:type="dxa"/>
            <w:shd w:val="clear" w:color="auto" w:fill="auto"/>
          </w:tcPr>
          <w:p w14:paraId="6250B06E" w14:textId="77777777" w:rsidR="00045019" w:rsidRDefault="00045019" w:rsidP="00045019">
            <w:pPr>
              <w:pStyle w:val="Normal1linespace"/>
              <w:widowControl w:val="0"/>
              <w:jc w:val="left"/>
            </w:pPr>
          </w:p>
        </w:tc>
        <w:tc>
          <w:tcPr>
            <w:tcW w:w="5989" w:type="dxa"/>
            <w:shd w:val="clear" w:color="auto" w:fill="auto"/>
          </w:tcPr>
          <w:p w14:paraId="4C8D5024" w14:textId="77777777" w:rsidR="00045019" w:rsidRDefault="00045019" w:rsidP="00045019">
            <w:pPr>
              <w:pStyle w:val="Normal1linespace"/>
              <w:widowControl w:val="0"/>
              <w:jc w:val="left"/>
            </w:pPr>
          </w:p>
        </w:tc>
      </w:tr>
      <w:tr w:rsidR="00045019" w14:paraId="6193DEFB" w14:textId="77777777" w:rsidTr="00756DA8">
        <w:tc>
          <w:tcPr>
            <w:tcW w:w="3084" w:type="dxa"/>
            <w:shd w:val="clear" w:color="auto" w:fill="auto"/>
          </w:tcPr>
          <w:p w14:paraId="4430C8BE" w14:textId="77777777" w:rsidR="00045019" w:rsidRDefault="00045019" w:rsidP="00045019">
            <w:pPr>
              <w:pStyle w:val="Normal1linespace"/>
              <w:widowControl w:val="0"/>
              <w:jc w:val="left"/>
            </w:pPr>
            <w:r>
              <w:t>Solicitor for the Plaintiff:</w:t>
            </w:r>
          </w:p>
        </w:tc>
        <w:tc>
          <w:tcPr>
            <w:tcW w:w="5989" w:type="dxa"/>
            <w:shd w:val="clear" w:color="auto" w:fill="auto"/>
          </w:tcPr>
          <w:p w14:paraId="1E91FC97" w14:textId="77777777" w:rsidR="00045019" w:rsidRDefault="00045019" w:rsidP="00045019">
            <w:pPr>
              <w:pStyle w:val="Normal1linespace"/>
              <w:widowControl w:val="0"/>
              <w:jc w:val="left"/>
            </w:pPr>
            <w:r>
              <w:t>MSD Law</w:t>
            </w:r>
          </w:p>
        </w:tc>
      </w:tr>
      <w:tr w:rsidR="00045019" w14:paraId="6C04619C" w14:textId="77777777" w:rsidTr="00756DA8">
        <w:tc>
          <w:tcPr>
            <w:tcW w:w="3084" w:type="dxa"/>
            <w:shd w:val="clear" w:color="auto" w:fill="auto"/>
          </w:tcPr>
          <w:p w14:paraId="00DE30E2" w14:textId="77777777" w:rsidR="00045019" w:rsidRDefault="00045019" w:rsidP="00045019">
            <w:pPr>
              <w:pStyle w:val="Normal1linespace"/>
              <w:widowControl w:val="0"/>
              <w:jc w:val="left"/>
            </w:pPr>
          </w:p>
        </w:tc>
        <w:tc>
          <w:tcPr>
            <w:tcW w:w="5989" w:type="dxa"/>
            <w:shd w:val="clear" w:color="auto" w:fill="auto"/>
          </w:tcPr>
          <w:p w14:paraId="6705FE94" w14:textId="77777777" w:rsidR="00045019" w:rsidRDefault="00045019" w:rsidP="00045019">
            <w:pPr>
              <w:pStyle w:val="Normal1linespace"/>
              <w:widowControl w:val="0"/>
              <w:jc w:val="left"/>
            </w:pPr>
          </w:p>
        </w:tc>
      </w:tr>
      <w:tr w:rsidR="00045019" w14:paraId="625786DA" w14:textId="77777777" w:rsidTr="00756DA8">
        <w:tc>
          <w:tcPr>
            <w:tcW w:w="3084" w:type="dxa"/>
            <w:shd w:val="clear" w:color="auto" w:fill="auto"/>
          </w:tcPr>
          <w:p w14:paraId="7F218DE9" w14:textId="77777777" w:rsidR="00045019" w:rsidRDefault="00045019" w:rsidP="00045019">
            <w:pPr>
              <w:pStyle w:val="Normal1linespace"/>
              <w:widowControl w:val="0"/>
              <w:jc w:val="left"/>
            </w:pPr>
            <w:r>
              <w:t xml:space="preserve">Counsel for the Defendant: </w:t>
            </w:r>
          </w:p>
        </w:tc>
        <w:tc>
          <w:tcPr>
            <w:tcW w:w="5989" w:type="dxa"/>
            <w:shd w:val="clear" w:color="auto" w:fill="auto"/>
          </w:tcPr>
          <w:p w14:paraId="454E27BE" w14:textId="77777777" w:rsidR="00045019" w:rsidRDefault="00045019" w:rsidP="00045019">
            <w:pPr>
              <w:pStyle w:val="Normal1linespace"/>
              <w:widowControl w:val="0"/>
              <w:jc w:val="left"/>
            </w:pPr>
            <w:r>
              <w:t xml:space="preserve">Mr A </w:t>
            </w:r>
            <w:proofErr w:type="spellStart"/>
            <w:r>
              <w:t>Ogborne</w:t>
            </w:r>
            <w:proofErr w:type="spellEnd"/>
          </w:p>
        </w:tc>
      </w:tr>
      <w:tr w:rsidR="00045019" w14:paraId="4123F140" w14:textId="77777777" w:rsidTr="00756DA8">
        <w:tc>
          <w:tcPr>
            <w:tcW w:w="3084" w:type="dxa"/>
            <w:shd w:val="clear" w:color="auto" w:fill="auto"/>
          </w:tcPr>
          <w:p w14:paraId="52DD4970" w14:textId="77777777" w:rsidR="00045019" w:rsidRDefault="00045019" w:rsidP="00045019">
            <w:pPr>
              <w:pStyle w:val="Normal1linespace"/>
              <w:widowControl w:val="0"/>
              <w:jc w:val="left"/>
            </w:pPr>
          </w:p>
        </w:tc>
        <w:tc>
          <w:tcPr>
            <w:tcW w:w="5989" w:type="dxa"/>
            <w:shd w:val="clear" w:color="auto" w:fill="auto"/>
          </w:tcPr>
          <w:p w14:paraId="0E572B47" w14:textId="77777777" w:rsidR="00045019" w:rsidRDefault="00045019" w:rsidP="00045019">
            <w:pPr>
              <w:pStyle w:val="Normal1linespace"/>
              <w:widowControl w:val="0"/>
              <w:jc w:val="left"/>
            </w:pPr>
          </w:p>
        </w:tc>
      </w:tr>
      <w:tr w:rsidR="00045019" w14:paraId="0E2CF55E" w14:textId="77777777" w:rsidTr="00756DA8">
        <w:tc>
          <w:tcPr>
            <w:tcW w:w="3084" w:type="dxa"/>
            <w:shd w:val="clear" w:color="auto" w:fill="auto"/>
          </w:tcPr>
          <w:p w14:paraId="1AEAEF68" w14:textId="77777777" w:rsidR="00045019" w:rsidRDefault="00045019" w:rsidP="00045019">
            <w:pPr>
              <w:pStyle w:val="Normal1linespace"/>
              <w:widowControl w:val="0"/>
              <w:jc w:val="left"/>
            </w:pPr>
            <w:r>
              <w:t xml:space="preserve">Solicitor for the Defendant: </w:t>
            </w:r>
          </w:p>
        </w:tc>
        <w:tc>
          <w:tcPr>
            <w:tcW w:w="5989" w:type="dxa"/>
            <w:shd w:val="clear" w:color="auto" w:fill="auto"/>
          </w:tcPr>
          <w:p w14:paraId="41EF2360" w14:textId="77777777" w:rsidR="00045019" w:rsidRDefault="00045019" w:rsidP="00045019">
            <w:pPr>
              <w:pStyle w:val="Normal1linespace"/>
              <w:widowControl w:val="0"/>
              <w:jc w:val="left"/>
            </w:pPr>
            <w:r>
              <w:t xml:space="preserve">CFC Lawyers </w:t>
            </w:r>
          </w:p>
        </w:tc>
      </w:tr>
    </w:tbl>
    <w:p w14:paraId="6DCDC24E" w14:textId="77777777" w:rsidR="00B17D6E" w:rsidRDefault="00B17D6E">
      <w:pPr>
        <w:pStyle w:val="Normal1linespace"/>
      </w:pPr>
      <w:bookmarkStart w:id="9" w:name="CompletionTable"/>
      <w:bookmarkEnd w:id="8"/>
    </w:p>
    <w:bookmarkEnd w:id="9"/>
    <w:p w14:paraId="554B4A16" w14:textId="706E3D73"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4466236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08C1562" w14:textId="77777777" w:rsidTr="00E81DA6">
        <w:tc>
          <w:tcPr>
            <w:tcW w:w="6912" w:type="dxa"/>
            <w:gridSpan w:val="2"/>
          </w:tcPr>
          <w:p w14:paraId="1D691876" w14:textId="77777777" w:rsidR="00A46CCC" w:rsidRPr="001765E0" w:rsidRDefault="00A46CCC" w:rsidP="00525A49">
            <w:pPr>
              <w:pStyle w:val="NormalHeadings"/>
            </w:pPr>
          </w:p>
        </w:tc>
        <w:tc>
          <w:tcPr>
            <w:tcW w:w="2330" w:type="dxa"/>
          </w:tcPr>
          <w:p w14:paraId="63DC2BE0" w14:textId="77777777" w:rsidR="00A46CCC" w:rsidRDefault="00B63AFC" w:rsidP="00F92355">
            <w:pPr>
              <w:pStyle w:val="NormalHeadings"/>
              <w:jc w:val="right"/>
            </w:pPr>
            <w:bookmarkStart w:id="10" w:name="FileNo"/>
            <w:r>
              <w:t>NSD 61 of 2022</w:t>
            </w:r>
            <w:bookmarkEnd w:id="10"/>
          </w:p>
        </w:tc>
      </w:tr>
      <w:tr w:rsidR="00A76C13" w14:paraId="1857CEC5" w14:textId="77777777" w:rsidTr="00CE66FA">
        <w:tc>
          <w:tcPr>
            <w:tcW w:w="9242" w:type="dxa"/>
            <w:gridSpan w:val="3"/>
          </w:tcPr>
          <w:p w14:paraId="691CFE61" w14:textId="77777777" w:rsidR="00A76C13" w:rsidRPr="00A76C13" w:rsidRDefault="00B63AFC" w:rsidP="00B63AFC">
            <w:pPr>
              <w:pStyle w:val="NormalHeadings"/>
              <w:spacing w:before="240" w:after="240"/>
              <w:jc w:val="left"/>
            </w:pPr>
            <w:bookmarkStart w:id="11" w:name="InTheMatterOf"/>
            <w:r>
              <w:t>IN THE MATTER OF BIOACTION PTY LTD (ACN 136 514 817)</w:t>
            </w:r>
            <w:bookmarkEnd w:id="11"/>
          </w:p>
        </w:tc>
      </w:tr>
      <w:tr w:rsidR="00A46CCC" w14:paraId="0733A277" w14:textId="77777777" w:rsidTr="00CE66FA">
        <w:trPr>
          <w:trHeight w:val="386"/>
        </w:trPr>
        <w:tc>
          <w:tcPr>
            <w:tcW w:w="2376" w:type="dxa"/>
          </w:tcPr>
          <w:p w14:paraId="7BA414E2" w14:textId="77777777" w:rsidR="00A46CCC" w:rsidRDefault="00A46CCC" w:rsidP="00CE66FA">
            <w:pPr>
              <w:pStyle w:val="NormalHeadings"/>
              <w:jc w:val="left"/>
              <w:rPr>
                <w:caps/>
                <w:szCs w:val="24"/>
              </w:rPr>
            </w:pPr>
            <w:bookmarkStart w:id="12" w:name="Parties"/>
            <w:r>
              <w:rPr>
                <w:caps/>
                <w:szCs w:val="24"/>
              </w:rPr>
              <w:t>BETWEEN:</w:t>
            </w:r>
          </w:p>
        </w:tc>
        <w:tc>
          <w:tcPr>
            <w:tcW w:w="6866" w:type="dxa"/>
            <w:gridSpan w:val="2"/>
          </w:tcPr>
          <w:p w14:paraId="60C22094" w14:textId="5823AF57" w:rsidR="00B63AFC" w:rsidRDefault="00B63AFC" w:rsidP="00B63AFC">
            <w:pPr>
              <w:pStyle w:val="NormalHeadings"/>
              <w:jc w:val="left"/>
            </w:pPr>
            <w:bookmarkStart w:id="13" w:name="Applicant"/>
            <w:r>
              <w:t>BIOACTION PTY LTD</w:t>
            </w:r>
            <w:r w:rsidR="00756DA8">
              <w:t xml:space="preserve"> (ACN 136 514 817)</w:t>
            </w:r>
          </w:p>
          <w:p w14:paraId="1268BEFC" w14:textId="77777777" w:rsidR="00B63AFC" w:rsidRDefault="00B63AFC" w:rsidP="00B63AFC">
            <w:pPr>
              <w:pStyle w:val="PartyType"/>
            </w:pPr>
            <w:r>
              <w:t>Plaintiff</w:t>
            </w:r>
          </w:p>
          <w:bookmarkEnd w:id="13"/>
          <w:p w14:paraId="57738EA1" w14:textId="77777777" w:rsidR="00A46CCC" w:rsidRPr="006555B4" w:rsidRDefault="00A46CCC" w:rsidP="00CE66FA">
            <w:pPr>
              <w:pStyle w:val="NormalHeadings"/>
              <w:jc w:val="left"/>
            </w:pPr>
          </w:p>
        </w:tc>
      </w:tr>
      <w:tr w:rsidR="00A46CCC" w14:paraId="43D98221" w14:textId="77777777" w:rsidTr="00CE66FA">
        <w:trPr>
          <w:trHeight w:val="386"/>
        </w:trPr>
        <w:tc>
          <w:tcPr>
            <w:tcW w:w="2376" w:type="dxa"/>
          </w:tcPr>
          <w:p w14:paraId="62EC58E4" w14:textId="77777777" w:rsidR="00A46CCC" w:rsidRDefault="00A46CCC" w:rsidP="00CE66FA">
            <w:pPr>
              <w:pStyle w:val="NormalHeadings"/>
              <w:jc w:val="left"/>
              <w:rPr>
                <w:caps/>
                <w:szCs w:val="24"/>
              </w:rPr>
            </w:pPr>
            <w:r>
              <w:rPr>
                <w:caps/>
                <w:szCs w:val="24"/>
              </w:rPr>
              <w:t>AND:</w:t>
            </w:r>
          </w:p>
        </w:tc>
        <w:tc>
          <w:tcPr>
            <w:tcW w:w="6866" w:type="dxa"/>
            <w:gridSpan w:val="2"/>
          </w:tcPr>
          <w:p w14:paraId="201AFC5F" w14:textId="77777777" w:rsidR="00B63AFC" w:rsidRDefault="00B63AFC" w:rsidP="00B63AFC">
            <w:pPr>
              <w:pStyle w:val="NormalHeadings"/>
              <w:jc w:val="left"/>
            </w:pPr>
            <w:bookmarkStart w:id="14" w:name="Respondent"/>
            <w:r>
              <w:t>GORDON OGBORNE</w:t>
            </w:r>
          </w:p>
          <w:p w14:paraId="46507E4F" w14:textId="77777777" w:rsidR="00B63AFC" w:rsidRDefault="00B63AFC" w:rsidP="00B63AFC">
            <w:pPr>
              <w:pStyle w:val="PartyType"/>
            </w:pPr>
            <w:r>
              <w:t>Defendant</w:t>
            </w:r>
          </w:p>
          <w:bookmarkEnd w:id="14"/>
          <w:p w14:paraId="190A8693" w14:textId="77777777" w:rsidR="00A46CCC" w:rsidRPr="006555B4" w:rsidRDefault="00A46CCC" w:rsidP="00CE66FA">
            <w:pPr>
              <w:pStyle w:val="NormalHeadings"/>
              <w:jc w:val="left"/>
            </w:pPr>
          </w:p>
        </w:tc>
      </w:tr>
    </w:tbl>
    <w:p w14:paraId="0A6205D5"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5C60F8D0" w14:textId="77777777">
        <w:tc>
          <w:tcPr>
            <w:tcW w:w="2376" w:type="dxa"/>
          </w:tcPr>
          <w:p w14:paraId="6D8667AF"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5844A453" w14:textId="77777777" w:rsidR="00395B24" w:rsidRDefault="00B63AFC">
            <w:pPr>
              <w:pStyle w:val="NormalHeadings"/>
              <w:jc w:val="left"/>
              <w:rPr>
                <w:caps/>
                <w:szCs w:val="24"/>
              </w:rPr>
            </w:pPr>
            <w:bookmarkStart w:id="17" w:name="Judge"/>
            <w:r>
              <w:rPr>
                <w:caps/>
                <w:szCs w:val="24"/>
              </w:rPr>
              <w:t>CHEESEMAN J</w:t>
            </w:r>
            <w:bookmarkEnd w:id="17"/>
          </w:p>
        </w:tc>
      </w:tr>
      <w:tr w:rsidR="00395B24" w14:paraId="4E922A27" w14:textId="77777777">
        <w:tc>
          <w:tcPr>
            <w:tcW w:w="2376" w:type="dxa"/>
          </w:tcPr>
          <w:p w14:paraId="0F363CA6" w14:textId="77777777" w:rsidR="00395B24" w:rsidRDefault="002C7385">
            <w:pPr>
              <w:pStyle w:val="NormalHeadings"/>
              <w:spacing w:after="120"/>
              <w:jc w:val="left"/>
              <w:rPr>
                <w:caps/>
                <w:szCs w:val="24"/>
              </w:rPr>
            </w:pPr>
            <w:r>
              <w:rPr>
                <w:caps/>
                <w:szCs w:val="24"/>
              </w:rPr>
              <w:t>DATE OF ORDER:</w:t>
            </w:r>
          </w:p>
        </w:tc>
        <w:tc>
          <w:tcPr>
            <w:tcW w:w="6866" w:type="dxa"/>
          </w:tcPr>
          <w:p w14:paraId="2EC1742A" w14:textId="66E2D939" w:rsidR="00395B24" w:rsidRDefault="00493552">
            <w:pPr>
              <w:pStyle w:val="NormalHeadings"/>
              <w:jc w:val="left"/>
              <w:rPr>
                <w:caps/>
                <w:szCs w:val="24"/>
              </w:rPr>
            </w:pPr>
            <w:r>
              <w:rPr>
                <w:caps/>
                <w:szCs w:val="24"/>
              </w:rPr>
              <w:t>26 April 2022</w:t>
            </w:r>
          </w:p>
        </w:tc>
      </w:tr>
    </w:tbl>
    <w:p w14:paraId="5867EB2A" w14:textId="77777777" w:rsidR="00395B24" w:rsidRDefault="00395B24">
      <w:pPr>
        <w:pStyle w:val="NormalHeadings"/>
        <w:rPr>
          <w:b w:val="0"/>
        </w:rPr>
      </w:pPr>
    </w:p>
    <w:p w14:paraId="25B591A9" w14:textId="77777777" w:rsidR="008D1617" w:rsidRDefault="008D1617">
      <w:pPr>
        <w:pStyle w:val="NormalHeadings"/>
        <w:rPr>
          <w:b w:val="0"/>
        </w:rPr>
      </w:pPr>
    </w:p>
    <w:p w14:paraId="41A1CD59" w14:textId="77777777" w:rsidR="00395B24" w:rsidRDefault="002C7385">
      <w:pPr>
        <w:pStyle w:val="NormalHeadings"/>
      </w:pPr>
      <w:r>
        <w:t>THE COURT ORDERS THAT:</w:t>
      </w:r>
    </w:p>
    <w:p w14:paraId="774F97B6" w14:textId="77777777" w:rsidR="007F60DF" w:rsidRDefault="007F60DF" w:rsidP="00243E5E">
      <w:pPr>
        <w:pStyle w:val="NormalHeadings"/>
      </w:pPr>
    </w:p>
    <w:p w14:paraId="3894BFD6" w14:textId="77777777" w:rsidR="00045019" w:rsidRDefault="00045019" w:rsidP="00045019">
      <w:pPr>
        <w:pStyle w:val="Order1"/>
      </w:pPr>
      <w:r>
        <w:t xml:space="preserve">The separate question, the subject of Order 1 made pursuant to r 30.01 of the </w:t>
      </w:r>
      <w:r w:rsidRPr="00B1293D">
        <w:rPr>
          <w:i/>
        </w:rPr>
        <w:t>Federal Court Rules 2011</w:t>
      </w:r>
      <w:r>
        <w:t xml:space="preserve"> (</w:t>
      </w:r>
      <w:proofErr w:type="spellStart"/>
      <w:r>
        <w:t>Cth</w:t>
      </w:r>
      <w:proofErr w:type="spellEnd"/>
      <w:r>
        <w:t>) on 23 February 2022, as refined in submissions, that is:</w:t>
      </w:r>
    </w:p>
    <w:p w14:paraId="78607D21" w14:textId="3D904597" w:rsidR="00B1293D" w:rsidRDefault="00045019" w:rsidP="00045019">
      <w:pPr>
        <w:pStyle w:val="Quote2"/>
      </w:pPr>
      <w:r>
        <w:t xml:space="preserve"> </w:t>
      </w:r>
      <w:r w:rsidR="00B1293D">
        <w:t xml:space="preserve">“Was the application for an order setting aside the statutory demand and the affidavit supporting the application filed and served within the 21 day statutory period specified in s.459G of the Corporations Act 2001?” </w:t>
      </w:r>
    </w:p>
    <w:p w14:paraId="28AD4C82" w14:textId="1A6FF815" w:rsidR="00B1293D" w:rsidRDefault="00B1293D" w:rsidP="00B1293D">
      <w:pPr>
        <w:pStyle w:val="NoNum"/>
        <w:ind w:left="709"/>
      </w:pPr>
      <w:r>
        <w:t>be answered “yes”.</w:t>
      </w:r>
    </w:p>
    <w:p w14:paraId="52ED20A5" w14:textId="53DF6495" w:rsidR="00B1293D" w:rsidRDefault="00B1293D" w:rsidP="00B1293D">
      <w:pPr>
        <w:pStyle w:val="Order1"/>
      </w:pPr>
      <w:r>
        <w:t xml:space="preserve">The defendant pay the plaintiff’s costs of the hearing of the separate question. </w:t>
      </w:r>
    </w:p>
    <w:p w14:paraId="741ED50B" w14:textId="67C7D90D" w:rsidR="00605C5E" w:rsidRDefault="00605C5E" w:rsidP="00605C5E">
      <w:pPr>
        <w:pStyle w:val="Order1"/>
      </w:pPr>
      <w:r w:rsidRPr="00605C5E">
        <w:t xml:space="preserve">The originating application filed 3 February 2022 be listed for </w:t>
      </w:r>
      <w:r w:rsidR="0076494C">
        <w:t>case management</w:t>
      </w:r>
      <w:r w:rsidRPr="00605C5E">
        <w:t xml:space="preserve"> before a Registrar of this Court on Wednesday, </w:t>
      </w:r>
      <w:r w:rsidR="0076494C">
        <w:t>4 May</w:t>
      </w:r>
      <w:r w:rsidRPr="00605C5E">
        <w:t xml:space="preserve"> 2022 at 11:00 am or </w:t>
      </w:r>
      <w:r w:rsidR="00305E4A">
        <w:t xml:space="preserve">such other time as is ordered by </w:t>
      </w:r>
      <w:r w:rsidRPr="00605C5E">
        <w:t>the Registrar.</w:t>
      </w:r>
    </w:p>
    <w:p w14:paraId="78DEB27E" w14:textId="46131B9D" w:rsidR="009133A6" w:rsidRDefault="009133A6" w:rsidP="00605C5E">
      <w:pPr>
        <w:pStyle w:val="Order1"/>
      </w:pPr>
      <w:r>
        <w:t>The parties have leave to apply to the Registrar.</w:t>
      </w:r>
    </w:p>
    <w:p w14:paraId="09037BFA" w14:textId="77777777" w:rsidR="001A6C52" w:rsidRDefault="001A6C52" w:rsidP="001A6C52">
      <w:pPr>
        <w:pStyle w:val="BodyText"/>
      </w:pPr>
    </w:p>
    <w:p w14:paraId="65B7CA15" w14:textId="77777777" w:rsidR="00A431E6" w:rsidRDefault="00A431E6" w:rsidP="001A6C52">
      <w:pPr>
        <w:pStyle w:val="BodyText"/>
      </w:pPr>
    </w:p>
    <w:p w14:paraId="56D08489" w14:textId="77777777" w:rsidR="0050309C" w:rsidRDefault="00B63AFC"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18794DBE" w14:textId="77777777" w:rsidR="00E23577" w:rsidRDefault="00E23577" w:rsidP="002B0E91">
      <w:pPr>
        <w:pStyle w:val="BodyText"/>
      </w:pPr>
    </w:p>
    <w:p w14:paraId="00A840ED"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51CF81D6"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20B4E25C" w14:textId="77777777" w:rsidR="004C6B75" w:rsidRDefault="00B63AFC" w:rsidP="005E0510">
      <w:pPr>
        <w:pStyle w:val="NormalHeadings"/>
        <w:spacing w:line="360" w:lineRule="auto"/>
        <w:jc w:val="left"/>
        <w:rPr>
          <w:sz w:val="26"/>
          <w:szCs w:val="26"/>
        </w:rPr>
      </w:pPr>
      <w:r>
        <w:rPr>
          <w:sz w:val="26"/>
          <w:szCs w:val="26"/>
        </w:rPr>
        <w:t>CHEESEMAN J:</w:t>
      </w:r>
    </w:p>
    <w:p w14:paraId="565CACC7" w14:textId="18E8B51E" w:rsidR="005D579E" w:rsidRDefault="00137156" w:rsidP="004C6B75">
      <w:pPr>
        <w:pStyle w:val="Heading1"/>
      </w:pPr>
      <w:r>
        <w:t>INTRODUCTION</w:t>
      </w:r>
    </w:p>
    <w:p w14:paraId="3C5D2177" w14:textId="398A3FF3" w:rsidR="005D579E" w:rsidRDefault="005D579E" w:rsidP="000B1B06">
      <w:pPr>
        <w:pStyle w:val="ParaNumbering"/>
      </w:pPr>
      <w:r>
        <w:t xml:space="preserve">This is an application for the determination of a separate question pursuant to rule 30.01 of the </w:t>
      </w:r>
      <w:r w:rsidRPr="005D579E">
        <w:rPr>
          <w:i/>
        </w:rPr>
        <w:t xml:space="preserve">Federal Court </w:t>
      </w:r>
      <w:r w:rsidRPr="005D579E">
        <w:rPr>
          <w:b/>
          <w:i/>
        </w:rPr>
        <w:t>Rules</w:t>
      </w:r>
      <w:r w:rsidRPr="005D579E">
        <w:rPr>
          <w:i/>
        </w:rPr>
        <w:t xml:space="preserve"> 2011</w:t>
      </w:r>
      <w:r w:rsidR="00D742D0">
        <w:rPr>
          <w:i/>
        </w:rPr>
        <w:t xml:space="preserve"> </w:t>
      </w:r>
      <w:r w:rsidR="00D742D0">
        <w:t>(</w:t>
      </w:r>
      <w:proofErr w:type="spellStart"/>
      <w:r w:rsidR="00D742D0">
        <w:t>Cth</w:t>
      </w:r>
      <w:proofErr w:type="spellEnd"/>
      <w:r w:rsidR="00D742D0">
        <w:t>)</w:t>
      </w:r>
      <w:r>
        <w:t>.</w:t>
      </w:r>
      <w:r w:rsidR="00B63AFC">
        <w:t xml:space="preserve"> </w:t>
      </w:r>
      <w:r>
        <w:t>The que</w:t>
      </w:r>
      <w:r w:rsidR="00483680">
        <w:t>stion is directed to whether</w:t>
      </w:r>
      <w:r>
        <w:t xml:space="preserve"> an application to set aside a statutory demand </w:t>
      </w:r>
      <w:r w:rsidR="00483680">
        <w:t>and</w:t>
      </w:r>
      <w:r w:rsidR="00CE76E2">
        <w:t xml:space="preserve"> the</w:t>
      </w:r>
      <w:r w:rsidR="00483680">
        <w:t xml:space="preserve"> affidavit in support (together, the </w:t>
      </w:r>
      <w:r w:rsidR="00483680" w:rsidRPr="00483680">
        <w:rPr>
          <w:b/>
        </w:rPr>
        <w:t>originating documents</w:t>
      </w:r>
      <w:r w:rsidR="00483680">
        <w:t xml:space="preserve">) </w:t>
      </w:r>
      <w:r>
        <w:t xml:space="preserve">were served within the 21 day period stipulated in s 459G of the </w:t>
      </w:r>
      <w:r w:rsidRPr="000B1B06">
        <w:rPr>
          <w:b/>
          <w:i/>
        </w:rPr>
        <w:t>Corporations Act</w:t>
      </w:r>
      <w:r w:rsidRPr="000B1B06">
        <w:rPr>
          <w:i/>
        </w:rPr>
        <w:t xml:space="preserve"> 2001</w:t>
      </w:r>
      <w:r>
        <w:t xml:space="preserve"> (</w:t>
      </w:r>
      <w:proofErr w:type="spellStart"/>
      <w:r>
        <w:t>Cth</w:t>
      </w:r>
      <w:proofErr w:type="spellEnd"/>
      <w:r>
        <w:t xml:space="preserve">). </w:t>
      </w:r>
    </w:p>
    <w:p w14:paraId="6B7D65B4" w14:textId="5FB92B74" w:rsidR="00305E4A" w:rsidRDefault="000635F5" w:rsidP="002F0252">
      <w:pPr>
        <w:pStyle w:val="ParaNumbering"/>
      </w:pPr>
      <w:r>
        <w:t xml:space="preserve">The question is of significance for the parties because strict compliance with s 459G(2) and (3) of the Corporations Act is necessary to attract jurisdiction: </w:t>
      </w:r>
      <w:r w:rsidRPr="00242860">
        <w:rPr>
          <w:b/>
          <w:i/>
        </w:rPr>
        <w:t>David Grant</w:t>
      </w:r>
      <w:r w:rsidRPr="000635F5">
        <w:rPr>
          <w:i/>
        </w:rPr>
        <w:t xml:space="preserve"> &amp; Co Pty Ltd v </w:t>
      </w:r>
      <w:r w:rsidRPr="00E76270">
        <w:rPr>
          <w:i/>
        </w:rPr>
        <w:t>Westpac Banking Corp</w:t>
      </w:r>
      <w:r>
        <w:t xml:space="preserve"> [1995] HCA 43; 184 CLR 265</w:t>
      </w:r>
      <w:r w:rsidR="00F84DAA">
        <w:t xml:space="preserve">, </w:t>
      </w:r>
      <w:r w:rsidR="00E76270">
        <w:t>276 - 278</w:t>
      </w:r>
      <w:r w:rsidR="00F84DAA">
        <w:t xml:space="preserve"> (</w:t>
      </w:r>
      <w:proofErr w:type="spellStart"/>
      <w:r w:rsidR="00F84DAA">
        <w:t>Gummow</w:t>
      </w:r>
      <w:proofErr w:type="spellEnd"/>
      <w:r w:rsidR="00F84DAA">
        <w:t xml:space="preserve"> J)</w:t>
      </w:r>
      <w:r>
        <w:t xml:space="preserve">; </w:t>
      </w:r>
      <w:proofErr w:type="spellStart"/>
      <w:r w:rsidRPr="00242860">
        <w:rPr>
          <w:b/>
          <w:i/>
        </w:rPr>
        <w:t>Jin</w:t>
      </w:r>
      <w:proofErr w:type="spellEnd"/>
      <w:r w:rsidRPr="00242860">
        <w:rPr>
          <w:b/>
          <w:i/>
        </w:rPr>
        <w:t xml:space="preserve"> </w:t>
      </w:r>
      <w:proofErr w:type="spellStart"/>
      <w:r w:rsidRPr="00242860">
        <w:rPr>
          <w:b/>
          <w:i/>
        </w:rPr>
        <w:t>Xie</w:t>
      </w:r>
      <w:proofErr w:type="spellEnd"/>
      <w:r w:rsidRPr="000635F5">
        <w:rPr>
          <w:i/>
        </w:rPr>
        <w:t xml:space="preserve"> Investment &amp; Trade (Australia) Pty Ltd v ISC Property Pty Ltd</w:t>
      </w:r>
      <w:r>
        <w:t xml:space="preserve"> [2006] NSWSC 7</w:t>
      </w:r>
      <w:r w:rsidR="00F84DAA">
        <w:t xml:space="preserve">; </w:t>
      </w:r>
      <w:r w:rsidR="002F0252" w:rsidRPr="002F0252">
        <w:t>24 ACLC 281</w:t>
      </w:r>
      <w:r>
        <w:t xml:space="preserve"> at </w:t>
      </w:r>
      <w:r w:rsidR="007D43F6">
        <w:t xml:space="preserve">283 </w:t>
      </w:r>
      <w:r>
        <w:t>[5]</w:t>
      </w:r>
      <w:r w:rsidR="00F84DAA">
        <w:t xml:space="preserve"> (Barrett J</w:t>
      </w:r>
      <w:r w:rsidR="001D7E9C">
        <w:t>, as his Honour then was</w:t>
      </w:r>
      <w:r w:rsidR="00F84DAA">
        <w:t>)</w:t>
      </w:r>
      <w:r>
        <w:t xml:space="preserve">. </w:t>
      </w:r>
    </w:p>
    <w:p w14:paraId="6D142BC4" w14:textId="764FF632" w:rsidR="001E2575" w:rsidRDefault="001E2575" w:rsidP="001E2575">
      <w:pPr>
        <w:pStyle w:val="Heading1"/>
      </w:pPr>
      <w:r>
        <w:t>CONCLUSION IN SUMMARY FORM</w:t>
      </w:r>
    </w:p>
    <w:p w14:paraId="5BD99D88" w14:textId="6683DB35" w:rsidR="004A5B21" w:rsidRDefault="005D579E" w:rsidP="005D579E">
      <w:pPr>
        <w:pStyle w:val="ParaNumbering"/>
      </w:pPr>
      <w:r>
        <w:t xml:space="preserve">The question for determination </w:t>
      </w:r>
      <w:r w:rsidR="00483680">
        <w:t>was</w:t>
      </w:r>
      <w:r>
        <w:t xml:space="preserve"> refined</w:t>
      </w:r>
      <w:r w:rsidR="00483680">
        <w:t xml:space="preserve"> in the course of submissions</w:t>
      </w:r>
      <w:r>
        <w:t xml:space="preserve"> and is as follows:</w:t>
      </w:r>
    </w:p>
    <w:p w14:paraId="467D594D" w14:textId="3E748E1A" w:rsidR="005D579E" w:rsidRDefault="004A5B21" w:rsidP="000B1B06">
      <w:pPr>
        <w:pStyle w:val="Quote1"/>
      </w:pPr>
      <w:r>
        <w:t>Was the application for an order setting aside the statutory demand and the affidavit supporting the application filed and serve</w:t>
      </w:r>
      <w:r w:rsidR="00483680">
        <w:t>d</w:t>
      </w:r>
      <w:r>
        <w:t xml:space="preserve"> within the 21 day statutory period specified in s.459G of the Corporations Act 2001</w:t>
      </w:r>
      <w:r w:rsidR="006968C0">
        <w:t>?</w:t>
      </w:r>
    </w:p>
    <w:p w14:paraId="51D7B238" w14:textId="4C56AA2C" w:rsidR="009D4624" w:rsidRDefault="009D4624" w:rsidP="000B1B06">
      <w:pPr>
        <w:pStyle w:val="ParaNumbering"/>
      </w:pPr>
      <w:r>
        <w:t xml:space="preserve">For the reasons that follow, the question is answered </w:t>
      </w:r>
      <w:r w:rsidR="00483680">
        <w:t>“yes”.</w:t>
      </w:r>
    </w:p>
    <w:p w14:paraId="5ADCE09D" w14:textId="69A2579B" w:rsidR="009D4624" w:rsidRDefault="009D4624" w:rsidP="000B1B06">
      <w:pPr>
        <w:pStyle w:val="Heading1"/>
      </w:pPr>
      <w:r>
        <w:t>P</w:t>
      </w:r>
      <w:r w:rsidR="00137156">
        <w:t>ROCEDURAL</w:t>
      </w:r>
      <w:r>
        <w:t xml:space="preserve"> B</w:t>
      </w:r>
      <w:r w:rsidR="00137156">
        <w:t>ACKGROUND</w:t>
      </w:r>
    </w:p>
    <w:p w14:paraId="66A1D1CE" w14:textId="4D777446" w:rsidR="004C6B75" w:rsidRDefault="004C6B75" w:rsidP="000B1B06">
      <w:pPr>
        <w:pStyle w:val="ParaNumbering"/>
      </w:pPr>
      <w:r>
        <w:t xml:space="preserve">By originating process filed on 3 February 2022, the plaintiff, </w:t>
      </w:r>
      <w:proofErr w:type="spellStart"/>
      <w:r w:rsidRPr="005D579E">
        <w:rPr>
          <w:b/>
        </w:rPr>
        <w:t>Bioaction</w:t>
      </w:r>
      <w:proofErr w:type="spellEnd"/>
      <w:r>
        <w:t xml:space="preserve"> Pty Ltd, seeks an order s</w:t>
      </w:r>
      <w:r w:rsidR="00CD2A11">
        <w:t xml:space="preserve">etting aside the </w:t>
      </w:r>
      <w:r w:rsidRPr="005D579E">
        <w:rPr>
          <w:b/>
        </w:rPr>
        <w:t>statutory demand</w:t>
      </w:r>
      <w:r>
        <w:t xml:space="preserve"> pursuant to </w:t>
      </w:r>
      <w:r w:rsidR="00483680">
        <w:t>s </w:t>
      </w:r>
      <w:r>
        <w:t xml:space="preserve">459G of the </w:t>
      </w:r>
      <w:r w:rsidR="005D579E">
        <w:t>Corporations Act</w:t>
      </w:r>
      <w:r w:rsidR="00483680">
        <w:t xml:space="preserve"> dated 12 January 2022 served by t</w:t>
      </w:r>
      <w:r>
        <w:t xml:space="preserve">he defendant, Gordon </w:t>
      </w:r>
      <w:proofErr w:type="spellStart"/>
      <w:r>
        <w:t>Ogborne</w:t>
      </w:r>
      <w:proofErr w:type="spellEnd"/>
      <w:r w:rsidR="00483680">
        <w:t xml:space="preserve">. Mr </w:t>
      </w:r>
      <w:proofErr w:type="spellStart"/>
      <w:r w:rsidR="00483680">
        <w:t>Ogborne</w:t>
      </w:r>
      <w:proofErr w:type="spellEnd"/>
      <w:r>
        <w:t xml:space="preserve"> appears conditionally to oppose the application</w:t>
      </w:r>
      <w:r w:rsidR="00CE76E2">
        <w:t>. He</w:t>
      </w:r>
      <w:r>
        <w:t xml:space="preserve"> </w:t>
      </w:r>
      <w:r w:rsidR="00CE76E2">
        <w:t>contends</w:t>
      </w:r>
      <w:r w:rsidR="00483680">
        <w:t xml:space="preserve"> that</w:t>
      </w:r>
      <w:r>
        <w:t xml:space="preserve"> the Court does not have jurisdiction </w:t>
      </w:r>
      <w:r w:rsidR="00483680">
        <w:t>because</w:t>
      </w:r>
      <w:r w:rsidR="005D579E">
        <w:t xml:space="preserve"> </w:t>
      </w:r>
      <w:r>
        <w:t xml:space="preserve">the </w:t>
      </w:r>
      <w:r w:rsidR="00483680">
        <w:t>originating documents</w:t>
      </w:r>
      <w:r>
        <w:t xml:space="preserve"> were not served within the 21 statutory period</w:t>
      </w:r>
      <w:r w:rsidR="005D579E">
        <w:t xml:space="preserve"> </w:t>
      </w:r>
      <w:r w:rsidR="00483680">
        <w:t>provided for in</w:t>
      </w:r>
      <w:r w:rsidR="005D579E">
        <w:t xml:space="preserve"> s 459G</w:t>
      </w:r>
      <w:r>
        <w:t xml:space="preserve">. </w:t>
      </w:r>
    </w:p>
    <w:p w14:paraId="29A43967" w14:textId="6A10D66A" w:rsidR="00A24279" w:rsidRDefault="001E2575" w:rsidP="008650C1">
      <w:pPr>
        <w:pStyle w:val="ParaNumbering"/>
      </w:pPr>
      <w:r>
        <w:t xml:space="preserve">If it is determined that the application was not served within the statutory period, then the resolution of the separate question will finally determine the outcome of the proceedings. Proceeding by way of determination of a separate question facilitates the just resolution of the matters in dispute between the parties as quickly, inexpensively and efficiently as possible. </w:t>
      </w:r>
    </w:p>
    <w:p w14:paraId="68FAC5D1" w14:textId="7498CE8D" w:rsidR="004C6B75" w:rsidRDefault="00137156" w:rsidP="004C6B75">
      <w:pPr>
        <w:pStyle w:val="Heading1"/>
      </w:pPr>
      <w:r>
        <w:lastRenderedPageBreak/>
        <w:t>FACTS</w:t>
      </w:r>
    </w:p>
    <w:p w14:paraId="1803CDCE" w14:textId="6039D7FF" w:rsidR="00C83DE7" w:rsidRDefault="0046647D" w:rsidP="00CD2A11">
      <w:pPr>
        <w:pStyle w:val="ParaNumbering"/>
      </w:pPr>
      <w:proofErr w:type="spellStart"/>
      <w:r>
        <w:t>Bioaction</w:t>
      </w:r>
      <w:proofErr w:type="spellEnd"/>
      <w:r>
        <w:t xml:space="preserve"> is a company that specialises in the design, manufacturing and installation of systems to eliminate or mitigate odorous, hazardous and corrosive gases. </w:t>
      </w:r>
      <w:r w:rsidR="00C83DE7">
        <w:t xml:space="preserve">Mr </w:t>
      </w:r>
      <w:proofErr w:type="spellStart"/>
      <w:r w:rsidR="00C83DE7">
        <w:t>Ogborne</w:t>
      </w:r>
      <w:proofErr w:type="spellEnd"/>
      <w:r w:rsidR="00C83DE7">
        <w:t xml:space="preserve"> </w:t>
      </w:r>
      <w:r w:rsidR="00A24279">
        <w:t xml:space="preserve">was </w:t>
      </w:r>
      <w:proofErr w:type="spellStart"/>
      <w:r w:rsidR="00C83DE7">
        <w:t>Bioaction’s</w:t>
      </w:r>
      <w:proofErr w:type="spellEnd"/>
      <w:r w:rsidR="00C83DE7">
        <w:t xml:space="preserve"> Chief Financial Officer / Chief Operating Officer in</w:t>
      </w:r>
      <w:r w:rsidR="00A24279">
        <w:t xml:space="preserve"> the period from</w:t>
      </w:r>
      <w:r w:rsidR="00C83DE7">
        <w:t xml:space="preserve"> December 2019</w:t>
      </w:r>
      <w:r w:rsidR="00A24279">
        <w:t xml:space="preserve"> until</w:t>
      </w:r>
      <w:r w:rsidR="00C83DE7">
        <w:t xml:space="preserve"> November 2021, </w:t>
      </w:r>
      <w:r w:rsidR="00A24279">
        <w:t xml:space="preserve">when he </w:t>
      </w:r>
      <w:r w:rsidR="00C83DE7">
        <w:t xml:space="preserve">was made redundant by </w:t>
      </w:r>
      <w:proofErr w:type="spellStart"/>
      <w:r w:rsidR="00C83DE7">
        <w:t>Bioaction</w:t>
      </w:r>
      <w:proofErr w:type="spellEnd"/>
      <w:r w:rsidR="00C83DE7">
        <w:t>.</w:t>
      </w:r>
    </w:p>
    <w:p w14:paraId="26203C56" w14:textId="497D97D9" w:rsidR="00A24279" w:rsidRDefault="00A24279" w:rsidP="00CD2A11">
      <w:pPr>
        <w:pStyle w:val="ParaNumbering"/>
      </w:pPr>
      <w:r>
        <w:t xml:space="preserve">Following Mr </w:t>
      </w:r>
      <w:proofErr w:type="spellStart"/>
      <w:r>
        <w:t>Ogborne</w:t>
      </w:r>
      <w:proofErr w:type="spellEnd"/>
      <w:r>
        <w:t xml:space="preserve"> being made redundant a dispute arose between him and </w:t>
      </w:r>
      <w:proofErr w:type="spellStart"/>
      <w:r>
        <w:t>Bioaction</w:t>
      </w:r>
      <w:proofErr w:type="spellEnd"/>
      <w:r>
        <w:t xml:space="preserve"> as to his entitlements as a result of the cessation of his employment. It is not disputed that a payment was made by </w:t>
      </w:r>
      <w:proofErr w:type="spellStart"/>
      <w:r>
        <w:t>Bioaction</w:t>
      </w:r>
      <w:proofErr w:type="spellEnd"/>
      <w:r>
        <w:t xml:space="preserve"> to Mr </w:t>
      </w:r>
      <w:proofErr w:type="spellStart"/>
      <w:r>
        <w:t>Ogborne</w:t>
      </w:r>
      <w:proofErr w:type="spellEnd"/>
      <w:r>
        <w:t xml:space="preserve">, the dispute is as to whether Mr </w:t>
      </w:r>
      <w:proofErr w:type="spellStart"/>
      <w:r>
        <w:t>Ogborne</w:t>
      </w:r>
      <w:proofErr w:type="spellEnd"/>
      <w:r>
        <w:t xml:space="preserve"> is entitled to any additional sum.</w:t>
      </w:r>
    </w:p>
    <w:p w14:paraId="4A2968CF" w14:textId="06B6F3E8" w:rsidR="00F7672E" w:rsidRDefault="00C83DE7" w:rsidP="006E5685">
      <w:pPr>
        <w:pStyle w:val="ParaNumbering"/>
      </w:pPr>
      <w:bookmarkStart w:id="20" w:name="_Ref101817661"/>
      <w:r>
        <w:t xml:space="preserve">On 13 January 2022, Mr </w:t>
      </w:r>
      <w:proofErr w:type="spellStart"/>
      <w:r>
        <w:t>Ogborne</w:t>
      </w:r>
      <w:proofErr w:type="spellEnd"/>
      <w:r>
        <w:t xml:space="preserve"> served the statutory demand on </w:t>
      </w:r>
      <w:proofErr w:type="spellStart"/>
      <w:r>
        <w:t>Bioaction</w:t>
      </w:r>
      <w:proofErr w:type="spellEnd"/>
      <w:r>
        <w:t xml:space="preserve"> seeking payment of the amount of $240,688.31, </w:t>
      </w:r>
      <w:r w:rsidR="00CE76E2">
        <w:t xml:space="preserve">to </w:t>
      </w:r>
      <w:r w:rsidR="00A24279">
        <w:t xml:space="preserve">which Mr </w:t>
      </w:r>
      <w:proofErr w:type="spellStart"/>
      <w:r w:rsidR="00A24279">
        <w:t>Og</w:t>
      </w:r>
      <w:r w:rsidR="00CE76E2">
        <w:t>borne</w:t>
      </w:r>
      <w:proofErr w:type="spellEnd"/>
      <w:r w:rsidR="00CE76E2">
        <w:t xml:space="preserve"> contends he is entitled</w:t>
      </w:r>
      <w:r w:rsidR="00A24279">
        <w:t xml:space="preserve"> as</w:t>
      </w:r>
      <w:r>
        <w:t xml:space="preserve"> unpaid salary, unpaid superannuation, unpaid salary in lieu of termination, unpaid annual leave and unpaid redundancy pursuant to </w:t>
      </w:r>
      <w:r w:rsidR="00A24279">
        <w:t>the</w:t>
      </w:r>
      <w:r>
        <w:t xml:space="preserve"> employment contract entered into by Mr </w:t>
      </w:r>
      <w:proofErr w:type="spellStart"/>
      <w:r>
        <w:t>Ogborne</w:t>
      </w:r>
      <w:proofErr w:type="spellEnd"/>
      <w:r>
        <w:t xml:space="preserve"> and </w:t>
      </w:r>
      <w:proofErr w:type="spellStart"/>
      <w:r>
        <w:t>Bioaction</w:t>
      </w:r>
      <w:proofErr w:type="spellEnd"/>
      <w:r>
        <w:t xml:space="preserve"> on 25 November 2020</w:t>
      </w:r>
      <w:r w:rsidRPr="006E5685">
        <w:t>.</w:t>
      </w:r>
      <w:r w:rsidR="00F7672E" w:rsidRPr="006E5685">
        <w:t xml:space="preserve"> </w:t>
      </w:r>
      <w:r w:rsidR="006E5685">
        <w:t>T</w:t>
      </w:r>
      <w:r w:rsidR="00F7672E" w:rsidRPr="006E5685">
        <w:t>he statutory de</w:t>
      </w:r>
      <w:r w:rsidR="00F75973" w:rsidRPr="006E5685">
        <w:t>mand was in the prescribed form</w:t>
      </w:r>
      <w:r w:rsidR="006E5685">
        <w:t xml:space="preserve"> and included p</w:t>
      </w:r>
      <w:r w:rsidR="00F7672E">
        <w:t>aragraph 6 as follow</w:t>
      </w:r>
      <w:r w:rsidR="00A24279">
        <w:t>s</w:t>
      </w:r>
      <w:r w:rsidR="00F7672E">
        <w:t>:</w:t>
      </w:r>
      <w:bookmarkEnd w:id="20"/>
      <w:r w:rsidR="00F7672E">
        <w:t xml:space="preserve"> </w:t>
      </w:r>
    </w:p>
    <w:p w14:paraId="31A69E59" w14:textId="4978CB13" w:rsidR="00F7672E" w:rsidRDefault="00F7672E" w:rsidP="00F7672E">
      <w:pPr>
        <w:pStyle w:val="Quote1"/>
      </w:pPr>
      <w:r>
        <w:t>The address of the creditor for service of copies of any application and affidavit is CFC</w:t>
      </w:r>
      <w:r w:rsidR="006A4E76">
        <w:t xml:space="preserve"> L</w:t>
      </w:r>
      <w:r>
        <w:t xml:space="preserve">awyers, Level 1, Oro House, 39 Bay Street, Double Bay NSW 2028. </w:t>
      </w:r>
    </w:p>
    <w:p w14:paraId="60158B4E" w14:textId="77777777" w:rsidR="00F7672E" w:rsidRDefault="00F7672E" w:rsidP="00723AC9">
      <w:pPr>
        <w:pStyle w:val="NoNum"/>
      </w:pPr>
      <w:r>
        <w:t xml:space="preserve">The statutory demand did not give any email address for service. </w:t>
      </w:r>
    </w:p>
    <w:p w14:paraId="358E1A69" w14:textId="7F7B85C7" w:rsidR="00C83DE7" w:rsidRDefault="00A24279" w:rsidP="00C83DE7">
      <w:pPr>
        <w:pStyle w:val="ParaNumbering"/>
      </w:pPr>
      <w:r>
        <w:t>It is common ground that s</w:t>
      </w:r>
      <w:r w:rsidR="00C83DE7">
        <w:t>ervice was effected by delivery of a co</w:t>
      </w:r>
      <w:r>
        <w:t xml:space="preserve">py of </w:t>
      </w:r>
      <w:r w:rsidR="00CE76E2">
        <w:t>originating documents</w:t>
      </w:r>
      <w:r w:rsidR="00C83DE7">
        <w:t xml:space="preserve"> to the registered office of </w:t>
      </w:r>
      <w:proofErr w:type="spellStart"/>
      <w:r w:rsidR="00C83DE7">
        <w:t>Bioaction</w:t>
      </w:r>
      <w:proofErr w:type="spellEnd"/>
      <w:r w:rsidR="00CE76E2">
        <w:t xml:space="preserve"> on 13 January 20</w:t>
      </w:r>
      <w:r w:rsidR="00F84DAA">
        <w:t>2</w:t>
      </w:r>
      <w:r w:rsidR="00CE76E2">
        <w:t>2.</w:t>
      </w:r>
    </w:p>
    <w:p w14:paraId="2EDC49DD" w14:textId="5B883696" w:rsidR="00CE76E2" w:rsidRDefault="00CE76E2" w:rsidP="00C83DE7">
      <w:pPr>
        <w:pStyle w:val="ParaNumbering"/>
      </w:pPr>
      <w:r>
        <w:t>It is common ground that the last day of the 21 day statutory period was 3 February 2022.</w:t>
      </w:r>
    </w:p>
    <w:p w14:paraId="01AFEC15" w14:textId="60D4F408" w:rsidR="00A24279" w:rsidRDefault="00C83DE7" w:rsidP="00CD2A11">
      <w:pPr>
        <w:pStyle w:val="ParaNumbering"/>
      </w:pPr>
      <w:r>
        <w:t xml:space="preserve">Mr </w:t>
      </w:r>
      <w:proofErr w:type="spellStart"/>
      <w:r>
        <w:t>Ogborne</w:t>
      </w:r>
      <w:proofErr w:type="spellEnd"/>
      <w:r>
        <w:t xml:space="preserve"> is represented by </w:t>
      </w:r>
      <w:proofErr w:type="spellStart"/>
      <w:r>
        <w:t>Cerena</w:t>
      </w:r>
      <w:proofErr w:type="spellEnd"/>
      <w:r>
        <w:t xml:space="preserve"> Fu of CFC </w:t>
      </w:r>
      <w:r w:rsidR="006A4E76">
        <w:t>L</w:t>
      </w:r>
      <w:r>
        <w:t>awyers</w:t>
      </w:r>
      <w:r w:rsidR="00A24279">
        <w:t>.</w:t>
      </w:r>
      <w:r>
        <w:t xml:space="preserve"> </w:t>
      </w:r>
      <w:proofErr w:type="spellStart"/>
      <w:r>
        <w:t>Bioaction</w:t>
      </w:r>
      <w:proofErr w:type="spellEnd"/>
      <w:r>
        <w:t xml:space="preserve"> is represented</w:t>
      </w:r>
      <w:r w:rsidR="00A24279">
        <w:t xml:space="preserve"> in the present proceedings</w:t>
      </w:r>
      <w:r>
        <w:t xml:space="preserve"> by Darrin Mitchell</w:t>
      </w:r>
      <w:r w:rsidR="00A24279">
        <w:t xml:space="preserve"> of</w:t>
      </w:r>
      <w:r>
        <w:t xml:space="preserve"> MSD Law.</w:t>
      </w:r>
      <w:r w:rsidR="00F7672E">
        <w:t xml:space="preserve"> </w:t>
      </w:r>
      <w:proofErr w:type="spellStart"/>
      <w:r w:rsidR="00F7672E">
        <w:t>Bioaction</w:t>
      </w:r>
      <w:proofErr w:type="spellEnd"/>
      <w:r w:rsidR="00F7672E">
        <w:t xml:space="preserve"> </w:t>
      </w:r>
      <w:r w:rsidR="00A24279">
        <w:t xml:space="preserve">was </w:t>
      </w:r>
      <w:r w:rsidR="00F75973">
        <w:t xml:space="preserve">represented </w:t>
      </w:r>
      <w:r w:rsidR="00F7672E">
        <w:t xml:space="preserve">by Karen </w:t>
      </w:r>
      <w:proofErr w:type="spellStart"/>
      <w:r w:rsidR="00F7672E">
        <w:t>Ansen</w:t>
      </w:r>
      <w:proofErr w:type="spellEnd"/>
      <w:r w:rsidR="00F7672E">
        <w:t xml:space="preserve"> of Karen </w:t>
      </w:r>
      <w:proofErr w:type="spellStart"/>
      <w:r w:rsidR="00F7672E">
        <w:t>Ansen</w:t>
      </w:r>
      <w:proofErr w:type="spellEnd"/>
      <w:r w:rsidR="00F7672E">
        <w:t xml:space="preserve"> Consulting</w:t>
      </w:r>
      <w:r w:rsidR="00F75973">
        <w:t xml:space="preserve"> in relation to </w:t>
      </w:r>
      <w:r w:rsidR="00A24279">
        <w:t>the</w:t>
      </w:r>
      <w:r w:rsidR="00F75973">
        <w:t xml:space="preserve"> employment dispute with Mr </w:t>
      </w:r>
      <w:proofErr w:type="spellStart"/>
      <w:r w:rsidR="00F75973">
        <w:t>Ogborne</w:t>
      </w:r>
      <w:proofErr w:type="spellEnd"/>
      <w:r w:rsidR="00F7672E">
        <w:t>.</w:t>
      </w:r>
      <w:r w:rsidR="00F75973">
        <w:t xml:space="preserve"> </w:t>
      </w:r>
      <w:r w:rsidR="00A24279">
        <w:t>As noted above, t</w:t>
      </w:r>
      <w:r w:rsidR="00F75973">
        <w:t xml:space="preserve">he statutory demand was served on </w:t>
      </w:r>
      <w:proofErr w:type="spellStart"/>
      <w:r w:rsidR="00F75973">
        <w:t>Bioaction</w:t>
      </w:r>
      <w:proofErr w:type="spellEnd"/>
      <w:r w:rsidR="00F75973">
        <w:t xml:space="preserve"> in the context of </w:t>
      </w:r>
      <w:r w:rsidR="00A24279">
        <w:t>the</w:t>
      </w:r>
      <w:r w:rsidR="00F75973">
        <w:t xml:space="preserve"> employment dispute. </w:t>
      </w:r>
    </w:p>
    <w:p w14:paraId="2797F747" w14:textId="4A8FF81C" w:rsidR="0046647D" w:rsidRDefault="00A24279" w:rsidP="00F8244E">
      <w:pPr>
        <w:pStyle w:val="ParaNumbering"/>
      </w:pPr>
      <w:r>
        <w:t>T</w:t>
      </w:r>
      <w:r w:rsidR="00F7672E">
        <w:t>here were email communications</w:t>
      </w:r>
      <w:r w:rsidR="00C83DE7">
        <w:t xml:space="preserve"> exchanged between the legal representatives of </w:t>
      </w:r>
      <w:r>
        <w:t xml:space="preserve">Mr </w:t>
      </w:r>
      <w:proofErr w:type="spellStart"/>
      <w:r>
        <w:t>Ogborne</w:t>
      </w:r>
      <w:proofErr w:type="spellEnd"/>
      <w:r>
        <w:t xml:space="preserve"> and </w:t>
      </w:r>
      <w:proofErr w:type="spellStart"/>
      <w:r>
        <w:t>Bioaction</w:t>
      </w:r>
      <w:proofErr w:type="spellEnd"/>
      <w:r w:rsidR="00C83DE7">
        <w:t xml:space="preserve"> in relation to</w:t>
      </w:r>
      <w:r w:rsidR="00F7672E">
        <w:t xml:space="preserve"> the statutory demand in the period from 21 December 2021 to</w:t>
      </w:r>
      <w:r w:rsidR="00D852B6">
        <w:t xml:space="preserve"> </w:t>
      </w:r>
      <w:r w:rsidR="00F7672E">
        <w:t>3</w:t>
      </w:r>
      <w:r w:rsidR="006A4E76">
        <w:t> </w:t>
      </w:r>
      <w:r w:rsidR="00F7672E">
        <w:t xml:space="preserve">February 2022. </w:t>
      </w:r>
      <w:r>
        <w:t>E</w:t>
      </w:r>
      <w:r w:rsidR="00F7672E">
        <w:t>mail communications were sent by the</w:t>
      </w:r>
      <w:r>
        <w:t xml:space="preserve"> legal</w:t>
      </w:r>
      <w:r w:rsidR="00F7672E">
        <w:t xml:space="preserve"> representatives of </w:t>
      </w:r>
      <w:proofErr w:type="spellStart"/>
      <w:r w:rsidR="00F7672E">
        <w:t>Bioaction</w:t>
      </w:r>
      <w:proofErr w:type="spellEnd"/>
      <w:r w:rsidR="00F7672E">
        <w:t xml:space="preserve"> to CFC Lawyers</w:t>
      </w:r>
      <w:r>
        <w:t xml:space="preserve"> using the work email address </w:t>
      </w:r>
      <w:r w:rsidR="00CE76E2">
        <w:t>of</w:t>
      </w:r>
      <w:r>
        <w:t xml:space="preserve"> Ms Fu and the general </w:t>
      </w:r>
      <w:r w:rsidR="00B1293D">
        <w:t>email</w:t>
      </w:r>
      <w:r>
        <w:t xml:space="preserve"> address for CFC Lawyers, which </w:t>
      </w:r>
      <w:r w:rsidR="00CE76E2">
        <w:t>address is included</w:t>
      </w:r>
      <w:r>
        <w:t xml:space="preserve"> on the firm’s stationery. I will refer to </w:t>
      </w:r>
      <w:r w:rsidR="00CE76E2">
        <w:t>these</w:t>
      </w:r>
      <w:r>
        <w:t xml:space="preserve"> email addresses </w:t>
      </w:r>
      <w:r w:rsidR="00CE76E2">
        <w:lastRenderedPageBreak/>
        <w:t xml:space="preserve">respectively </w:t>
      </w:r>
      <w:r>
        <w:t xml:space="preserve">as Ms Fu’s CFC email address and </w:t>
      </w:r>
      <w:r w:rsidR="00B1293D">
        <w:t>the CFC g</w:t>
      </w:r>
      <w:r>
        <w:t xml:space="preserve">eneral email address. Ms Fu sent emails to </w:t>
      </w:r>
      <w:proofErr w:type="spellStart"/>
      <w:r>
        <w:t>Bioaction’s</w:t>
      </w:r>
      <w:proofErr w:type="spellEnd"/>
      <w:r>
        <w:t xml:space="preserve"> legal representat</w:t>
      </w:r>
      <w:r w:rsidR="00F8244E">
        <w:t xml:space="preserve">ives from her CFC email address. </w:t>
      </w:r>
      <w:r w:rsidR="00CE76E2">
        <w:t xml:space="preserve">In those email communications, Ms Fu sent letters as attachments, using </w:t>
      </w:r>
      <w:r>
        <w:t>the firm’s stationery which included</w:t>
      </w:r>
      <w:r w:rsidR="00CE76E2">
        <w:t xml:space="preserve"> the CFC general email address</w:t>
      </w:r>
      <w:r w:rsidR="00F84DAA">
        <w:t xml:space="preserve"> in the letterhead</w:t>
      </w:r>
      <w:r w:rsidR="00F7672E">
        <w:t xml:space="preserve">. </w:t>
      </w:r>
    </w:p>
    <w:p w14:paraId="42C0DAE9" w14:textId="0D0DF37E" w:rsidR="006925DC" w:rsidRDefault="006925DC" w:rsidP="006925DC">
      <w:pPr>
        <w:pStyle w:val="ParaNumbering"/>
      </w:pPr>
      <w:bookmarkStart w:id="21" w:name="_Ref101817669"/>
      <w:r>
        <w:t>CFC Lawyers is a registered business name of CFC Legal Pty Ltd. The registered office of CFC Legal Pty Ltd is "C/- CFC Lawyers 'Oro House' Level 1 39 Bay Street Double Bay NSW 2028". The principal place of business of CFC Lawyers recorded in</w:t>
      </w:r>
      <w:r w:rsidR="000B0980">
        <w:t xml:space="preserve"> an</w:t>
      </w:r>
      <w:r>
        <w:t xml:space="preserve"> ASIC search and a Business Name extract is Level 1 39 Bay Street Double Bay NSW 2028.</w:t>
      </w:r>
      <w:bookmarkEnd w:id="21"/>
    </w:p>
    <w:p w14:paraId="0154755C" w14:textId="1EC2A963" w:rsidR="00F75AFC" w:rsidRDefault="00F75AFC" w:rsidP="000B1B06">
      <w:pPr>
        <w:pStyle w:val="ParaNumbering"/>
      </w:pPr>
      <w:r>
        <w:t xml:space="preserve">By email </w:t>
      </w:r>
      <w:r w:rsidR="00CE76E2">
        <w:t xml:space="preserve">sent at 4:40 pm on 1 February 2022, </w:t>
      </w:r>
      <w:r>
        <w:t xml:space="preserve">Mr Mitchell informed Ms Fu that his firm had been instructed to act on behalf of </w:t>
      </w:r>
      <w:proofErr w:type="spellStart"/>
      <w:r>
        <w:t>Bioaction</w:t>
      </w:r>
      <w:proofErr w:type="spellEnd"/>
      <w:r>
        <w:t xml:space="preserve"> and sought information as to the date of service of the statutory demand.</w:t>
      </w:r>
    </w:p>
    <w:p w14:paraId="484D77E9" w14:textId="72E4EB15" w:rsidR="009204FE" w:rsidRDefault="009204FE" w:rsidP="000B1B06">
      <w:pPr>
        <w:pStyle w:val="ParaNumbering"/>
      </w:pPr>
      <w:r>
        <w:t xml:space="preserve">A number of things occurred </w:t>
      </w:r>
      <w:r w:rsidR="00CE76E2">
        <w:t>on 3 February 2022, the last day of the statutory period</w:t>
      </w:r>
      <w:r>
        <w:t>.</w:t>
      </w:r>
    </w:p>
    <w:p w14:paraId="4F4DEB4F" w14:textId="466F9124" w:rsidR="002B570C" w:rsidRDefault="002B570C" w:rsidP="002B570C">
      <w:pPr>
        <w:pStyle w:val="ParaNumbering"/>
      </w:pPr>
      <w:r>
        <w:t>First, after sending an email to Mr Mitchell at 2:47 pm</w:t>
      </w:r>
      <w:r w:rsidR="00F75AFC">
        <w:t xml:space="preserve"> confirming that the originating documents were served on 13 January 2022</w:t>
      </w:r>
      <w:r>
        <w:t xml:space="preserve">, Ms Fu turned her computer off and left the office. She did not access her email </w:t>
      </w:r>
      <w:r w:rsidR="001233ED">
        <w:t xml:space="preserve">from any device </w:t>
      </w:r>
      <w:r>
        <w:t xml:space="preserve">until she returned to the office the next day. </w:t>
      </w:r>
      <w:r w:rsidR="001233ED">
        <w:t>Ms</w:t>
      </w:r>
      <w:r w:rsidR="000B0980">
        <w:t> </w:t>
      </w:r>
      <w:r w:rsidR="001233ED">
        <w:t>Fu is the sole lawyer employed by CFC Lawyers and the only person with a password to log into her computer</w:t>
      </w:r>
      <w:r w:rsidR="00A228F3">
        <w:t xml:space="preserve"> to obtain access to emails sent to her email address or the CFC general email address</w:t>
      </w:r>
      <w:r w:rsidR="001233ED">
        <w:t>.</w:t>
      </w:r>
    </w:p>
    <w:p w14:paraId="5EFDF96A" w14:textId="2C72BFAE" w:rsidR="009204FE" w:rsidRDefault="002B570C" w:rsidP="000B1B06">
      <w:pPr>
        <w:pStyle w:val="ParaNumbering"/>
      </w:pPr>
      <w:r>
        <w:t>Secondly</w:t>
      </w:r>
      <w:r w:rsidR="009204FE">
        <w:t>,</w:t>
      </w:r>
      <w:r w:rsidR="00394D5B">
        <w:t xml:space="preserve"> at 3:11 pm </w:t>
      </w:r>
      <w:r w:rsidR="009204FE">
        <w:t xml:space="preserve">on 3 February 2022, </w:t>
      </w:r>
      <w:proofErr w:type="spellStart"/>
      <w:r w:rsidR="00394D5B">
        <w:t>Bioaction</w:t>
      </w:r>
      <w:proofErr w:type="spellEnd"/>
      <w:r w:rsidR="00394D5B">
        <w:t xml:space="preserve"> </w:t>
      </w:r>
      <w:r w:rsidR="009204FE">
        <w:t xml:space="preserve">submitted </w:t>
      </w:r>
      <w:r w:rsidR="000B0980">
        <w:t xml:space="preserve">the originating documents </w:t>
      </w:r>
      <w:r w:rsidR="009204FE">
        <w:t>to the Court’s electronic portal for filing</w:t>
      </w:r>
      <w:r w:rsidR="00394D5B">
        <w:t xml:space="preserve">. </w:t>
      </w:r>
    </w:p>
    <w:p w14:paraId="161D3018" w14:textId="6C2F8078" w:rsidR="009204FE" w:rsidRDefault="009204FE" w:rsidP="00670F5C">
      <w:pPr>
        <w:pStyle w:val="ParaNumbering"/>
      </w:pPr>
      <w:r>
        <w:t>Thirdly, a</w:t>
      </w:r>
      <w:r w:rsidR="00394D5B">
        <w:t xml:space="preserve">t 4:07 pm, Mr Mitchell sent an unsealed copy of the </w:t>
      </w:r>
      <w:r>
        <w:t>originating documents</w:t>
      </w:r>
      <w:r w:rsidR="00394D5B">
        <w:t xml:space="preserve"> to Ms Fu by email</w:t>
      </w:r>
      <w:r>
        <w:t xml:space="preserve"> </w:t>
      </w:r>
      <w:r w:rsidR="00BA3BA6">
        <w:t xml:space="preserve">addressed </w:t>
      </w:r>
      <w:r w:rsidR="00AF0EC0">
        <w:t>to</w:t>
      </w:r>
      <w:r w:rsidR="002B570C">
        <w:t xml:space="preserve"> her CFC email address</w:t>
      </w:r>
      <w:r w:rsidR="00EB7B65">
        <w:t xml:space="preserve"> </w:t>
      </w:r>
      <w:r w:rsidR="00670F5C">
        <w:t xml:space="preserve">and </w:t>
      </w:r>
      <w:r w:rsidR="00EB7B65">
        <w:t xml:space="preserve">copied to </w:t>
      </w:r>
      <w:r w:rsidR="002B570C">
        <w:t>the CFC general email address.</w:t>
      </w:r>
      <w:r w:rsidR="00394D5B">
        <w:t xml:space="preserve"> </w:t>
      </w:r>
      <w:r w:rsidR="00670F5C">
        <w:t xml:space="preserve">I note that </w:t>
      </w:r>
      <w:proofErr w:type="spellStart"/>
      <w:r w:rsidR="00670F5C">
        <w:t>Bioaction</w:t>
      </w:r>
      <w:proofErr w:type="spellEnd"/>
      <w:r w:rsidR="00670F5C">
        <w:t xml:space="preserve"> do</w:t>
      </w:r>
      <w:r w:rsidR="002B570C">
        <w:t>es</w:t>
      </w:r>
      <w:r w:rsidR="00670F5C">
        <w:t xml:space="preserve"> not contend that service of the originating documents was effected by email delivery of the unsealed documents.</w:t>
      </w:r>
    </w:p>
    <w:p w14:paraId="78CAB898" w14:textId="77777777" w:rsidR="009204FE" w:rsidRDefault="009204FE" w:rsidP="006D6F6A">
      <w:pPr>
        <w:pStyle w:val="ParaNumbering"/>
      </w:pPr>
      <w:r>
        <w:t xml:space="preserve">Fourthly, </w:t>
      </w:r>
      <w:r w:rsidRPr="00A5580D">
        <w:t>at</w:t>
      </w:r>
      <w:r w:rsidR="00EB7B65" w:rsidRPr="00A5580D">
        <w:t xml:space="preserve"> 4:35pm</w:t>
      </w:r>
      <w:r w:rsidR="00EB7B65">
        <w:t xml:space="preserve">, </w:t>
      </w:r>
      <w:r w:rsidR="006D6F6A">
        <w:t>Mr Mitchell received an email from the Court advising that the originating documents lodged had been accepted and processed</w:t>
      </w:r>
      <w:r w:rsidR="00A5580D">
        <w:t xml:space="preserve"> and were available for download</w:t>
      </w:r>
      <w:r w:rsidR="006D6F6A">
        <w:t>.</w:t>
      </w:r>
    </w:p>
    <w:p w14:paraId="1418A20C" w14:textId="6236C274" w:rsidR="002D1B92" w:rsidRDefault="009204FE" w:rsidP="000B1B06">
      <w:pPr>
        <w:pStyle w:val="ParaNumbering"/>
      </w:pPr>
      <w:r>
        <w:t>Fifthly, a</w:t>
      </w:r>
      <w:r w:rsidR="00394D5B">
        <w:t>t 4:48 pm, Mr Mitchell sent</w:t>
      </w:r>
      <w:r w:rsidR="00CE76E2">
        <w:t xml:space="preserve"> an email attaching a letter and</w:t>
      </w:r>
      <w:r w:rsidR="00394D5B">
        <w:t xml:space="preserve"> sealed </w:t>
      </w:r>
      <w:r w:rsidR="00BC75EF">
        <w:t xml:space="preserve">PDF </w:t>
      </w:r>
      <w:r w:rsidR="00394D5B">
        <w:t xml:space="preserve">copies of the originating documents </w:t>
      </w:r>
      <w:r w:rsidR="000B1B06">
        <w:t>to</w:t>
      </w:r>
      <w:r w:rsidR="00F75AFC">
        <w:t xml:space="preserve"> Ms Fu’s CFC email address</w:t>
      </w:r>
      <w:r w:rsidR="000B1B06">
        <w:t xml:space="preserve"> </w:t>
      </w:r>
      <w:r w:rsidR="00EB7B65">
        <w:t>and copied to</w:t>
      </w:r>
      <w:r w:rsidR="00F75AFC">
        <w:t xml:space="preserve"> the CFC general email address</w:t>
      </w:r>
      <w:r w:rsidR="00EB7B65">
        <w:t xml:space="preserve"> </w:t>
      </w:r>
      <w:r w:rsidR="00A5580D">
        <w:t xml:space="preserve">(the </w:t>
      </w:r>
      <w:r w:rsidR="00A5580D" w:rsidRPr="00670F5C">
        <w:rPr>
          <w:b/>
        </w:rPr>
        <w:t>Mitchell email</w:t>
      </w:r>
      <w:r w:rsidR="00A5580D">
        <w:t>)</w:t>
      </w:r>
      <w:r w:rsidR="00EB7B65">
        <w:t xml:space="preserve">. </w:t>
      </w:r>
      <w:r w:rsidR="00BC75EF">
        <w:t xml:space="preserve">As a matter of inference, I find that the PDF attachments to the Mitchell email were capable of being opened in legible form from the time they were delivered </w:t>
      </w:r>
      <w:r w:rsidR="00BC75EF">
        <w:lastRenderedPageBreak/>
        <w:t>to the server connected to</w:t>
      </w:r>
      <w:r w:rsidR="00BC75EF" w:rsidRPr="00C30364">
        <w:t xml:space="preserve"> </w:t>
      </w:r>
      <w:r w:rsidR="00BC75EF">
        <w:t xml:space="preserve">Ms Fu’s CFC email address and the CFC general email address. I draw this inference based on the fact that Ms Fu was able to open the Mitchell email (including the PDF attachments) on the next occasion when she accessed her email mailbox. </w:t>
      </w:r>
      <w:r w:rsidR="00670F5C">
        <w:t>I note that it</w:t>
      </w:r>
      <w:r w:rsidR="000B1B06">
        <w:t xml:space="preserve"> is by this email </w:t>
      </w:r>
      <w:r w:rsidR="00A5580D">
        <w:t>(</w:t>
      </w:r>
      <w:r w:rsidR="000B1B06">
        <w:t>attaching sealed copies of the originating documents</w:t>
      </w:r>
      <w:r w:rsidR="00A5580D">
        <w:t>)</w:t>
      </w:r>
      <w:r w:rsidR="000B1B06">
        <w:t xml:space="preserve"> that </w:t>
      </w:r>
      <w:proofErr w:type="spellStart"/>
      <w:r w:rsidR="000B1B06">
        <w:t>Bioaction</w:t>
      </w:r>
      <w:proofErr w:type="spellEnd"/>
      <w:r w:rsidR="000B1B06">
        <w:t xml:space="preserve"> contend</w:t>
      </w:r>
      <w:r w:rsidR="00A5580D">
        <w:t>s that</w:t>
      </w:r>
      <w:r w:rsidR="000B1B06">
        <w:t xml:space="preserve"> service for the purpose of s</w:t>
      </w:r>
      <w:r w:rsidR="00EB7B65">
        <w:t> </w:t>
      </w:r>
      <w:r w:rsidR="000B1B06">
        <w:t>459G was effected.</w:t>
      </w:r>
      <w:r w:rsidR="00394D5B">
        <w:t xml:space="preserve"> </w:t>
      </w:r>
    </w:p>
    <w:p w14:paraId="4A9F9AAB" w14:textId="282DC3A3" w:rsidR="005059BD" w:rsidRDefault="00F75AFC" w:rsidP="00F64C72">
      <w:pPr>
        <w:pStyle w:val="ParaNumbering"/>
      </w:pPr>
      <w:r>
        <w:t>Finally, I infer that the Mitchell email was capable of being retrieved from the mailbox associated with Ms Fu’s CFC email address and the CFC general email addres</w:t>
      </w:r>
      <w:r w:rsidRPr="005059BD">
        <w:t>s with</w:t>
      </w:r>
      <w:r w:rsidR="005059BD" w:rsidRPr="005059BD">
        <w:t>in</w:t>
      </w:r>
      <w:r>
        <w:t xml:space="preserve"> approximately </w:t>
      </w:r>
      <w:r w:rsidR="00A228F3">
        <w:t xml:space="preserve">eleven </w:t>
      </w:r>
      <w:r>
        <w:t>seconds of the email being sent by Mr Mitchell.</w:t>
      </w:r>
      <w:r w:rsidR="00537996">
        <w:t xml:space="preserve"> I draw this inference based on the evidence of Blare Peter Sutton, an expert in the field of information technology, who provided a report in the proceedings at the request of </w:t>
      </w:r>
      <w:proofErr w:type="spellStart"/>
      <w:r w:rsidR="00537996">
        <w:t>Bioaction</w:t>
      </w:r>
      <w:proofErr w:type="spellEnd"/>
      <w:r w:rsidR="00537996">
        <w:t xml:space="preserve"> and who was </w:t>
      </w:r>
      <w:r w:rsidR="000B0980">
        <w:br/>
      </w:r>
      <w:r w:rsidR="00537996">
        <w:t xml:space="preserve">cross-examined by counsel for Mr </w:t>
      </w:r>
      <w:proofErr w:type="spellStart"/>
      <w:r w:rsidR="00537996">
        <w:t>Ogborne</w:t>
      </w:r>
      <w:proofErr w:type="spellEnd"/>
      <w:r w:rsidR="00537996">
        <w:t>.</w:t>
      </w:r>
      <w:r w:rsidR="005059BD">
        <w:t xml:space="preserve"> Mr Sutton was not challenged in </w:t>
      </w:r>
      <w:r w:rsidR="00F13643">
        <w:br/>
      </w:r>
      <w:r w:rsidR="005059BD">
        <w:t xml:space="preserve">cross-examination as to his opinion that the Mitchell email was capable of being retrieved within </w:t>
      </w:r>
      <w:r w:rsidR="00A228F3">
        <w:t xml:space="preserve">eleven </w:t>
      </w:r>
      <w:r w:rsidR="005059BD">
        <w:t>seconds of being sent by Mr Mitchell.</w:t>
      </w:r>
      <w:r w:rsidR="00242860">
        <w:rPr>
          <w:rStyle w:val="CommentReference"/>
        </w:rPr>
        <w:t xml:space="preserve"> </w:t>
      </w:r>
      <w:r w:rsidR="00242860">
        <w:t>The issue explored in the cross-examination of Mr Sutton was not when the Mitchell email was received but rather the form in which the attachments to the Mitchell email, being the originating documents, were in prior to being opened.</w:t>
      </w:r>
      <w:r w:rsidR="00A228F3">
        <w:t xml:space="preserve"> </w:t>
      </w:r>
      <w:r w:rsidR="005059BD">
        <w:t xml:space="preserve">Counsel for Mr </w:t>
      </w:r>
      <w:proofErr w:type="spellStart"/>
      <w:r w:rsidR="005059BD">
        <w:t>Ogborne</w:t>
      </w:r>
      <w:proofErr w:type="spellEnd"/>
      <w:r w:rsidR="005059BD">
        <w:t xml:space="preserve"> established the following facts in his cross-examination of Mr Sutton. First, that the originating documents that were sent as email attachments were in portable document format (</w:t>
      </w:r>
      <w:r w:rsidR="005059BD" w:rsidRPr="00E82A73">
        <w:rPr>
          <w:b/>
        </w:rPr>
        <w:t>PDF</w:t>
      </w:r>
      <w:r w:rsidR="005059BD">
        <w:t>). Second, PDF is generally comprised of elements which include American Standard Code for Information Interchange (</w:t>
      </w:r>
      <w:r w:rsidR="005059BD" w:rsidRPr="00E82A73">
        <w:rPr>
          <w:b/>
        </w:rPr>
        <w:t>ASCII</w:t>
      </w:r>
      <w:r w:rsidR="005059BD">
        <w:t xml:space="preserve">) and binary content or code. Third, a PDF is an electronic data file created for the purpose, </w:t>
      </w:r>
      <w:r w:rsidR="005059BD" w:rsidRPr="00F64C72">
        <w:rPr>
          <w:i/>
        </w:rPr>
        <w:t>inter alia</w:t>
      </w:r>
      <w:r w:rsidR="005059BD">
        <w:t xml:space="preserve">, of enabling electronic </w:t>
      </w:r>
      <w:r w:rsidR="00F13643">
        <w:t xml:space="preserve">transmission </w:t>
      </w:r>
      <w:r w:rsidR="005059BD">
        <w:t>of the document. Fourth, when a PDF document is sent by email from one server to another it remains in electronic form. Fifth, in order to open a PDF in legible f</w:t>
      </w:r>
      <w:r w:rsidR="00D501FA">
        <w:t>orm, from a hu</w:t>
      </w:r>
      <w:r w:rsidR="005059BD">
        <w:t>man perspective</w:t>
      </w:r>
      <w:r w:rsidR="00D501FA">
        <w:t>,</w:t>
      </w:r>
      <w:r w:rsidR="005059BD">
        <w:t xml:space="preserve"> it is necessary to open it with a computer application for example</w:t>
      </w:r>
      <w:r w:rsidR="00400910">
        <w:t>,</w:t>
      </w:r>
      <w:r w:rsidR="005059BD">
        <w:t xml:space="preserve"> Adobe Acrobat Reader.</w:t>
      </w:r>
      <w:r w:rsidR="00D501FA">
        <w:t xml:space="preserve"> In this way a </w:t>
      </w:r>
      <w:r w:rsidR="005059BD">
        <w:t>PDF is something that record</w:t>
      </w:r>
      <w:r w:rsidR="00D501FA">
        <w:t>s</w:t>
      </w:r>
      <w:r w:rsidR="005059BD">
        <w:t xml:space="preserve"> information from which images and</w:t>
      </w:r>
      <w:r w:rsidR="00400910">
        <w:t>/</w:t>
      </w:r>
      <w:r w:rsidR="005059BD">
        <w:t>or writing may be produced with the aid of another thing.</w:t>
      </w:r>
      <w:r w:rsidR="00D501FA">
        <w:t xml:space="preserve"> Sixth, depending on the form of access one has to an email server it may be possible to display, read or access the content of a PDF in legible form without downloading it (and the email to which it is attached from the server).</w:t>
      </w:r>
    </w:p>
    <w:p w14:paraId="6C16AE95" w14:textId="3D132133" w:rsidR="00394D5B" w:rsidRDefault="000B1B06" w:rsidP="00CD2A11">
      <w:pPr>
        <w:pStyle w:val="ParaNumbering"/>
      </w:pPr>
      <w:r>
        <w:t>On t</w:t>
      </w:r>
      <w:r w:rsidR="004860A1">
        <w:t>he following day</w:t>
      </w:r>
      <w:r>
        <w:t xml:space="preserve">, </w:t>
      </w:r>
      <w:r w:rsidR="003948E5">
        <w:t>at 11:59</w:t>
      </w:r>
      <w:r w:rsidR="00D501FA">
        <w:t xml:space="preserve"> </w:t>
      </w:r>
      <w:r w:rsidR="003948E5">
        <w:t>am</w:t>
      </w:r>
      <w:r w:rsidR="00537996">
        <w:t xml:space="preserve"> </w:t>
      </w:r>
      <w:r w:rsidR="00FA48FE">
        <w:t xml:space="preserve">on </w:t>
      </w:r>
      <w:r>
        <w:t xml:space="preserve">4 February 2022, </w:t>
      </w:r>
      <w:r w:rsidR="004860A1">
        <w:t xml:space="preserve">Ms Fu </w:t>
      </w:r>
      <w:r>
        <w:t xml:space="preserve">emailed </w:t>
      </w:r>
      <w:r w:rsidR="004860A1">
        <w:t>confirm</w:t>
      </w:r>
      <w:r>
        <w:t>ing</w:t>
      </w:r>
      <w:r w:rsidR="004860A1">
        <w:t xml:space="preserve"> receipt of Mr Mitchell’s emails of 4:07 pm and 4:48 pm respectively but informed Mr Mitchell that she did not have instructions to accept service of the originating documents by email</w:t>
      </w:r>
      <w:r>
        <w:t xml:space="preserve">. Further, </w:t>
      </w:r>
      <w:r w:rsidR="004860A1">
        <w:t>that</w:t>
      </w:r>
      <w:r>
        <w:t xml:space="preserve"> as the originating </w:t>
      </w:r>
      <w:r w:rsidR="004860A1">
        <w:t xml:space="preserve">documents </w:t>
      </w:r>
      <w:r>
        <w:t>were not</w:t>
      </w:r>
      <w:r w:rsidR="004860A1">
        <w:t xml:space="preserve"> received at her offices</w:t>
      </w:r>
      <w:r>
        <w:t xml:space="preserve"> within the statutory period, </w:t>
      </w:r>
      <w:r w:rsidR="00F13643">
        <w:lastRenderedPageBreak/>
        <w:t>Mr </w:t>
      </w:r>
      <w:proofErr w:type="spellStart"/>
      <w:r w:rsidR="004860A1">
        <w:t>Ogborne</w:t>
      </w:r>
      <w:proofErr w:type="spellEnd"/>
      <w:r w:rsidR="004860A1">
        <w:t xml:space="preserve"> would act on the basis that </w:t>
      </w:r>
      <w:proofErr w:type="spellStart"/>
      <w:r w:rsidR="004860A1">
        <w:t>Bioaction</w:t>
      </w:r>
      <w:proofErr w:type="spellEnd"/>
      <w:r w:rsidR="004860A1">
        <w:t xml:space="preserve"> had not made a valid application</w:t>
      </w:r>
      <w:r>
        <w:t xml:space="preserve"> to set aside the statutory demand</w:t>
      </w:r>
      <w:r w:rsidR="004860A1">
        <w:t xml:space="preserve"> in accordance with s 459G of the </w:t>
      </w:r>
      <w:r w:rsidR="008573D4">
        <w:t xml:space="preserve">Corporations </w:t>
      </w:r>
      <w:r w:rsidR="004860A1">
        <w:t xml:space="preserve">Act. </w:t>
      </w:r>
    </w:p>
    <w:p w14:paraId="3D348397" w14:textId="57D6FAF4" w:rsidR="004860A1" w:rsidRDefault="004860A1" w:rsidP="00CD2A11">
      <w:pPr>
        <w:pStyle w:val="ParaNumbering"/>
      </w:pPr>
      <w:r>
        <w:t xml:space="preserve">Later on 4 February 2022, Mr Mitchell delivered copies of </w:t>
      </w:r>
      <w:r w:rsidR="00670F5C">
        <w:t>the originating documents to Ms </w:t>
      </w:r>
      <w:r>
        <w:t xml:space="preserve">Fu. </w:t>
      </w:r>
    </w:p>
    <w:p w14:paraId="6D66561A" w14:textId="16E29D88" w:rsidR="00FC72BA" w:rsidRDefault="00FC72BA" w:rsidP="005B3654">
      <w:pPr>
        <w:pStyle w:val="ParaNumbering"/>
      </w:pPr>
      <w:r>
        <w:t>At 4</w:t>
      </w:r>
      <w:r w:rsidR="000B0980">
        <w:t>:</w:t>
      </w:r>
      <w:r>
        <w:t>13</w:t>
      </w:r>
      <w:r w:rsidR="008573D4">
        <w:t xml:space="preserve"> </w:t>
      </w:r>
      <w:r>
        <w:t xml:space="preserve">pm that afternoon, Ms Fu first sent an email to Mr </w:t>
      </w:r>
      <w:proofErr w:type="spellStart"/>
      <w:r>
        <w:t>Ogborne</w:t>
      </w:r>
      <w:proofErr w:type="spellEnd"/>
      <w:r>
        <w:t xml:space="preserve"> attaching copies of the originating documents. Until that time, Mr </w:t>
      </w:r>
      <w:proofErr w:type="spellStart"/>
      <w:r>
        <w:t>Ogborne</w:t>
      </w:r>
      <w:proofErr w:type="spellEnd"/>
      <w:r>
        <w:t xml:space="preserve"> had not received copies of the originating documents no</w:t>
      </w:r>
      <w:r w:rsidR="008573D4">
        <w:t>r</w:t>
      </w:r>
      <w:r>
        <w:t xml:space="preserve"> had the originating documents in any way come to his attention.</w:t>
      </w:r>
    </w:p>
    <w:p w14:paraId="22A8FC44" w14:textId="77777777" w:rsidR="004860A1" w:rsidRDefault="00670F5C" w:rsidP="00CD2A11">
      <w:pPr>
        <w:pStyle w:val="ParaNumbering"/>
      </w:pPr>
      <w:r>
        <w:t>It is a</w:t>
      </w:r>
      <w:r w:rsidR="004860A1">
        <w:t xml:space="preserve">gainst this background </w:t>
      </w:r>
      <w:r>
        <w:t>that the separate question</w:t>
      </w:r>
      <w:r w:rsidR="006F1E74">
        <w:t xml:space="preserve"> </w:t>
      </w:r>
      <w:r>
        <w:t>falls to be determined</w:t>
      </w:r>
      <w:r w:rsidR="004860A1">
        <w:t xml:space="preserve">. </w:t>
      </w:r>
    </w:p>
    <w:p w14:paraId="47E29053" w14:textId="6504D1C2" w:rsidR="004860A1" w:rsidRDefault="00537996" w:rsidP="004860A1">
      <w:pPr>
        <w:pStyle w:val="Heading1"/>
      </w:pPr>
      <w:r>
        <w:t>R</w:t>
      </w:r>
      <w:r w:rsidR="00D960EB">
        <w:t>ELEVANT LAW</w:t>
      </w:r>
    </w:p>
    <w:p w14:paraId="1640826D" w14:textId="153ADDA7" w:rsidR="00F64C72" w:rsidRDefault="00A41D7F" w:rsidP="00045019">
      <w:pPr>
        <w:pStyle w:val="ParaNumbering"/>
      </w:pPr>
      <w:r>
        <w:t>In or</w:t>
      </w:r>
      <w:r w:rsidR="008E6C3C">
        <w:t>der to</w:t>
      </w:r>
      <w:r w:rsidR="00F110DF">
        <w:t xml:space="preserve"> decid</w:t>
      </w:r>
      <w:r w:rsidR="008E6C3C">
        <w:t>e</w:t>
      </w:r>
      <w:r w:rsidR="00F110DF">
        <w:t xml:space="preserve"> the separate question </w:t>
      </w:r>
      <w:r w:rsidR="008E6C3C">
        <w:t>it is necessary to</w:t>
      </w:r>
      <w:r w:rsidR="00F110DF">
        <w:t xml:space="preserve"> interpret and appl</w:t>
      </w:r>
      <w:r>
        <w:t>y</w:t>
      </w:r>
      <w:r w:rsidR="00F110DF">
        <w:t xml:space="preserve"> federal legislation and uniform national legislation</w:t>
      </w:r>
      <w:r>
        <w:t xml:space="preserve">. I note that in the absence of binding authority to the contrary, judges at first instance and intermediate appeal courts should follow a decision of an intermediate appellate court in another Australian jurisdiction on the interpretation of federal legislation and uniform national legislation unless convinced the decision is plainly wrong: </w:t>
      </w:r>
      <w:r>
        <w:rPr>
          <w:i/>
        </w:rPr>
        <w:t>Farah Constructions Pty Ltd v Say-Dee</w:t>
      </w:r>
      <w:r w:rsidR="00E82A73">
        <w:rPr>
          <w:i/>
        </w:rPr>
        <w:t xml:space="preserve"> Pty Ltd</w:t>
      </w:r>
      <w:r>
        <w:rPr>
          <w:i/>
        </w:rPr>
        <w:t xml:space="preserve"> </w:t>
      </w:r>
      <w:r w:rsidR="00E82A73">
        <w:t xml:space="preserve">[2007] HCA 22; </w:t>
      </w:r>
      <w:r w:rsidRPr="00045019">
        <w:t xml:space="preserve">230 CLR 89 </w:t>
      </w:r>
      <w:r w:rsidR="00E82A73">
        <w:t xml:space="preserve">at 151 – 152 </w:t>
      </w:r>
      <w:r w:rsidRPr="00045019">
        <w:t>[135] (the Court)</w:t>
      </w:r>
      <w:r>
        <w:t xml:space="preserve"> and the authorities cited at [33.330] of </w:t>
      </w:r>
      <w:r w:rsidR="00E82A73">
        <w:t xml:space="preserve">Perry </w:t>
      </w:r>
      <w:r>
        <w:t xml:space="preserve">Herzfeld and </w:t>
      </w:r>
      <w:r w:rsidR="00E82A73">
        <w:t xml:space="preserve">Thomas </w:t>
      </w:r>
      <w:r>
        <w:t>Prince</w:t>
      </w:r>
      <w:r w:rsidR="00E82A73">
        <w:t>,</w:t>
      </w:r>
      <w:r>
        <w:t xml:space="preserve"> </w:t>
      </w:r>
      <w:r w:rsidRPr="00045019">
        <w:rPr>
          <w:i/>
        </w:rPr>
        <w:t>Interpretation</w:t>
      </w:r>
      <w:r>
        <w:t xml:space="preserve"> (</w:t>
      </w:r>
      <w:r w:rsidR="00E82A73">
        <w:t>Thomson Reuters, 2</w:t>
      </w:r>
      <w:r w:rsidR="00E82A73" w:rsidRPr="00045019">
        <w:rPr>
          <w:vertAlign w:val="superscript"/>
        </w:rPr>
        <w:t>nd</w:t>
      </w:r>
      <w:r w:rsidR="00E82A73">
        <w:t xml:space="preserve"> </w:t>
      </w:r>
      <w:r>
        <w:t>edition</w:t>
      </w:r>
      <w:r w:rsidR="00E82A73">
        <w:t>, 2020</w:t>
      </w:r>
      <w:r>
        <w:t>)</w:t>
      </w:r>
      <w:r w:rsidR="001133C4">
        <w:t xml:space="preserve"> (</w:t>
      </w:r>
      <w:r w:rsidR="001133C4">
        <w:rPr>
          <w:b/>
        </w:rPr>
        <w:t>Herzfeld and Prince</w:t>
      </w:r>
      <w:r w:rsidR="001133C4">
        <w:t>)</w:t>
      </w:r>
      <w:r>
        <w:t xml:space="preserve">. </w:t>
      </w:r>
    </w:p>
    <w:p w14:paraId="4CACF619" w14:textId="0B1CEE04" w:rsidR="00DF72CA" w:rsidRDefault="00DF72CA" w:rsidP="00045019">
      <w:pPr>
        <w:pStyle w:val="ParaNumbering"/>
      </w:pPr>
      <w:r>
        <w:t>In the present context, there is no binding authority on the applicable legislation in its current form. Indeed, the parties were unable to identify any authority which had applied the legislation in its current form, noting that significant amendments were introduced which took effect in December 2020.</w:t>
      </w:r>
    </w:p>
    <w:p w14:paraId="694C2295" w14:textId="05DD4F86" w:rsidR="00706106" w:rsidRDefault="00706106" w:rsidP="00706106">
      <w:pPr>
        <w:pStyle w:val="Heading2"/>
      </w:pPr>
      <w:r>
        <w:t>Statutory demand</w:t>
      </w:r>
    </w:p>
    <w:p w14:paraId="51572259" w14:textId="093C1B3B" w:rsidR="001E3444" w:rsidRDefault="00AF49EC" w:rsidP="001E3444">
      <w:pPr>
        <w:pStyle w:val="ParaNumbering"/>
      </w:pPr>
      <w:r>
        <w:t>Section 459E is situated in Chapter 5 (External Administration), Part 5.4, Division 2 (</w:t>
      </w:r>
      <w:r w:rsidR="00F6691D">
        <w:t>S</w:t>
      </w:r>
      <w:r>
        <w:t xml:space="preserve">tatutory demand) </w:t>
      </w:r>
      <w:r w:rsidR="00F6691D">
        <w:t xml:space="preserve">of the Corporations Act and provides for the service on a company of a demand </w:t>
      </w:r>
      <w:r w:rsidR="00D81ED2">
        <w:t xml:space="preserve">for payment of a debt. </w:t>
      </w:r>
    </w:p>
    <w:p w14:paraId="75AA4D35" w14:textId="02A1634B" w:rsidR="00AF49EC" w:rsidRDefault="00D81ED2" w:rsidP="001E3444">
      <w:pPr>
        <w:pStyle w:val="ParaNumbering"/>
      </w:pPr>
      <w:r>
        <w:t xml:space="preserve">The statutory demand must comply with the requirements of s 459E(2), which include that the demand </w:t>
      </w:r>
      <w:r w:rsidR="001E3444">
        <w:t xml:space="preserve">must </w:t>
      </w:r>
      <w:r>
        <w:t>be in the prescribed form: s 459E(2)(e</w:t>
      </w:r>
      <w:r w:rsidR="001E3444">
        <w:t>)</w:t>
      </w:r>
      <w:r w:rsidR="000B0980">
        <w:t xml:space="preserve"> of the Corporations Act;</w:t>
      </w:r>
      <w:r w:rsidR="001E3444">
        <w:t xml:space="preserve"> </w:t>
      </w:r>
      <w:proofErr w:type="spellStart"/>
      <w:r w:rsidR="001E3444">
        <w:t>regs</w:t>
      </w:r>
      <w:proofErr w:type="spellEnd"/>
      <w:r w:rsidR="00AF49EC">
        <w:t xml:space="preserve"> 1.0.03, 1.0.04, 1.0.0</w:t>
      </w:r>
      <w:r w:rsidR="001E3444">
        <w:t>5</w:t>
      </w:r>
      <w:r w:rsidR="000B0980">
        <w:t xml:space="preserve"> and</w:t>
      </w:r>
      <w:r w:rsidR="001E3444">
        <w:t xml:space="preserve"> Schedule 1</w:t>
      </w:r>
      <w:r w:rsidR="000B0980">
        <w:t xml:space="preserve"> of the</w:t>
      </w:r>
      <w:r w:rsidR="001E3444">
        <w:t xml:space="preserve"> </w:t>
      </w:r>
      <w:r w:rsidR="00AF49EC" w:rsidRPr="001E3444">
        <w:rPr>
          <w:b/>
          <w:i/>
        </w:rPr>
        <w:t>Corporations Regulations</w:t>
      </w:r>
      <w:r w:rsidR="00AF49EC" w:rsidRPr="001E3444">
        <w:rPr>
          <w:i/>
        </w:rPr>
        <w:t xml:space="preserve"> 2001 </w:t>
      </w:r>
      <w:r w:rsidR="00AF49EC">
        <w:t>(</w:t>
      </w:r>
      <w:proofErr w:type="spellStart"/>
      <w:r w:rsidR="00AF49EC">
        <w:t>Cth</w:t>
      </w:r>
      <w:proofErr w:type="spellEnd"/>
      <w:r w:rsidR="001E3444">
        <w:t>). The prescribed form is f</w:t>
      </w:r>
      <w:r w:rsidR="00AF49EC">
        <w:t>orm 50</w:t>
      </w:r>
      <w:r w:rsidR="001E3444">
        <w:t>9H</w:t>
      </w:r>
      <w:r w:rsidR="000B0980">
        <w:t>: see</w:t>
      </w:r>
      <w:r w:rsidR="001E3444">
        <w:t xml:space="preserve"> Volume 5, Schedule 2</w:t>
      </w:r>
      <w:r w:rsidR="000B0980">
        <w:t xml:space="preserve"> of the</w:t>
      </w:r>
      <w:r w:rsidR="001E3444">
        <w:t xml:space="preserve"> </w:t>
      </w:r>
      <w:r w:rsidR="00AF49EC" w:rsidRPr="00AF0EC0">
        <w:t>Corporations Regulations.</w:t>
      </w:r>
      <w:r w:rsidR="00AF49EC">
        <w:t xml:space="preserve"> </w:t>
      </w:r>
    </w:p>
    <w:p w14:paraId="2160ECC8" w14:textId="77777777" w:rsidR="00AF49EC" w:rsidRDefault="00AF49EC" w:rsidP="00AF49EC">
      <w:pPr>
        <w:pStyle w:val="ParaNumbering"/>
      </w:pPr>
      <w:r>
        <w:t xml:space="preserve">Paragraph 6 of Form 509H is as follows: </w:t>
      </w:r>
    </w:p>
    <w:p w14:paraId="75DFAF71" w14:textId="240C9988" w:rsidR="00170215" w:rsidRDefault="00AF49EC" w:rsidP="00170215">
      <w:pPr>
        <w:pStyle w:val="Quote1"/>
      </w:pPr>
      <w:r w:rsidRPr="009204FE">
        <w:lastRenderedPageBreak/>
        <w:t>The address of the creditor for service of copies of any application and affidavit is (insert the address for service of the documents in the State or Territory in which the demand is served on the company, being, if solicitors are acting for the creditor, the address of the solicitors).</w:t>
      </w:r>
    </w:p>
    <w:p w14:paraId="31510B35" w14:textId="085432B9" w:rsidR="00706106" w:rsidRDefault="00706106" w:rsidP="00706106">
      <w:pPr>
        <w:pStyle w:val="Heading2"/>
      </w:pPr>
      <w:r>
        <w:t>Application to set aside a statutory demand</w:t>
      </w:r>
    </w:p>
    <w:p w14:paraId="6071E273" w14:textId="132DA657" w:rsidR="0096134E" w:rsidRDefault="004860A1" w:rsidP="004860A1">
      <w:pPr>
        <w:pStyle w:val="ParaNumbering"/>
      </w:pPr>
      <w:r>
        <w:t xml:space="preserve">Section 459G </w:t>
      </w:r>
      <w:r w:rsidR="00E07CA3">
        <w:t>is situated in Chapter 5 (External Administration</w:t>
      </w:r>
      <w:r w:rsidR="0096134E">
        <w:t>), P</w:t>
      </w:r>
      <w:r w:rsidR="00E07CA3">
        <w:t>art 5.4, Division 3 (Application to set aside a statutory demand)</w:t>
      </w:r>
      <w:r>
        <w:t xml:space="preserve"> </w:t>
      </w:r>
      <w:r w:rsidR="00E07CA3">
        <w:t xml:space="preserve">of the Corporations Act. </w:t>
      </w:r>
    </w:p>
    <w:p w14:paraId="59C78EE7" w14:textId="632A14EE" w:rsidR="004860A1" w:rsidRDefault="00E07CA3" w:rsidP="004860A1">
      <w:pPr>
        <w:pStyle w:val="ParaNumbering"/>
      </w:pPr>
      <w:r>
        <w:t xml:space="preserve">Section 459G </w:t>
      </w:r>
      <w:r w:rsidR="004860A1">
        <w:t xml:space="preserve">provides: </w:t>
      </w:r>
    </w:p>
    <w:p w14:paraId="57C20A16" w14:textId="77777777" w:rsidR="004860A1" w:rsidRPr="004860A1" w:rsidRDefault="004860A1" w:rsidP="004860A1">
      <w:pPr>
        <w:pStyle w:val="Quote1"/>
        <w:rPr>
          <w:b/>
        </w:rPr>
      </w:pPr>
      <w:r w:rsidRPr="004860A1">
        <w:rPr>
          <w:b/>
        </w:rPr>
        <w:t>Company may apply</w:t>
      </w:r>
    </w:p>
    <w:p w14:paraId="4A09C37C" w14:textId="77777777" w:rsidR="00637A90" w:rsidRDefault="004860A1" w:rsidP="00637A90">
      <w:pPr>
        <w:pStyle w:val="Quote1"/>
        <w:numPr>
          <w:ilvl w:val="0"/>
          <w:numId w:val="30"/>
        </w:numPr>
      </w:pPr>
      <w:r>
        <w:t>A company may apply to the Court for an order setting aside a statutory demand served on the company.</w:t>
      </w:r>
    </w:p>
    <w:p w14:paraId="739D4F8C" w14:textId="77777777" w:rsidR="00637A90" w:rsidRDefault="004860A1" w:rsidP="00637A90">
      <w:pPr>
        <w:pStyle w:val="Quote1"/>
        <w:numPr>
          <w:ilvl w:val="0"/>
          <w:numId w:val="30"/>
        </w:numPr>
      </w:pPr>
      <w:r>
        <w:t>An application may only be made within the statutory period after the demand is so served.</w:t>
      </w:r>
    </w:p>
    <w:p w14:paraId="7501B673" w14:textId="77777777" w:rsidR="00637A90" w:rsidRDefault="004860A1" w:rsidP="00637A90">
      <w:pPr>
        <w:pStyle w:val="Quote1"/>
        <w:numPr>
          <w:ilvl w:val="0"/>
          <w:numId w:val="30"/>
        </w:numPr>
      </w:pPr>
      <w:r>
        <w:t>An application is made in accordance with this section only if, within that period:</w:t>
      </w:r>
    </w:p>
    <w:p w14:paraId="5DC15F13" w14:textId="00D4E2EE" w:rsidR="00637A90" w:rsidRDefault="00637A90" w:rsidP="007E6103">
      <w:pPr>
        <w:pStyle w:val="Quote2"/>
        <w:ind w:left="2160" w:hanging="720"/>
      </w:pPr>
      <w:r>
        <w:t xml:space="preserve">(a) </w:t>
      </w:r>
      <w:r w:rsidR="007E6103">
        <w:tab/>
      </w:r>
      <w:r w:rsidR="004860A1">
        <w:t>an affidavit supporting the application is filed with the Court; and</w:t>
      </w:r>
    </w:p>
    <w:p w14:paraId="5E693B22" w14:textId="5EDF7149" w:rsidR="004860A1" w:rsidRDefault="007E6103" w:rsidP="007E6103">
      <w:pPr>
        <w:pStyle w:val="Quote2"/>
        <w:ind w:left="2160" w:hanging="720"/>
      </w:pPr>
      <w:r>
        <w:t xml:space="preserve">(b) </w:t>
      </w:r>
      <w:r w:rsidR="00637A90">
        <w:tab/>
      </w:r>
      <w:r w:rsidR="004860A1">
        <w:t>a copy of the application, and a copy of the supporting affidavit, are served on the person who served the demand on the company.</w:t>
      </w:r>
    </w:p>
    <w:p w14:paraId="65FF33FC" w14:textId="7EE6342A" w:rsidR="00706106" w:rsidRDefault="00706106" w:rsidP="00706106">
      <w:pPr>
        <w:pStyle w:val="Heading3"/>
      </w:pPr>
      <w:r>
        <w:t>Service</w:t>
      </w:r>
    </w:p>
    <w:p w14:paraId="4C8C9F73" w14:textId="47371C3C" w:rsidR="00706106" w:rsidRDefault="00706106" w:rsidP="00706106">
      <w:pPr>
        <w:pStyle w:val="ParaNumbering"/>
      </w:pPr>
      <w:r>
        <w:t xml:space="preserve">The burden of proof lies with the party upon which the demands were served to establish that service was effected in a manner satisfying s 459G: </w:t>
      </w:r>
      <w:proofErr w:type="spellStart"/>
      <w:r>
        <w:rPr>
          <w:i/>
        </w:rPr>
        <w:t>Jin</w:t>
      </w:r>
      <w:proofErr w:type="spellEnd"/>
      <w:r>
        <w:rPr>
          <w:i/>
        </w:rPr>
        <w:t xml:space="preserve"> </w:t>
      </w:r>
      <w:proofErr w:type="spellStart"/>
      <w:r>
        <w:rPr>
          <w:i/>
        </w:rPr>
        <w:t>Xie</w:t>
      </w:r>
      <w:proofErr w:type="spellEnd"/>
      <w:r>
        <w:t xml:space="preserve"> at </w:t>
      </w:r>
      <w:r w:rsidR="00E82A73">
        <w:t xml:space="preserve">283 </w:t>
      </w:r>
      <w:r>
        <w:t>[6]</w:t>
      </w:r>
      <w:r w:rsidR="00E76270">
        <w:t xml:space="preserve"> (Barrett J)</w:t>
      </w:r>
      <w:r>
        <w:t xml:space="preserve">. </w:t>
      </w:r>
    </w:p>
    <w:p w14:paraId="060E8263" w14:textId="6DD1EC0D" w:rsidR="00637A90" w:rsidRDefault="00637A90" w:rsidP="00637A90">
      <w:pPr>
        <w:pStyle w:val="ParaNumbering"/>
      </w:pPr>
      <w:r>
        <w:t xml:space="preserve">The 21 day time limit for service imposed by s 459G(2) and (3) is strict and immutable: </w:t>
      </w:r>
      <w:r w:rsidRPr="00704F4C">
        <w:rPr>
          <w:i/>
        </w:rPr>
        <w:t>David Grant</w:t>
      </w:r>
      <w:r w:rsidRPr="00637A90">
        <w:rPr>
          <w:i/>
        </w:rPr>
        <w:t xml:space="preserve"> </w:t>
      </w:r>
      <w:r w:rsidR="00137156">
        <w:t>at 278 (</w:t>
      </w:r>
      <w:proofErr w:type="spellStart"/>
      <w:r w:rsidR="00137156">
        <w:t>Gummow</w:t>
      </w:r>
      <w:proofErr w:type="spellEnd"/>
      <w:r w:rsidR="00137156">
        <w:t> </w:t>
      </w:r>
      <w:r w:rsidR="00CA0A13">
        <w:t>J)</w:t>
      </w:r>
      <w:r>
        <w:t xml:space="preserve">; </w:t>
      </w:r>
      <w:proofErr w:type="spellStart"/>
      <w:r w:rsidRPr="00704F4C">
        <w:rPr>
          <w:i/>
        </w:rPr>
        <w:t>Jin</w:t>
      </w:r>
      <w:proofErr w:type="spellEnd"/>
      <w:r w:rsidRPr="00704F4C">
        <w:rPr>
          <w:i/>
        </w:rPr>
        <w:t xml:space="preserve"> </w:t>
      </w:r>
      <w:proofErr w:type="spellStart"/>
      <w:r w:rsidRPr="00704F4C">
        <w:rPr>
          <w:i/>
        </w:rPr>
        <w:t>Xie</w:t>
      </w:r>
      <w:proofErr w:type="spellEnd"/>
      <w:r w:rsidRPr="00637A90">
        <w:rPr>
          <w:i/>
        </w:rPr>
        <w:t xml:space="preserve"> </w:t>
      </w:r>
      <w:r>
        <w:t xml:space="preserve">at </w:t>
      </w:r>
      <w:r w:rsidR="000B0980">
        <w:t xml:space="preserve">283 </w:t>
      </w:r>
      <w:r>
        <w:t>[5]</w:t>
      </w:r>
      <w:r w:rsidR="00CA0A13">
        <w:t xml:space="preserve"> (Barrett J). </w:t>
      </w:r>
    </w:p>
    <w:p w14:paraId="513748F6" w14:textId="5CE0237B" w:rsidR="00706106" w:rsidRDefault="00706106" w:rsidP="001E3444">
      <w:pPr>
        <w:pStyle w:val="ParaNumbering"/>
      </w:pPr>
      <w:r>
        <w:t xml:space="preserve">Section 459G does not define what constitutes service. The term is not defined in s 9 of the Corporations Act. </w:t>
      </w:r>
    </w:p>
    <w:p w14:paraId="2EC5F0DA" w14:textId="6D2CE4B3" w:rsidR="00706106" w:rsidRDefault="00706106" w:rsidP="00706106">
      <w:pPr>
        <w:pStyle w:val="ParaNumbering"/>
      </w:pPr>
      <w:r>
        <w:t>The meaning of service in the context of s</w:t>
      </w:r>
      <w:r w:rsidR="00E76270">
        <w:t xml:space="preserve"> </w:t>
      </w:r>
      <w:r>
        <w:t xml:space="preserve">459G was considered by Young J (as his Honour then was) in </w:t>
      </w:r>
      <w:proofErr w:type="spellStart"/>
      <w:r w:rsidRPr="00E82A73">
        <w:rPr>
          <w:b/>
          <w:i/>
        </w:rPr>
        <w:t>Howship</w:t>
      </w:r>
      <w:proofErr w:type="spellEnd"/>
      <w:r w:rsidRPr="00E82A73">
        <w:rPr>
          <w:b/>
          <w:i/>
        </w:rPr>
        <w:t xml:space="preserve"> Holdings</w:t>
      </w:r>
      <w:r w:rsidRPr="00D960EB">
        <w:rPr>
          <w:i/>
        </w:rPr>
        <w:t xml:space="preserve"> Pty Ltd v Leslie</w:t>
      </w:r>
      <w:r>
        <w:t xml:space="preserve"> </w:t>
      </w:r>
      <w:r w:rsidR="00544822">
        <w:t xml:space="preserve">[1996] NSWSC 314; </w:t>
      </w:r>
      <w:r>
        <w:t>41 NSWLR 542 at 544 as follows:</w:t>
      </w:r>
    </w:p>
    <w:p w14:paraId="7AB5A6A5" w14:textId="60F7F1EB" w:rsidR="00706106" w:rsidRPr="004860A1" w:rsidRDefault="00706106" w:rsidP="00706106">
      <w:pPr>
        <w:pStyle w:val="Quote1"/>
      </w:pPr>
      <w:r>
        <w:t>Section 459G itself does not deal with what is service. The ordinary meaning of “service” is personal service, and personal service merely means that the document in question must come to the notice of the person for whom it is intended. The means by which that person obtains the document are usually immaterial</w:t>
      </w:r>
      <w:r w:rsidR="007E417C">
        <w:t>…</w:t>
      </w:r>
    </w:p>
    <w:p w14:paraId="75EBD956" w14:textId="6546AB3E" w:rsidR="00706106" w:rsidRDefault="00AD2019" w:rsidP="001F1054">
      <w:pPr>
        <w:pStyle w:val="ParaNumbering"/>
      </w:pPr>
      <w:r>
        <w:t>P</w:t>
      </w:r>
      <w:r w:rsidR="00706106">
        <w:t xml:space="preserve">rovisions </w:t>
      </w:r>
      <w:r>
        <w:t>which provide</w:t>
      </w:r>
      <w:r w:rsidR="00706106">
        <w:t xml:space="preserve"> for a mode of service of documents on natural persons (s 28A of the </w:t>
      </w:r>
      <w:r w:rsidR="00706106" w:rsidRPr="00706106">
        <w:rPr>
          <w:b/>
          <w:i/>
        </w:rPr>
        <w:t xml:space="preserve">Acts Interpretation Act </w:t>
      </w:r>
      <w:r w:rsidR="00706106" w:rsidRPr="00706106">
        <w:rPr>
          <w:i/>
        </w:rPr>
        <w:t xml:space="preserve">1901 </w:t>
      </w:r>
      <w:r w:rsidR="00706106">
        <w:t>(</w:t>
      </w:r>
      <w:proofErr w:type="spellStart"/>
      <w:r w:rsidR="00706106">
        <w:t>Cth</w:t>
      </w:r>
      <w:proofErr w:type="spellEnd"/>
      <w:r w:rsidR="00706106">
        <w:t xml:space="preserve">)) </w:t>
      </w:r>
      <w:r w:rsidR="00170215">
        <w:t xml:space="preserve">and </w:t>
      </w:r>
      <w:r w:rsidR="00221831">
        <w:t>companies</w:t>
      </w:r>
      <w:r>
        <w:t xml:space="preserve"> (s 28A</w:t>
      </w:r>
      <w:r w:rsidR="007E417C">
        <w:t xml:space="preserve"> of the</w:t>
      </w:r>
      <w:r>
        <w:t xml:space="preserve"> </w:t>
      </w:r>
      <w:r w:rsidRPr="00AD2019">
        <w:t>Acts Interpretation Act</w:t>
      </w:r>
      <w:r>
        <w:t xml:space="preserve"> and s 109X of the Corporations Act) are facultative not mandatory</w:t>
      </w:r>
      <w:r w:rsidR="00221831">
        <w:t>. I</w:t>
      </w:r>
      <w:r>
        <w:t>n respect of s</w:t>
      </w:r>
      <w:r w:rsidR="00706106">
        <w:t xml:space="preserve"> </w:t>
      </w:r>
      <w:r>
        <w:t>28A</w:t>
      </w:r>
      <w:r w:rsidR="007E417C">
        <w:t xml:space="preserve"> of the</w:t>
      </w:r>
      <w:r>
        <w:t xml:space="preserve"> </w:t>
      </w:r>
      <w:r w:rsidR="00706106" w:rsidRPr="00AD2019">
        <w:t xml:space="preserve">Acts </w:t>
      </w:r>
      <w:r w:rsidR="00706106" w:rsidRPr="00AD2019">
        <w:lastRenderedPageBreak/>
        <w:t>Interpretation Act</w:t>
      </w:r>
      <w:r w:rsidR="00706106">
        <w:t xml:space="preserve"> </w:t>
      </w:r>
      <w:r>
        <w:t>see</w:t>
      </w:r>
      <w:r w:rsidR="00706106">
        <w:t xml:space="preserve"> </w:t>
      </w:r>
      <w:r w:rsidR="00706106" w:rsidRPr="00AD2019">
        <w:rPr>
          <w:i/>
        </w:rPr>
        <w:t>Deputy Commissioner of Taxation v ABW Design and Construction Pty Ltd</w:t>
      </w:r>
      <w:r w:rsidR="00706106" w:rsidRPr="008160C5">
        <w:t xml:space="preserve"> [2012] FCA 346; 203 FCR 70 at 76 [20] (Logan J)</w:t>
      </w:r>
      <w:r w:rsidR="00221831">
        <w:t>. I</w:t>
      </w:r>
      <w:r>
        <w:t>n respect of s 109X of the Corporations Act see</w:t>
      </w:r>
      <w:r w:rsidR="001F1054">
        <w:t xml:space="preserve"> </w:t>
      </w:r>
      <w:proofErr w:type="spellStart"/>
      <w:r w:rsidR="001F1054" w:rsidRPr="001F1054">
        <w:rPr>
          <w:i/>
        </w:rPr>
        <w:t>Intelogent</w:t>
      </w:r>
      <w:proofErr w:type="spellEnd"/>
      <w:r w:rsidR="001F1054" w:rsidRPr="001F1054">
        <w:rPr>
          <w:i/>
        </w:rPr>
        <w:t xml:space="preserve"> Pty Ltd v </w:t>
      </w:r>
      <w:proofErr w:type="spellStart"/>
      <w:r w:rsidR="001F1054" w:rsidRPr="001F1054">
        <w:rPr>
          <w:i/>
        </w:rPr>
        <w:t>Onthego</w:t>
      </w:r>
      <w:proofErr w:type="spellEnd"/>
      <w:r w:rsidR="001F1054" w:rsidRPr="001F1054">
        <w:rPr>
          <w:i/>
        </w:rPr>
        <w:t xml:space="preserve"> Group Pty Ltd</w:t>
      </w:r>
      <w:r w:rsidR="001F1054" w:rsidRPr="001F1054">
        <w:t xml:space="preserve"> [2021] FCA 257 </w:t>
      </w:r>
      <w:r w:rsidR="001F1054">
        <w:t>at [33]</w:t>
      </w:r>
      <w:r w:rsidR="007E417C">
        <w:t xml:space="preserve"> </w:t>
      </w:r>
      <w:r w:rsidR="001F1054">
        <w:t>-</w:t>
      </w:r>
      <w:r w:rsidR="007E417C">
        <w:t xml:space="preserve"> </w:t>
      </w:r>
      <w:r w:rsidR="001F1054">
        <w:t>[38] and the authorities cited therein</w:t>
      </w:r>
      <w:r w:rsidR="00221831">
        <w:t xml:space="preserve"> </w:t>
      </w:r>
      <w:r w:rsidR="001F1054">
        <w:t>(Farrell J)</w:t>
      </w:r>
      <w:r w:rsidR="00706106" w:rsidRPr="008160C5">
        <w:t>.</w:t>
      </w:r>
      <w:r w:rsidR="00706106">
        <w:t xml:space="preserve"> </w:t>
      </w:r>
    </w:p>
    <w:p w14:paraId="637B7AEB" w14:textId="643408CD" w:rsidR="002F0252" w:rsidRDefault="00BC75EF" w:rsidP="002F0252">
      <w:pPr>
        <w:pStyle w:val="ParaNumbering"/>
      </w:pPr>
      <w:bookmarkStart w:id="22" w:name="_Ref101811133"/>
      <w:r>
        <w:t>Other</w:t>
      </w:r>
      <w:r w:rsidR="002F0252">
        <w:t xml:space="preserve"> means of service may be adopted, and if those other means result in the documents arriving at the nominated address within the statutory period then valid service will have been effected. What is critical is the result which is achieved by the plaintiff’s efforts, not the manner by which that result has been achieved: </w:t>
      </w:r>
      <w:proofErr w:type="spellStart"/>
      <w:r w:rsidR="002F0252" w:rsidRPr="00AE3B20">
        <w:rPr>
          <w:b/>
          <w:i/>
        </w:rPr>
        <w:t>Newsnet</w:t>
      </w:r>
      <w:proofErr w:type="spellEnd"/>
      <w:r w:rsidR="002F0252">
        <w:rPr>
          <w:i/>
        </w:rPr>
        <w:t xml:space="preserve"> Pty Ltd v Patching </w:t>
      </w:r>
      <w:r w:rsidR="002F0252">
        <w:t>[2011] NSWSC 690; 81 NSWLR 104</w:t>
      </w:r>
      <w:r w:rsidR="002F0252" w:rsidRPr="005C3CD4">
        <w:rPr>
          <w:i/>
        </w:rPr>
        <w:t xml:space="preserve"> </w:t>
      </w:r>
      <w:r w:rsidR="002F0252">
        <w:t xml:space="preserve">at </w:t>
      </w:r>
      <w:r w:rsidR="00544822">
        <w:t xml:space="preserve">112 – 113 </w:t>
      </w:r>
      <w:r w:rsidR="002F0252">
        <w:t xml:space="preserve">[30] (White J, as his Honour then was); </w:t>
      </w:r>
      <w:r w:rsidR="002F0252" w:rsidRPr="00045019">
        <w:rPr>
          <w:b/>
          <w:i/>
        </w:rPr>
        <w:t>Seventh Cameo Nominees</w:t>
      </w:r>
      <w:r w:rsidR="002F0252" w:rsidRPr="005C3CD4">
        <w:rPr>
          <w:i/>
        </w:rPr>
        <w:t xml:space="preserve"> Ltd v </w:t>
      </w:r>
      <w:proofErr w:type="spellStart"/>
      <w:r w:rsidR="002F0252" w:rsidRPr="005C3CD4">
        <w:rPr>
          <w:i/>
        </w:rPr>
        <w:t>Holdway</w:t>
      </w:r>
      <w:proofErr w:type="spellEnd"/>
      <w:r w:rsidR="002F0252" w:rsidRPr="005C3CD4">
        <w:rPr>
          <w:i/>
        </w:rPr>
        <w:t xml:space="preserve"> Pty Ltd </w:t>
      </w:r>
      <w:r w:rsidR="002F0252">
        <w:t xml:space="preserve">(Supreme Court of Victoria 24 April 1998, unreported, </w:t>
      </w:r>
      <w:proofErr w:type="spellStart"/>
      <w:r w:rsidR="002F0252">
        <w:t>Chernov</w:t>
      </w:r>
      <w:proofErr w:type="spellEnd"/>
      <w:r w:rsidR="002F0252">
        <w:t xml:space="preserve"> J); </w:t>
      </w:r>
      <w:r w:rsidR="002F0252" w:rsidRPr="00AE3B20">
        <w:rPr>
          <w:b/>
          <w:i/>
        </w:rPr>
        <w:t>SGR Pastoral</w:t>
      </w:r>
      <w:r w:rsidR="002F0252">
        <w:rPr>
          <w:i/>
        </w:rPr>
        <w:t xml:space="preserve"> </w:t>
      </w:r>
      <w:r w:rsidR="002F0252" w:rsidRPr="00F33AC4">
        <w:rPr>
          <w:i/>
        </w:rPr>
        <w:t>Pty Ltd v Christensen</w:t>
      </w:r>
      <w:r w:rsidR="002F0252">
        <w:t xml:space="preserve"> [2019] QSC 229</w:t>
      </w:r>
      <w:r w:rsidR="004D19CF">
        <w:t>; 2 QR 334</w:t>
      </w:r>
      <w:r w:rsidR="002F0252" w:rsidRPr="005C3CD4">
        <w:rPr>
          <w:i/>
        </w:rPr>
        <w:t xml:space="preserve"> </w:t>
      </w:r>
      <w:r w:rsidR="002F0252">
        <w:t>at [23] (</w:t>
      </w:r>
      <w:proofErr w:type="spellStart"/>
      <w:r w:rsidR="002F0252">
        <w:t>Bowskill</w:t>
      </w:r>
      <w:proofErr w:type="spellEnd"/>
      <w:r w:rsidR="002F0252">
        <w:t xml:space="preserve"> J, as her Honour, the Chief Justice then was).</w:t>
      </w:r>
      <w:r>
        <w:t xml:space="preserve"> In </w:t>
      </w:r>
      <w:r w:rsidRPr="00BA20BB">
        <w:rPr>
          <w:i/>
        </w:rPr>
        <w:t>SGR Pastoral</w:t>
      </w:r>
      <w:r>
        <w:t xml:space="preserve">, </w:t>
      </w:r>
      <w:proofErr w:type="spellStart"/>
      <w:r>
        <w:t>Bowskill</w:t>
      </w:r>
      <w:proofErr w:type="spellEnd"/>
      <w:r>
        <w:t xml:space="preserve"> J rejected a submission advanced by the creditor that personal service of the s 459G application on the creditors’ nominated agent is required, describing the submission (at [19]) as both counter-intuitive and inconsistent with authority, including </w:t>
      </w:r>
      <w:proofErr w:type="spellStart"/>
      <w:r w:rsidRPr="00BA20BB">
        <w:rPr>
          <w:i/>
        </w:rPr>
        <w:t>Newsnet</w:t>
      </w:r>
      <w:proofErr w:type="spellEnd"/>
      <w:r w:rsidRPr="009D3FCA">
        <w:t>,</w:t>
      </w:r>
      <w:r w:rsidRPr="00BA20BB">
        <w:rPr>
          <w:i/>
        </w:rPr>
        <w:t xml:space="preserve"> </w:t>
      </w:r>
      <w:r w:rsidR="00B429B3" w:rsidRPr="0030661A">
        <w:rPr>
          <w:b/>
          <w:i/>
        </w:rPr>
        <w:t>Rochester Communications</w:t>
      </w:r>
      <w:r w:rsidR="00B429B3" w:rsidRPr="0030661A">
        <w:rPr>
          <w:i/>
        </w:rPr>
        <w:t xml:space="preserve"> Group Pty Ltd v </w:t>
      </w:r>
      <w:proofErr w:type="spellStart"/>
      <w:r w:rsidR="00B429B3" w:rsidRPr="0030661A">
        <w:rPr>
          <w:i/>
        </w:rPr>
        <w:t>Lader</w:t>
      </w:r>
      <w:proofErr w:type="spellEnd"/>
      <w:r w:rsidR="00B429B3" w:rsidRPr="0030661A">
        <w:rPr>
          <w:i/>
        </w:rPr>
        <w:t xml:space="preserve"> Pty Ltd</w:t>
      </w:r>
      <w:r w:rsidR="00B429B3">
        <w:t xml:space="preserve"> (1997) 143 ALR 648; 15 ACLC 570 </w:t>
      </w:r>
      <w:r>
        <w:t>and</w:t>
      </w:r>
      <w:r w:rsidRPr="00BA20BB">
        <w:rPr>
          <w:i/>
        </w:rPr>
        <w:t xml:space="preserve"> </w:t>
      </w:r>
      <w:r w:rsidR="00B429B3" w:rsidRPr="0030661A">
        <w:rPr>
          <w:i/>
        </w:rPr>
        <w:t xml:space="preserve">In the matter of </w:t>
      </w:r>
      <w:r w:rsidR="00B429B3" w:rsidRPr="0030661A">
        <w:rPr>
          <w:b/>
          <w:i/>
        </w:rPr>
        <w:t>World Square Realty</w:t>
      </w:r>
      <w:r w:rsidR="00B429B3" w:rsidRPr="0030661A">
        <w:rPr>
          <w:i/>
        </w:rPr>
        <w:t xml:space="preserve"> Pty Ltd</w:t>
      </w:r>
      <w:r w:rsidR="00B429B3">
        <w:t xml:space="preserve"> [2013] NSWSC 307</w:t>
      </w:r>
      <w:r>
        <w:t>.</w:t>
      </w:r>
      <w:bookmarkEnd w:id="22"/>
      <w:r>
        <w:t xml:space="preserve"> </w:t>
      </w:r>
      <w:r w:rsidR="002F0252">
        <w:t xml:space="preserve"> </w:t>
      </w:r>
    </w:p>
    <w:p w14:paraId="6A0FF509" w14:textId="645AB113" w:rsidR="002F0252" w:rsidRDefault="002F0252" w:rsidP="0030661A">
      <w:pPr>
        <w:pStyle w:val="ParaNumbering"/>
      </w:pPr>
      <w:bookmarkStart w:id="23" w:name="_Ref101811142"/>
      <w:r>
        <w:t>Notwithstanding that the s 459G application is an originating process of the Court to which formal rules of service otherwise apply, personal service is not required:</w:t>
      </w:r>
      <w:r w:rsidRPr="007A6399">
        <w:rPr>
          <w:i/>
        </w:rPr>
        <w:t xml:space="preserve"> </w:t>
      </w:r>
      <w:r w:rsidRPr="007A6399">
        <w:rPr>
          <w:b/>
          <w:i/>
        </w:rPr>
        <w:t xml:space="preserve">Players </w:t>
      </w:r>
      <w:r w:rsidRPr="007A6399">
        <w:rPr>
          <w:i/>
        </w:rPr>
        <w:t>Pty Ltd v Interior Projects Pty Ltd</w:t>
      </w:r>
      <w:r>
        <w:t xml:space="preserve"> (1996)</w:t>
      </w:r>
      <w:r w:rsidR="001C64E6">
        <w:t xml:space="preserve"> 133 FLR 265;</w:t>
      </w:r>
      <w:r>
        <w:t xml:space="preserve"> </w:t>
      </w:r>
      <w:r w:rsidR="005B3654">
        <w:t xml:space="preserve">14 ACLC 918 </w:t>
      </w:r>
      <w:r w:rsidR="00F13643">
        <w:t xml:space="preserve">at </w:t>
      </w:r>
      <w:r w:rsidR="005B3654">
        <w:t>922 - 923</w:t>
      </w:r>
      <w:r>
        <w:t xml:space="preserve"> </w:t>
      </w:r>
      <w:r w:rsidR="005B3654">
        <w:t>(</w:t>
      </w:r>
      <w:r>
        <w:t>Lander J</w:t>
      </w:r>
      <w:r w:rsidR="005B3654">
        <w:t>)</w:t>
      </w:r>
      <w:r>
        <w:t xml:space="preserve">; </w:t>
      </w:r>
      <w:r w:rsidRPr="00AE3B20">
        <w:rPr>
          <w:i/>
        </w:rPr>
        <w:t>SGR Pastoral</w:t>
      </w:r>
      <w:r w:rsidRPr="00F33AC4">
        <w:rPr>
          <w:i/>
        </w:rPr>
        <w:t xml:space="preserve"> </w:t>
      </w:r>
      <w:r>
        <w:t xml:space="preserve">at [18] </w:t>
      </w:r>
      <w:r w:rsidR="005B3654">
        <w:t>(</w:t>
      </w:r>
      <w:proofErr w:type="spellStart"/>
      <w:r>
        <w:t>Bowskill</w:t>
      </w:r>
      <w:proofErr w:type="spellEnd"/>
      <w:r>
        <w:t xml:space="preserve"> J</w:t>
      </w:r>
      <w:r w:rsidR="005B3654">
        <w:t>)</w:t>
      </w:r>
      <w:r>
        <w:t>.</w:t>
      </w:r>
      <w:r w:rsidR="00B429B3">
        <w:t xml:space="preserve"> </w:t>
      </w:r>
      <w:r w:rsidR="001D7E9C">
        <w:t xml:space="preserve">As </w:t>
      </w:r>
      <w:r>
        <w:t xml:space="preserve">the statutory demand must nominate a place at which any </w:t>
      </w:r>
      <w:r w:rsidR="00F13643">
        <w:t>s </w:t>
      </w:r>
      <w:r>
        <w:t xml:space="preserve">459G application may be served on the creditor, the service requirement of the section is met when the documents are </w:t>
      </w:r>
      <w:r w:rsidR="0030661A">
        <w:t>served</w:t>
      </w:r>
      <w:r>
        <w:t xml:space="preserve"> to that address: </w:t>
      </w:r>
      <w:r w:rsidRPr="0030661A">
        <w:rPr>
          <w:i/>
        </w:rPr>
        <w:t xml:space="preserve">Players </w:t>
      </w:r>
      <w:r>
        <w:t xml:space="preserve">at </w:t>
      </w:r>
      <w:r w:rsidR="005B3654">
        <w:t>921</w:t>
      </w:r>
      <w:r>
        <w:t xml:space="preserve"> </w:t>
      </w:r>
      <w:r w:rsidR="004033CE">
        <w:t>(</w:t>
      </w:r>
      <w:r>
        <w:t>Lander J</w:t>
      </w:r>
      <w:r w:rsidR="004033CE">
        <w:t>)</w:t>
      </w:r>
      <w:r>
        <w:t xml:space="preserve">; </w:t>
      </w:r>
      <w:r w:rsidR="00A2643B">
        <w:t xml:space="preserve">approved in </w:t>
      </w:r>
      <w:r w:rsidRPr="00C30A60">
        <w:rPr>
          <w:i/>
        </w:rPr>
        <w:t>Rochester Communications</w:t>
      </w:r>
      <w:r w:rsidRPr="0030661A">
        <w:rPr>
          <w:i/>
        </w:rPr>
        <w:t xml:space="preserve"> </w:t>
      </w:r>
      <w:r>
        <w:t>at</w:t>
      </w:r>
      <w:r w:rsidR="004033CE">
        <w:t xml:space="preserve"> 589 (</w:t>
      </w:r>
      <w:r>
        <w:t>Beaumont J</w:t>
      </w:r>
      <w:r w:rsidR="004033CE">
        <w:t>)</w:t>
      </w:r>
      <w:r>
        <w:t xml:space="preserve"> and </w:t>
      </w:r>
      <w:r w:rsidR="004033CE">
        <w:t>599 - 600 (</w:t>
      </w:r>
      <w:r>
        <w:t>Moore J</w:t>
      </w:r>
      <w:r w:rsidR="004033CE">
        <w:t>)</w:t>
      </w:r>
      <w:r>
        <w:t>;</w:t>
      </w:r>
      <w:r w:rsidRPr="0030661A">
        <w:rPr>
          <w:b/>
          <w:i/>
        </w:rPr>
        <w:t xml:space="preserve"> </w:t>
      </w:r>
      <w:r w:rsidRPr="0030661A">
        <w:rPr>
          <w:i/>
        </w:rPr>
        <w:t xml:space="preserve">SGR Pastoral </w:t>
      </w:r>
      <w:r>
        <w:t xml:space="preserve">at [17], [21] </w:t>
      </w:r>
      <w:r w:rsidR="004033CE">
        <w:t>(</w:t>
      </w:r>
      <w:proofErr w:type="spellStart"/>
      <w:r>
        <w:t>Bowskill</w:t>
      </w:r>
      <w:proofErr w:type="spellEnd"/>
      <w:r>
        <w:t xml:space="preserve"> J</w:t>
      </w:r>
      <w:r w:rsidR="004033CE">
        <w:t>)</w:t>
      </w:r>
      <w:r>
        <w:t xml:space="preserve">; </w:t>
      </w:r>
      <w:proofErr w:type="spellStart"/>
      <w:r w:rsidRPr="0030661A">
        <w:rPr>
          <w:i/>
        </w:rPr>
        <w:t>Newsnet</w:t>
      </w:r>
      <w:proofErr w:type="spellEnd"/>
      <w:r w:rsidRPr="0030661A">
        <w:rPr>
          <w:i/>
        </w:rPr>
        <w:t xml:space="preserve"> </w:t>
      </w:r>
      <w:r>
        <w:t xml:space="preserve">at </w:t>
      </w:r>
      <w:r w:rsidR="00F13643">
        <w:t xml:space="preserve">111 – 113 </w:t>
      </w:r>
      <w:r>
        <w:t>[23]</w:t>
      </w:r>
      <w:r w:rsidR="00AD52B6">
        <w:t xml:space="preserve"> </w:t>
      </w:r>
      <w:r>
        <w:t>-</w:t>
      </w:r>
      <w:r w:rsidR="00AD52B6">
        <w:t xml:space="preserve"> </w:t>
      </w:r>
      <w:r>
        <w:t>[30]</w:t>
      </w:r>
      <w:r w:rsidR="004033CE">
        <w:t xml:space="preserve"> (</w:t>
      </w:r>
      <w:r>
        <w:t>White J</w:t>
      </w:r>
      <w:r w:rsidR="004033CE">
        <w:t xml:space="preserve">, </w:t>
      </w:r>
      <w:r>
        <w:t xml:space="preserve">as his Honour then was); </w:t>
      </w:r>
      <w:r w:rsidRPr="00C30A60">
        <w:rPr>
          <w:i/>
        </w:rPr>
        <w:t>World Square Realty</w:t>
      </w:r>
      <w:r w:rsidRPr="0030661A">
        <w:rPr>
          <w:i/>
        </w:rPr>
        <w:t xml:space="preserve"> </w:t>
      </w:r>
      <w:r>
        <w:t xml:space="preserve">at [16] </w:t>
      </w:r>
      <w:r w:rsidR="001D7E9C">
        <w:t>(</w:t>
      </w:r>
      <w:r>
        <w:t>Brereton J</w:t>
      </w:r>
      <w:r w:rsidR="001D7E9C">
        <w:t>,</w:t>
      </w:r>
      <w:r w:rsidR="004A6386">
        <w:t xml:space="preserve"> </w:t>
      </w:r>
      <w:r>
        <w:t xml:space="preserve">as his Honour then was); </w:t>
      </w:r>
      <w:r w:rsidRPr="0030661A">
        <w:rPr>
          <w:b/>
          <w:i/>
        </w:rPr>
        <w:t>The Site Foreman</w:t>
      </w:r>
      <w:r w:rsidRPr="0030661A">
        <w:rPr>
          <w:i/>
        </w:rPr>
        <w:t xml:space="preserve"> Pty Ltd v Brand</w:t>
      </w:r>
      <w:r>
        <w:t xml:space="preserve"> [2011] NSWSC 451</w:t>
      </w:r>
      <w:r w:rsidR="001D7E9C">
        <w:t>; 81 NSWLR 96</w:t>
      </w:r>
      <w:r>
        <w:t xml:space="preserve"> at </w:t>
      </w:r>
      <w:r w:rsidR="001D7E9C">
        <w:t xml:space="preserve">102 </w:t>
      </w:r>
      <w:r>
        <w:t xml:space="preserve">[26] </w:t>
      </w:r>
      <w:r w:rsidR="001D7E9C">
        <w:t>(</w:t>
      </w:r>
      <w:r>
        <w:t>Barrett J</w:t>
      </w:r>
      <w:r w:rsidR="001D7E9C">
        <w:t>,</w:t>
      </w:r>
      <w:r w:rsidR="004A6386">
        <w:t xml:space="preserve"> </w:t>
      </w:r>
      <w:r>
        <w:t>as his Honour then was).</w:t>
      </w:r>
      <w:bookmarkEnd w:id="23"/>
    </w:p>
    <w:p w14:paraId="01384CC4" w14:textId="77777777" w:rsidR="002F0252" w:rsidRDefault="002F0252" w:rsidP="002F0252">
      <w:pPr>
        <w:pStyle w:val="Heading2"/>
      </w:pPr>
      <w:r>
        <w:t>Electronic communication</w:t>
      </w:r>
    </w:p>
    <w:p w14:paraId="67E59D4B" w14:textId="6AFD1305" w:rsidR="002F0252" w:rsidRDefault="002F0252" w:rsidP="002F0252">
      <w:pPr>
        <w:pStyle w:val="ParaNumbering"/>
      </w:pPr>
      <w:r>
        <w:t xml:space="preserve">In 2020, the Corporations Act was amended by the </w:t>
      </w:r>
      <w:r w:rsidRPr="001124D6">
        <w:rPr>
          <w:i/>
        </w:rPr>
        <w:t>Corporations Amendment (Corporate Insolvency Reforms) Act 2020</w:t>
      </w:r>
      <w:r>
        <w:t xml:space="preserve"> (</w:t>
      </w:r>
      <w:proofErr w:type="spellStart"/>
      <w:r>
        <w:t>Cth</w:t>
      </w:r>
      <w:proofErr w:type="spellEnd"/>
      <w:r>
        <w:t xml:space="preserve">) with effect from 16 December 2020 (the </w:t>
      </w:r>
      <w:r w:rsidRPr="00EC3DA6">
        <w:rPr>
          <w:b/>
        </w:rPr>
        <w:t>2020 Reforms</w:t>
      </w:r>
      <w:r>
        <w:t xml:space="preserve">). The 2020 Reforms expanded the scope for electronic communication of documents required or </w:t>
      </w:r>
      <w:r>
        <w:lastRenderedPageBreak/>
        <w:t>permitted to be given under Chapter 5 (</w:t>
      </w:r>
      <w:r w:rsidR="00AD52B6">
        <w:t>E</w:t>
      </w:r>
      <w:r>
        <w:t xml:space="preserve">xternal </w:t>
      </w:r>
      <w:r w:rsidR="00AD52B6">
        <w:t>A</w:t>
      </w:r>
      <w:r>
        <w:t xml:space="preserve">dministration). The reforms are </w:t>
      </w:r>
      <w:r w:rsidR="00F7725A">
        <w:t xml:space="preserve">facultative </w:t>
      </w:r>
      <w:r>
        <w:t xml:space="preserve">not mandatory. </w:t>
      </w:r>
    </w:p>
    <w:p w14:paraId="19886CAC" w14:textId="77777777" w:rsidR="00CC089A" w:rsidRDefault="00A2643B" w:rsidP="00E54849">
      <w:pPr>
        <w:pStyle w:val="ParaNumbering"/>
      </w:pPr>
      <w:r>
        <w:t>Prior to the 2020 Reforms, there was a divergence in the authorities as to whether service by electronic means was effective for the purpose of s 459G of the Corporations Act in circumstances where an address for electronic service of the creditor had not been nominated in the statutory demand or otherwise consented to</w:t>
      </w:r>
      <w:r w:rsidR="00A4551B">
        <w:t xml:space="preserve">. The divergence in the authorities is </w:t>
      </w:r>
      <w:r w:rsidR="00CC089A">
        <w:t xml:space="preserve">illustrated by reference to two principle cases. </w:t>
      </w:r>
    </w:p>
    <w:p w14:paraId="02612943" w14:textId="5D56A7BB" w:rsidR="00045019" w:rsidRDefault="00045019" w:rsidP="00045019">
      <w:pPr>
        <w:pStyle w:val="ParaNumbering"/>
      </w:pPr>
      <w:bookmarkStart w:id="24" w:name="_Ref101811956"/>
      <w:r>
        <w:t xml:space="preserve">First, as illustrative of the line of authority that service by electronic means is not permissible where an electronic address is not specified in the statutory demand itself, is the decision of Jagot J in </w:t>
      </w:r>
      <w:proofErr w:type="spellStart"/>
      <w:r w:rsidRPr="001A6C9B">
        <w:rPr>
          <w:b/>
          <w:i/>
        </w:rPr>
        <w:t>Opensoft</w:t>
      </w:r>
      <w:proofErr w:type="spellEnd"/>
      <w:r w:rsidRPr="001A6C9B">
        <w:rPr>
          <w:i/>
        </w:rPr>
        <w:t xml:space="preserve"> Australia Pty Ltd v Miller Street Pty Ltd</w:t>
      </w:r>
      <w:r>
        <w:t xml:space="preserve"> [2011] FCA 653, subsequently applied in </w:t>
      </w:r>
      <w:proofErr w:type="spellStart"/>
      <w:r w:rsidRPr="00BA20BB">
        <w:rPr>
          <w:b/>
          <w:i/>
        </w:rPr>
        <w:t>Sheraz</w:t>
      </w:r>
      <w:proofErr w:type="spellEnd"/>
      <w:r w:rsidRPr="00BA20BB">
        <w:rPr>
          <w:i/>
        </w:rPr>
        <w:t xml:space="preserve"> Pty Ltd v </w:t>
      </w:r>
      <w:proofErr w:type="spellStart"/>
      <w:r w:rsidRPr="00BA20BB">
        <w:rPr>
          <w:i/>
        </w:rPr>
        <w:t>Rumsley</w:t>
      </w:r>
      <w:proofErr w:type="spellEnd"/>
      <w:r w:rsidRPr="001A6C9B">
        <w:t xml:space="preserve"> [2019] FCA 493; 37 ACLC 19-018</w:t>
      </w:r>
      <w:r>
        <w:t xml:space="preserve"> at 578 [29] – [30] (Banks-Smith J). It appears that the decisions in </w:t>
      </w:r>
      <w:r w:rsidRPr="0030661A">
        <w:rPr>
          <w:i/>
        </w:rPr>
        <w:t xml:space="preserve">Players </w:t>
      </w:r>
      <w:r>
        <w:t xml:space="preserve">at 921 (Lander J); </w:t>
      </w:r>
      <w:r w:rsidRPr="001A6C9B">
        <w:rPr>
          <w:i/>
        </w:rPr>
        <w:t>Rochester Communications</w:t>
      </w:r>
      <w:r w:rsidRPr="0030661A">
        <w:rPr>
          <w:i/>
        </w:rPr>
        <w:t xml:space="preserve"> </w:t>
      </w:r>
      <w:r>
        <w:t xml:space="preserve">at 589 (Beaumont J) and 599 - 600 (Moore J) and </w:t>
      </w:r>
      <w:r w:rsidRPr="00BA20BB">
        <w:rPr>
          <w:i/>
        </w:rPr>
        <w:t>Seventh Cameo Nominees</w:t>
      </w:r>
      <w:r>
        <w:rPr>
          <w:i/>
        </w:rPr>
        <w:t xml:space="preserve"> </w:t>
      </w:r>
      <w:r>
        <w:t>at 3 – 5 (</w:t>
      </w:r>
      <w:proofErr w:type="spellStart"/>
      <w:r>
        <w:t>Chernov</w:t>
      </w:r>
      <w:proofErr w:type="spellEnd"/>
      <w:r>
        <w:t xml:space="preserve"> J) were not drawn to the Court’s attention in </w:t>
      </w:r>
      <w:proofErr w:type="spellStart"/>
      <w:r w:rsidRPr="00BA20BB">
        <w:rPr>
          <w:i/>
        </w:rPr>
        <w:t>Opensoft</w:t>
      </w:r>
      <w:proofErr w:type="spellEnd"/>
      <w:r>
        <w:t xml:space="preserve"> or </w:t>
      </w:r>
      <w:proofErr w:type="spellStart"/>
      <w:r w:rsidRPr="00BA20BB">
        <w:rPr>
          <w:i/>
        </w:rPr>
        <w:t>Sheraz</w:t>
      </w:r>
      <w:proofErr w:type="spellEnd"/>
      <w:r>
        <w:t>.</w:t>
      </w:r>
      <w:bookmarkEnd w:id="24"/>
      <w:r>
        <w:t xml:space="preserve"> </w:t>
      </w:r>
    </w:p>
    <w:p w14:paraId="2208D098" w14:textId="72023E3B" w:rsidR="00A2643B" w:rsidRDefault="00CC089A" w:rsidP="00E54849">
      <w:pPr>
        <w:pStyle w:val="ParaNumbering"/>
      </w:pPr>
      <w:r>
        <w:t xml:space="preserve">In </w:t>
      </w:r>
      <w:proofErr w:type="spellStart"/>
      <w:r w:rsidRPr="00045019">
        <w:rPr>
          <w:i/>
        </w:rPr>
        <w:t>Opensoft</w:t>
      </w:r>
      <w:proofErr w:type="spellEnd"/>
      <w:r>
        <w:t>, the address for service nominated in the statutory demand was TW Agency, at a street address in Sydney. Relevantly, on the last day of the statutory period, sealed copies of the documents, as filed, were served by email on</w:t>
      </w:r>
      <w:r w:rsidR="00E54849">
        <w:t xml:space="preserve"> first,</w:t>
      </w:r>
      <w:r>
        <w:t xml:space="preserve"> Mr </w:t>
      </w:r>
      <w:proofErr w:type="spellStart"/>
      <w:r>
        <w:t>Daoud</w:t>
      </w:r>
      <w:proofErr w:type="spellEnd"/>
      <w:r>
        <w:t xml:space="preserve">, </w:t>
      </w:r>
      <w:r w:rsidR="00E54849">
        <w:t>the principal of TW Agency,</w:t>
      </w:r>
      <w:r>
        <w:t xml:space="preserve"> and </w:t>
      </w:r>
      <w:r w:rsidR="00E54849">
        <w:t>second,</w:t>
      </w:r>
      <w:r>
        <w:t xml:space="preserve"> on a director of the creditor. Mr </w:t>
      </w:r>
      <w:proofErr w:type="spellStart"/>
      <w:r>
        <w:t>Daoud</w:t>
      </w:r>
      <w:proofErr w:type="spellEnd"/>
      <w:r>
        <w:t xml:space="preserve"> received and read the email on that day. The director of the creditor did not. It was held th</w:t>
      </w:r>
      <w:r w:rsidR="001F6069">
        <w:t xml:space="preserve">at service in this way was </w:t>
      </w:r>
      <w:r>
        <w:t xml:space="preserve">ineffective, because the statutory demand specified the address for service as the physical address of TW Agency, and not any electronic address for service, and “it is not the place of TW Agency or Mr </w:t>
      </w:r>
      <w:proofErr w:type="spellStart"/>
      <w:r>
        <w:t>Daoud</w:t>
      </w:r>
      <w:proofErr w:type="spellEnd"/>
      <w:r>
        <w:t xml:space="preserve"> as its principal to accept service by means other than those specified i</w:t>
      </w:r>
      <w:r w:rsidR="00E54849">
        <w:t xml:space="preserve">n the statutory demand itself”: </w:t>
      </w:r>
      <w:proofErr w:type="spellStart"/>
      <w:r w:rsidRPr="00045019">
        <w:rPr>
          <w:i/>
        </w:rPr>
        <w:t>Opensoft</w:t>
      </w:r>
      <w:proofErr w:type="spellEnd"/>
      <w:r>
        <w:t xml:space="preserve"> at </w:t>
      </w:r>
      <w:r w:rsidR="00E54849">
        <w:t>[54]</w:t>
      </w:r>
      <w:r>
        <w:t>.</w:t>
      </w:r>
      <w:r w:rsidR="00A4551B">
        <w:t xml:space="preserve"> </w:t>
      </w:r>
    </w:p>
    <w:p w14:paraId="59C4F385" w14:textId="41E116F6" w:rsidR="00E54849" w:rsidRDefault="00E54849" w:rsidP="00E54849">
      <w:pPr>
        <w:pStyle w:val="ParaNumbering"/>
      </w:pPr>
      <w:r>
        <w:t xml:space="preserve">The second line of authority is best illustrated by the decision of White J in </w:t>
      </w:r>
      <w:proofErr w:type="spellStart"/>
      <w:r w:rsidRPr="00045019">
        <w:rPr>
          <w:i/>
        </w:rPr>
        <w:t>Newsnet</w:t>
      </w:r>
      <w:proofErr w:type="spellEnd"/>
      <w:r w:rsidR="00D16B31">
        <w:t xml:space="preserve">, with which </w:t>
      </w:r>
      <w:proofErr w:type="spellStart"/>
      <w:r w:rsidR="00D16B31">
        <w:t>Bowskill</w:t>
      </w:r>
      <w:proofErr w:type="spellEnd"/>
      <w:r w:rsidR="00D16B31">
        <w:t xml:space="preserve"> J agreed in </w:t>
      </w:r>
      <w:r w:rsidR="00D16B31" w:rsidRPr="00045019">
        <w:rPr>
          <w:i/>
        </w:rPr>
        <w:t>SGR Pastoral</w:t>
      </w:r>
      <w:r w:rsidR="00D16B31">
        <w:t xml:space="preserve"> at [27]</w:t>
      </w:r>
      <w:r>
        <w:t xml:space="preserve">. After referring to the decision in </w:t>
      </w:r>
      <w:proofErr w:type="spellStart"/>
      <w:r w:rsidRPr="00045019">
        <w:rPr>
          <w:i/>
        </w:rPr>
        <w:t>Opensoft</w:t>
      </w:r>
      <w:proofErr w:type="spellEnd"/>
      <w:r>
        <w:t>, White J said</w:t>
      </w:r>
      <w:r w:rsidR="00D16B31">
        <w:t xml:space="preserve"> (</w:t>
      </w:r>
      <w:r w:rsidR="00D16B31" w:rsidRPr="00504786">
        <w:t>emphasis</w:t>
      </w:r>
      <w:r w:rsidRPr="00504786">
        <w:t xml:space="preserve"> </w:t>
      </w:r>
      <w:r w:rsidR="00D16B31" w:rsidRPr="00504786">
        <w:t>added)</w:t>
      </w:r>
      <w:r w:rsidRPr="00504786">
        <w:t>:</w:t>
      </w:r>
    </w:p>
    <w:p w14:paraId="39B755ED" w14:textId="498E7580" w:rsidR="00E54849" w:rsidRDefault="00E54849" w:rsidP="00504786">
      <w:pPr>
        <w:pStyle w:val="Quote1"/>
        <w:ind w:left="1276" w:hanging="567"/>
      </w:pPr>
      <w:r>
        <w:t xml:space="preserve">38 </w:t>
      </w:r>
      <w:r w:rsidR="00504786">
        <w:tab/>
      </w:r>
      <w:r>
        <w:t xml:space="preserve">Unless there is something to distinguish service by email from service by facsimile, I do not think that </w:t>
      </w:r>
      <w:r w:rsidR="00D16B31">
        <w:t>[</w:t>
      </w:r>
      <w:proofErr w:type="spellStart"/>
      <w:r w:rsidR="00D16B31">
        <w:t>Opensoft</w:t>
      </w:r>
      <w:proofErr w:type="spellEnd"/>
      <w:r w:rsidR="00D16B31">
        <w:t>]</w:t>
      </w:r>
      <w:r>
        <w:t xml:space="preserve"> can be reconciled with that of </w:t>
      </w:r>
      <w:proofErr w:type="spellStart"/>
      <w:r>
        <w:t>Chernov</w:t>
      </w:r>
      <w:proofErr w:type="spellEnd"/>
      <w:r>
        <w:t xml:space="preserve"> J in Seventh Cameo Nominees. </w:t>
      </w:r>
      <w:r w:rsidRPr="00045019">
        <w:rPr>
          <w:b/>
        </w:rPr>
        <w:t>If the electronic copy of the application and supporting affidavit reached the office of TW Agency at the address specified in the statutory demand in a form that was complete and legible, in my view the copy would have been served at that address. I do not see why it would matter that the document was in electronic, and not paper, form. It would still be a copy of the application and supporting affidavit</w:t>
      </w:r>
      <w:r>
        <w:t xml:space="preserve">. </w:t>
      </w:r>
      <w:r w:rsidRPr="00045019">
        <w:rPr>
          <w:b/>
        </w:rPr>
        <w:t xml:space="preserve">There may be issues as to whether and when an email actually reaches the </w:t>
      </w:r>
      <w:r w:rsidRPr="00045019">
        <w:rPr>
          <w:b/>
        </w:rPr>
        <w:lastRenderedPageBreak/>
        <w:t>place for service</w:t>
      </w:r>
      <w:r>
        <w:t xml:space="preserve">. Austin J discussed this question in </w:t>
      </w:r>
      <w:r w:rsidRPr="00045019">
        <w:rPr>
          <w:i/>
        </w:rPr>
        <w:t>Austar Finance v Campbell</w:t>
      </w:r>
      <w:r>
        <w:t xml:space="preserve"> </w:t>
      </w:r>
      <w:r w:rsidR="00A916C4">
        <w:t xml:space="preserve">[[2007] NSWSC 1493; (2007) 215 FLR 464] </w:t>
      </w:r>
      <w:r>
        <w:t xml:space="preserve">(at [48]). It is not necessary to express a view as to whether an email which is opened from a computer at the address for service without being printed is received at the address at which the computer is located. That will depend on the evidence. It may be that the user accesses the document stored remotely through his or her computer. </w:t>
      </w:r>
      <w:r w:rsidRPr="00045019">
        <w:rPr>
          <w:b/>
        </w:rPr>
        <w:t>If, however, the email were printed at the address for service, or if it were received in electronic form at the address for service, in my view a copy of the application and supporting affidavit would have been served at that address</w:t>
      </w:r>
      <w:r>
        <w:t>.</w:t>
      </w:r>
    </w:p>
    <w:p w14:paraId="3A7E70D7" w14:textId="33046442" w:rsidR="00E54849" w:rsidRDefault="00E54849" w:rsidP="00504786">
      <w:pPr>
        <w:pStyle w:val="Quote1"/>
        <w:ind w:left="1276" w:hanging="567"/>
      </w:pPr>
      <w:r>
        <w:t xml:space="preserve">39 </w:t>
      </w:r>
      <w:r w:rsidR="00504786">
        <w:tab/>
      </w:r>
      <w:r>
        <w:t xml:space="preserve">Jagot J [in </w:t>
      </w:r>
      <w:proofErr w:type="spellStart"/>
      <w:r>
        <w:t>Opensoft</w:t>
      </w:r>
      <w:proofErr w:type="spellEnd"/>
      <w:r>
        <w:t xml:space="preserve">] accepted the submission for the defendant that it was not the place of TW Agency to accept service by means other than those specified in the statutory demand itself. No doubt that is right, in the sense that service would have to be effected at the address for service, namely the specified place of business of TW Agency. But the creditor is required by the form of statutory demand to specify a place for service. In my view </w:t>
      </w:r>
      <w:r w:rsidRPr="00045019">
        <w:rPr>
          <w:b/>
        </w:rPr>
        <w:t>a creditor is not entitled to limit the ways in which an application to set aside the statutory demand and supporting affidavit can be delivered to the address for service.</w:t>
      </w:r>
      <w:r>
        <w:t xml:space="preserve"> </w:t>
      </w:r>
      <w:r w:rsidRPr="00045019">
        <w:rPr>
          <w:b/>
        </w:rPr>
        <w:t>Provided the documents reach the relevant place in complete and legible form, service is effective</w:t>
      </w:r>
      <w:r>
        <w:t>.</w:t>
      </w:r>
    </w:p>
    <w:p w14:paraId="49D92EF6" w14:textId="0140EFDF" w:rsidR="00D16B31" w:rsidRDefault="00D16B31" w:rsidP="00045019">
      <w:pPr>
        <w:pStyle w:val="Quote1"/>
        <w:ind w:firstLine="539"/>
      </w:pPr>
      <w:r>
        <w:t>…</w:t>
      </w:r>
    </w:p>
    <w:p w14:paraId="333EF71C" w14:textId="42C3ADA7" w:rsidR="00D16B31" w:rsidRDefault="00D16B31" w:rsidP="00504786">
      <w:pPr>
        <w:pStyle w:val="Quote1"/>
        <w:ind w:left="1276" w:hanging="567"/>
      </w:pPr>
      <w:r>
        <w:t xml:space="preserve">41 </w:t>
      </w:r>
      <w:r w:rsidR="00504786">
        <w:tab/>
      </w:r>
      <w:r>
        <w:t xml:space="preserve">I do not understand why it would be necessary for the purpose of effective service under s 459G(3)(b) that the document be actually received by the person to be served. </w:t>
      </w:r>
      <w:r w:rsidRPr="00045019">
        <w:rPr>
          <w:b/>
        </w:rPr>
        <w:t>Service at the address for service, that is, service to a place, is effective if made within time, whether or not the document is received by a person.</w:t>
      </w:r>
      <w:r>
        <w:t xml:space="preserve"> For this reason I do not accept that service by facsimile can only be effective as informal service and only becomes effective when the document is brought to the attention of a responsible officer (compare </w:t>
      </w:r>
      <w:r w:rsidRPr="00045019">
        <w:rPr>
          <w:i/>
        </w:rPr>
        <w:t xml:space="preserve">Woodgate v </w:t>
      </w:r>
      <w:proofErr w:type="spellStart"/>
      <w:r w:rsidRPr="00045019">
        <w:rPr>
          <w:i/>
        </w:rPr>
        <w:t>Garard</w:t>
      </w:r>
      <w:proofErr w:type="spellEnd"/>
      <w:r w:rsidRPr="00045019">
        <w:rPr>
          <w:i/>
        </w:rPr>
        <w:t xml:space="preserve"> Pty Ltd</w:t>
      </w:r>
      <w:r w:rsidR="00A916C4">
        <w:rPr>
          <w:i/>
        </w:rPr>
        <w:t xml:space="preserve"> </w:t>
      </w:r>
      <w:r w:rsidR="00A916C4" w:rsidRPr="00045019">
        <w:t>[</w:t>
      </w:r>
      <w:r w:rsidR="00A916C4">
        <w:t>[2010] NSWSC 508; (2010) 78 ACSR 468]</w:t>
      </w:r>
      <w:r>
        <w:t xml:space="preserve"> (at [44](v))). Nor do I accept that service at an address for service specified in the statutory demand can only be made in accordance with one of the ways prescribed by s 109X of the </w:t>
      </w:r>
      <w:r w:rsidRPr="00045019">
        <w:rPr>
          <w:i/>
        </w:rPr>
        <w:t>Corporations Act</w:t>
      </w:r>
      <w:r>
        <w:t xml:space="preserve"> (</w:t>
      </w:r>
      <w:proofErr w:type="spellStart"/>
      <w:r>
        <w:t>Cth</w:t>
      </w:r>
      <w:proofErr w:type="spellEnd"/>
      <w:r>
        <w:t xml:space="preserve">) (in the case of service on a company), r 10.21 of the </w:t>
      </w:r>
      <w:r w:rsidRPr="00045019">
        <w:rPr>
          <w:i/>
        </w:rPr>
        <w:t>Uniform Civil Procedure Rules</w:t>
      </w:r>
      <w:r>
        <w:t xml:space="preserve"> or s 28A of the </w:t>
      </w:r>
      <w:r w:rsidRPr="00045019">
        <w:rPr>
          <w:i/>
        </w:rPr>
        <w:t>Acts Interpretation Act</w:t>
      </w:r>
      <w:r>
        <w:t xml:space="preserve"> (</w:t>
      </w:r>
      <w:proofErr w:type="spellStart"/>
      <w:r>
        <w:t>Cth</w:t>
      </w:r>
      <w:proofErr w:type="spellEnd"/>
      <w:r>
        <w:t xml:space="preserve">). Those provisions are facultative, not exclusive. </w:t>
      </w:r>
    </w:p>
    <w:p w14:paraId="3813A392" w14:textId="5A252041" w:rsidR="004D19CF" w:rsidRPr="004D19CF" w:rsidRDefault="004D19CF" w:rsidP="001C64E6">
      <w:pPr>
        <w:pStyle w:val="NoNum"/>
      </w:pPr>
      <w:r>
        <w:t xml:space="preserve">This line of authority has been applied in subsequent decisions including </w:t>
      </w:r>
      <w:proofErr w:type="spellStart"/>
      <w:r>
        <w:rPr>
          <w:i/>
        </w:rPr>
        <w:t>Greenmint</w:t>
      </w:r>
      <w:proofErr w:type="spellEnd"/>
      <w:r>
        <w:rPr>
          <w:i/>
        </w:rPr>
        <w:t xml:space="preserve"> Pty Ltd v O’Keeffe </w:t>
      </w:r>
      <w:r>
        <w:t xml:space="preserve">[2015] VSC 326 at [16] – [18] (Gardiner </w:t>
      </w:r>
      <w:proofErr w:type="spellStart"/>
      <w:r>
        <w:t>AsJ</w:t>
      </w:r>
      <w:proofErr w:type="spellEnd"/>
      <w:r>
        <w:t xml:space="preserve">); </w:t>
      </w:r>
      <w:r w:rsidRPr="00BA20BB">
        <w:rPr>
          <w:i/>
        </w:rPr>
        <w:t xml:space="preserve">Chen &amp; Anor v </w:t>
      </w:r>
      <w:proofErr w:type="spellStart"/>
      <w:r w:rsidRPr="00BA20BB">
        <w:rPr>
          <w:i/>
        </w:rPr>
        <w:t>Kornucopia</w:t>
      </w:r>
      <w:proofErr w:type="spellEnd"/>
      <w:r w:rsidRPr="00BA20BB">
        <w:rPr>
          <w:i/>
        </w:rPr>
        <w:t xml:space="preserve"> Pty Ltd and </w:t>
      </w:r>
      <w:proofErr w:type="spellStart"/>
      <w:r w:rsidRPr="00BA20BB">
        <w:rPr>
          <w:i/>
        </w:rPr>
        <w:t>Ors</w:t>
      </w:r>
      <w:proofErr w:type="spellEnd"/>
      <w:r>
        <w:t xml:space="preserve"> [2019] VSC 756; </w:t>
      </w:r>
      <w:r w:rsidRPr="004D19CF">
        <w:t>349 FLR 35</w:t>
      </w:r>
      <w:r>
        <w:t xml:space="preserve"> at 64 [94] (</w:t>
      </w:r>
      <w:proofErr w:type="spellStart"/>
      <w:r>
        <w:t>Sifris</w:t>
      </w:r>
      <w:proofErr w:type="spellEnd"/>
      <w:r>
        <w:t xml:space="preserve"> J); </w:t>
      </w:r>
      <w:proofErr w:type="spellStart"/>
      <w:r>
        <w:rPr>
          <w:i/>
        </w:rPr>
        <w:t>Caason</w:t>
      </w:r>
      <w:proofErr w:type="spellEnd"/>
      <w:r>
        <w:rPr>
          <w:i/>
        </w:rPr>
        <w:t xml:space="preserve"> Investments Pty Ltd v International Litigation Partners No 3 Ltd (NO 1662762) </w:t>
      </w:r>
      <w:r>
        <w:t xml:space="preserve">[2021] VSC 487 at [35] (Gardiner </w:t>
      </w:r>
      <w:proofErr w:type="spellStart"/>
      <w:r>
        <w:t>AsJ</w:t>
      </w:r>
      <w:proofErr w:type="spellEnd"/>
      <w:r>
        <w:t xml:space="preserve">). </w:t>
      </w:r>
    </w:p>
    <w:p w14:paraId="5C523ED4" w14:textId="4AC7FEAA" w:rsidR="00D16B31" w:rsidRDefault="00F7725A" w:rsidP="0070323F">
      <w:pPr>
        <w:pStyle w:val="ParaNumbering"/>
      </w:pPr>
      <w:r>
        <w:t xml:space="preserve">In determining whether electronic communication is a permissible means of service of s 459G </w:t>
      </w:r>
      <w:r w:rsidR="0070323F">
        <w:t>originating documents</w:t>
      </w:r>
      <w:r>
        <w:t xml:space="preserve">, it is necessary to consider the amendments effected by the 2020 Reforms. As noted above, the 2020 Reforms introduced </w:t>
      </w:r>
      <w:r w:rsidR="00BC75EF">
        <w:t>facilitative</w:t>
      </w:r>
      <w:r>
        <w:t xml:space="preserve"> provisions which expanded the scope for electronic communication of documents required or permitted to be given under Chapter 5 (External Administration). </w:t>
      </w:r>
      <w:r w:rsidR="001F6069">
        <w:t>The evidentiary issue</w:t>
      </w:r>
      <w:r w:rsidR="0070323F">
        <w:t xml:space="preserve">s identified in </w:t>
      </w:r>
      <w:proofErr w:type="spellStart"/>
      <w:r w:rsidR="0070323F" w:rsidRPr="00045019">
        <w:rPr>
          <w:i/>
        </w:rPr>
        <w:t>Newsne</w:t>
      </w:r>
      <w:r w:rsidR="0070323F">
        <w:t>t</w:t>
      </w:r>
      <w:proofErr w:type="spellEnd"/>
      <w:r w:rsidR="0070323F">
        <w:t xml:space="preserve"> in respect</w:t>
      </w:r>
      <w:r w:rsidR="001F6069">
        <w:t xml:space="preserve"> of </w:t>
      </w:r>
      <w:r w:rsidR="001F6069">
        <w:lastRenderedPageBreak/>
        <w:t xml:space="preserve">determining </w:t>
      </w:r>
      <w:r>
        <w:t xml:space="preserve">the time </w:t>
      </w:r>
      <w:r w:rsidR="001F6069">
        <w:t>when</w:t>
      </w:r>
      <w:r w:rsidR="0070323F">
        <w:t>,</w:t>
      </w:r>
      <w:r w:rsidR="001F6069">
        <w:t xml:space="preserve"> and </w:t>
      </w:r>
      <w:r>
        <w:t xml:space="preserve">the place </w:t>
      </w:r>
      <w:r w:rsidR="001F6069">
        <w:t>where</w:t>
      </w:r>
      <w:r w:rsidR="0070323F">
        <w:t>,</w:t>
      </w:r>
      <w:r w:rsidR="001F6069">
        <w:t xml:space="preserve"> an email is received are</w:t>
      </w:r>
      <w:r w:rsidR="00B93857">
        <w:t xml:space="preserve"> also addressed by deeming provisions introduced by those amendments</w:t>
      </w:r>
      <w:r w:rsidR="001F6069">
        <w:t xml:space="preserve">. </w:t>
      </w:r>
    </w:p>
    <w:p w14:paraId="6ED038E3" w14:textId="2A2158A3" w:rsidR="002F0252" w:rsidRDefault="002F0252" w:rsidP="002F0252">
      <w:pPr>
        <w:pStyle w:val="ParaNumbering"/>
      </w:pPr>
      <w:r>
        <w:t>Section 600G of the Corporations Act concerns the electronic communication of documents. Section 600G is situated in Chapter 5, Part 5.9, Division 3 (Provisions applying to various kinds of external administration). Section 600G was amended as part of the 2020 Reforms.</w:t>
      </w:r>
    </w:p>
    <w:p w14:paraId="45233E52" w14:textId="77777777" w:rsidR="002F0252" w:rsidRDefault="002F0252" w:rsidP="002F0252">
      <w:pPr>
        <w:pStyle w:val="ParaNumbering"/>
      </w:pPr>
      <w:bookmarkStart w:id="25" w:name="_Ref101812004"/>
      <w:r>
        <w:t>Section 600G relevantly provides:</w:t>
      </w:r>
      <w:bookmarkEnd w:id="25"/>
    </w:p>
    <w:p w14:paraId="741AB251" w14:textId="77777777" w:rsidR="002F0252" w:rsidRPr="00906D41" w:rsidRDefault="002F0252" w:rsidP="002F0252">
      <w:pPr>
        <w:pStyle w:val="Quote1"/>
        <w:rPr>
          <w:b/>
        </w:rPr>
      </w:pPr>
      <w:r w:rsidRPr="00906D41">
        <w:rPr>
          <w:b/>
        </w:rPr>
        <w:t xml:space="preserve">Electronic communication of documents </w:t>
      </w:r>
    </w:p>
    <w:p w14:paraId="3F37C829" w14:textId="77777777" w:rsidR="002F0252" w:rsidRDefault="002F0252" w:rsidP="002F0252">
      <w:pPr>
        <w:pStyle w:val="Quote1"/>
      </w:pPr>
      <w:r>
        <w:t xml:space="preserve">(1) </w:t>
      </w:r>
      <w:r>
        <w:tab/>
        <w:t>… this section applies to any document that is:</w:t>
      </w:r>
    </w:p>
    <w:p w14:paraId="5A0694C0" w14:textId="77777777" w:rsidR="002F0252" w:rsidRDefault="002F0252" w:rsidP="007E6103">
      <w:pPr>
        <w:pStyle w:val="Quote2"/>
      </w:pPr>
      <w:r>
        <w:t xml:space="preserve">(a) </w:t>
      </w:r>
      <w:r>
        <w:tab/>
        <w:t>required or permitted to be given to a person (the recipient); or</w:t>
      </w:r>
    </w:p>
    <w:p w14:paraId="49856B02" w14:textId="77777777" w:rsidR="002F0252" w:rsidRDefault="002F0252" w:rsidP="007E6103">
      <w:pPr>
        <w:pStyle w:val="Quote2"/>
      </w:pPr>
      <w:r>
        <w:t xml:space="preserve">… </w:t>
      </w:r>
    </w:p>
    <w:p w14:paraId="1E66FCBA" w14:textId="77777777" w:rsidR="002F0252" w:rsidRDefault="002F0252" w:rsidP="007E6103">
      <w:pPr>
        <w:pStyle w:val="Quote2"/>
      </w:pPr>
      <w:r>
        <w:t>under:</w:t>
      </w:r>
    </w:p>
    <w:p w14:paraId="6FFA2C9B" w14:textId="77777777" w:rsidR="002F0252" w:rsidRDefault="002F0252" w:rsidP="007E6103">
      <w:pPr>
        <w:pStyle w:val="Quote2"/>
      </w:pPr>
      <w:r>
        <w:t xml:space="preserve">(c)  this Chapter; or </w:t>
      </w:r>
    </w:p>
    <w:p w14:paraId="6B8E299F" w14:textId="77777777" w:rsidR="002F0252" w:rsidRDefault="002F0252" w:rsidP="002F0252">
      <w:pPr>
        <w:pStyle w:val="Quote1"/>
        <w:ind w:firstLine="703"/>
      </w:pPr>
      <w:r>
        <w:t>…</w:t>
      </w:r>
    </w:p>
    <w:p w14:paraId="47DFA795" w14:textId="77777777" w:rsidR="002F0252" w:rsidRPr="007E6103" w:rsidRDefault="002F0252" w:rsidP="007E6103">
      <w:pPr>
        <w:pStyle w:val="Quote2"/>
        <w:rPr>
          <w:i/>
        </w:rPr>
      </w:pPr>
      <w:r w:rsidRPr="007E6103">
        <w:rPr>
          <w:i/>
        </w:rPr>
        <w:t>Giving a document</w:t>
      </w:r>
    </w:p>
    <w:p w14:paraId="6A2CCB7B" w14:textId="77777777" w:rsidR="002F0252" w:rsidRDefault="002F0252" w:rsidP="007E6103">
      <w:pPr>
        <w:pStyle w:val="Quote1"/>
        <w:ind w:left="1440" w:hanging="703"/>
      </w:pPr>
      <w:r>
        <w:t xml:space="preserve">(2)  </w:t>
      </w:r>
      <w:r>
        <w:tab/>
        <w:t>The document may be given to the recipient by means of an electronic communication.</w:t>
      </w:r>
    </w:p>
    <w:p w14:paraId="53870B0B" w14:textId="77777777" w:rsidR="002F0252" w:rsidRDefault="002F0252" w:rsidP="007E6103">
      <w:pPr>
        <w:pStyle w:val="Quote1"/>
        <w:ind w:left="1440" w:hanging="703"/>
      </w:pPr>
      <w:r>
        <w:t xml:space="preserve">(3)  </w:t>
      </w:r>
      <w:r>
        <w:tab/>
        <w:t>The document may be given by giving the recipient (by means of an electronic communication or otherwise) sufficient information to allow the recipient to access the document electronically.</w:t>
      </w:r>
    </w:p>
    <w:p w14:paraId="7EBF8B45" w14:textId="77777777" w:rsidR="002F0252" w:rsidRDefault="002F0252" w:rsidP="007E6103">
      <w:pPr>
        <w:pStyle w:val="Quote1"/>
        <w:ind w:left="1440" w:hanging="703"/>
      </w:pPr>
      <w:r>
        <w:t xml:space="preserve">(4)  </w:t>
      </w:r>
      <w:r>
        <w:tab/>
        <w:t>However, an electronic communication or electronic access may only be used if, at the time the electronic communication is used or information about the electronic access is given:</w:t>
      </w:r>
    </w:p>
    <w:p w14:paraId="154ED3F3" w14:textId="1F8DEA35" w:rsidR="002F0252" w:rsidRDefault="002F0252" w:rsidP="007E6103">
      <w:pPr>
        <w:pStyle w:val="Quote2"/>
        <w:ind w:left="2160" w:hanging="720"/>
      </w:pPr>
      <w:r>
        <w:t xml:space="preserve">(a) </w:t>
      </w:r>
      <w:r w:rsidR="00536335">
        <w:tab/>
      </w:r>
      <w:r>
        <w:t>it is reasonable to expect that the document would be readily accessible so as to be useable for subsequent reference; and</w:t>
      </w:r>
    </w:p>
    <w:p w14:paraId="0C25CAC0" w14:textId="4FDB259A" w:rsidR="002F0252" w:rsidRDefault="002F0252" w:rsidP="007E6103">
      <w:pPr>
        <w:pStyle w:val="Quote2"/>
        <w:ind w:left="2160" w:hanging="720"/>
      </w:pPr>
      <w:r>
        <w:t xml:space="preserve">(b) </w:t>
      </w:r>
      <w:r w:rsidR="00536335">
        <w:tab/>
      </w:r>
      <w:r>
        <w:t>there is a nominated electronic address in relation to the recipient.</w:t>
      </w:r>
    </w:p>
    <w:p w14:paraId="20DFE771" w14:textId="751B2403" w:rsidR="002F0252" w:rsidRDefault="002F0252" w:rsidP="002F0252">
      <w:pPr>
        <w:pStyle w:val="ParaNumbering"/>
      </w:pPr>
      <w:r>
        <w:t xml:space="preserve">At the same time as s 600G was amended the definitions of “document”, </w:t>
      </w:r>
      <w:r w:rsidRPr="00906D41">
        <w:t>“electronic communication”</w:t>
      </w:r>
      <w:r>
        <w:t xml:space="preserve"> and “nominated electronic address” in s 9 of Chapter 1, Part 1.2 (Interpretation) of the </w:t>
      </w:r>
      <w:r w:rsidRPr="00806A88">
        <w:t>Corporations Act</w:t>
      </w:r>
      <w:r>
        <w:t xml:space="preserve"> were amended:</w:t>
      </w:r>
    </w:p>
    <w:p w14:paraId="48BE9CA9" w14:textId="77777777" w:rsidR="002F0252" w:rsidRPr="00C94A1A" w:rsidRDefault="002F0252" w:rsidP="002F0252">
      <w:pPr>
        <w:pStyle w:val="Quote1"/>
        <w:rPr>
          <w:b/>
        </w:rPr>
      </w:pPr>
      <w:r>
        <w:rPr>
          <w:b/>
        </w:rPr>
        <w:t>Dictionary</w:t>
      </w:r>
    </w:p>
    <w:p w14:paraId="538CEB97" w14:textId="77777777" w:rsidR="002F0252" w:rsidRDefault="002F0252" w:rsidP="002F0252">
      <w:pPr>
        <w:pStyle w:val="Quote1"/>
      </w:pPr>
      <w:r w:rsidRPr="00C94A1A">
        <w:t>Unless the contrary intention appears:</w:t>
      </w:r>
    </w:p>
    <w:p w14:paraId="6036E4C8" w14:textId="77777777" w:rsidR="002F0252" w:rsidRPr="00C94A1A" w:rsidRDefault="002F0252" w:rsidP="002F0252">
      <w:pPr>
        <w:pStyle w:val="Quote1"/>
      </w:pPr>
      <w:r>
        <w:t>…</w:t>
      </w:r>
    </w:p>
    <w:p w14:paraId="34F3C032" w14:textId="77777777" w:rsidR="002F0252" w:rsidRDefault="002F0252" w:rsidP="002F0252">
      <w:pPr>
        <w:pStyle w:val="Quote1"/>
      </w:pPr>
      <w:r w:rsidRPr="00C94A1A">
        <w:rPr>
          <w:b/>
          <w:i/>
        </w:rPr>
        <w:t>document</w:t>
      </w:r>
      <w:r>
        <w:t xml:space="preserve"> means any record of information, and includes:</w:t>
      </w:r>
    </w:p>
    <w:p w14:paraId="06211B74" w14:textId="77777777" w:rsidR="002F0252" w:rsidRDefault="002F0252" w:rsidP="002F0252">
      <w:pPr>
        <w:pStyle w:val="Quote1"/>
      </w:pPr>
      <w:r>
        <w:t>…</w:t>
      </w:r>
    </w:p>
    <w:p w14:paraId="3F26EA16" w14:textId="3ED9C089" w:rsidR="002F0252" w:rsidRDefault="002F0252" w:rsidP="0030661A">
      <w:pPr>
        <w:pStyle w:val="Quote1"/>
        <w:ind w:left="1437" w:hanging="700"/>
      </w:pPr>
      <w:r>
        <w:lastRenderedPageBreak/>
        <w:t xml:space="preserve">(c)  </w:t>
      </w:r>
      <w:r w:rsidR="00536335">
        <w:tab/>
      </w:r>
      <w:r>
        <w:t>anything from which sounds, images or writings can be reproduced with or without the aid of anything else; …</w:t>
      </w:r>
    </w:p>
    <w:p w14:paraId="52EF29A1" w14:textId="77777777" w:rsidR="002F0252" w:rsidRDefault="002F0252" w:rsidP="002F0252">
      <w:pPr>
        <w:pStyle w:val="Quote1"/>
      </w:pPr>
      <w:r w:rsidRPr="00806A88">
        <w:rPr>
          <w:b/>
          <w:i/>
        </w:rPr>
        <w:t>electronic communication</w:t>
      </w:r>
      <w:r>
        <w:t xml:space="preserve"> means:</w:t>
      </w:r>
    </w:p>
    <w:p w14:paraId="3C1CE4F3" w14:textId="77777777" w:rsidR="002F0252" w:rsidRDefault="002F0252" w:rsidP="007E6103">
      <w:pPr>
        <w:pStyle w:val="Quote1"/>
        <w:ind w:left="1440" w:hanging="703"/>
      </w:pPr>
      <w:r>
        <w:t>(a)</w:t>
      </w:r>
      <w:r>
        <w:tab/>
        <w:t>a communication of information in the form of data, text or images by means of guided and/or unguided electromagnetic energy; or</w:t>
      </w:r>
    </w:p>
    <w:p w14:paraId="3B88017D" w14:textId="77777777" w:rsidR="002F0252" w:rsidRDefault="002F0252" w:rsidP="007E6103">
      <w:pPr>
        <w:pStyle w:val="Quote1"/>
        <w:ind w:left="1440" w:hanging="703"/>
      </w:pPr>
      <w:r>
        <w:t>(b)</w:t>
      </w:r>
      <w:r>
        <w:tab/>
        <w:t>a communication of information in the form of speech by means of guided and/or unguided electromagnetic energy, where the speech is processed at its destination by an automated voice recognition system.</w:t>
      </w:r>
    </w:p>
    <w:p w14:paraId="6BADEFA0" w14:textId="77777777" w:rsidR="002F0252" w:rsidRDefault="002F0252" w:rsidP="002F0252">
      <w:pPr>
        <w:pStyle w:val="Quote1"/>
      </w:pPr>
      <w:r>
        <w:rPr>
          <w:b/>
          <w:i/>
        </w:rPr>
        <w:t xml:space="preserve">nominated </w:t>
      </w:r>
      <w:r w:rsidRPr="00806A88">
        <w:rPr>
          <w:b/>
          <w:i/>
        </w:rPr>
        <w:t>electronic address</w:t>
      </w:r>
      <w:r>
        <w:t>, in relation to the addressee of an electronic communication, means:</w:t>
      </w:r>
    </w:p>
    <w:p w14:paraId="0ACEB774" w14:textId="77777777" w:rsidR="002F0252" w:rsidRDefault="002F0252" w:rsidP="007E6103">
      <w:pPr>
        <w:pStyle w:val="Quote1"/>
        <w:ind w:left="1440" w:hanging="703"/>
      </w:pPr>
      <w:r>
        <w:t>(a)</w:t>
      </w:r>
      <w:r>
        <w:tab/>
        <w:t xml:space="preserve">the most recent electronic address nominated by the addressee to the originator of the electronic communication as the electronic address for receiving electronic communications; or </w:t>
      </w:r>
    </w:p>
    <w:p w14:paraId="37608707" w14:textId="77777777" w:rsidR="002F0252" w:rsidRDefault="002F0252" w:rsidP="007E6103">
      <w:pPr>
        <w:pStyle w:val="Quote1"/>
        <w:ind w:left="1440" w:hanging="703"/>
      </w:pPr>
      <w:r>
        <w:t>(b)</w:t>
      </w:r>
      <w:r>
        <w:tab/>
        <w:t>if:</w:t>
      </w:r>
    </w:p>
    <w:p w14:paraId="0D28DFA1" w14:textId="77777777" w:rsidR="002F0252" w:rsidRDefault="002F0252" w:rsidP="007E6103">
      <w:pPr>
        <w:pStyle w:val="Quote2"/>
        <w:ind w:left="2160" w:hanging="720"/>
      </w:pPr>
      <w:r>
        <w:t>(</w:t>
      </w:r>
      <w:proofErr w:type="spellStart"/>
      <w:r>
        <w:t>i</w:t>
      </w:r>
      <w:proofErr w:type="spellEnd"/>
      <w:r>
        <w:t>)</w:t>
      </w:r>
      <w:r>
        <w:tab/>
        <w:t xml:space="preserve">the addressee has nominated an electronic address as mentioned in paragraph (a) and the originator knows, or there are reasonable grounds to believe, that the address is not a current electronic address for the addressee; or </w:t>
      </w:r>
    </w:p>
    <w:p w14:paraId="7417CCEC" w14:textId="77777777" w:rsidR="002F0252" w:rsidRDefault="002F0252" w:rsidP="007E6103">
      <w:pPr>
        <w:pStyle w:val="Quote2"/>
        <w:ind w:left="2160" w:hanging="720"/>
      </w:pPr>
      <w:r>
        <w:t>(ii)</w:t>
      </w:r>
      <w:r>
        <w:tab/>
        <w:t>the addressee has not nominated an electronic address as mentioned in paragraph (a);</w:t>
      </w:r>
    </w:p>
    <w:p w14:paraId="501D64BB" w14:textId="77777777" w:rsidR="002F0252" w:rsidRDefault="002F0252" w:rsidP="0030661A">
      <w:pPr>
        <w:pStyle w:val="Quote2"/>
      </w:pPr>
      <w:r>
        <w:t xml:space="preserve">an electronic address that the originator believes on reasonable grounds to be a current electronic address for the addressee for receiving electronic communications. </w:t>
      </w:r>
    </w:p>
    <w:p w14:paraId="12AE4276" w14:textId="74FFC870" w:rsidR="002F0252" w:rsidRDefault="002F0252" w:rsidP="002F0252">
      <w:pPr>
        <w:pStyle w:val="ParaNumbering"/>
      </w:pPr>
      <w:r>
        <w:t>Section 600G applies to any document (very broadly defined in s 9) that is required or permitted to be given to a person under Chapter 5 of the Corporations Act. The new definition mirrors the definition of “document” in the Acts Interpretation Act</w:t>
      </w:r>
      <w:r w:rsidR="00536335">
        <w:t>: s 2B of the Acts Interpretation Act</w:t>
      </w:r>
      <w:r>
        <w:t>. It extends to information that is not in paper or material form.</w:t>
      </w:r>
    </w:p>
    <w:p w14:paraId="42386B41" w14:textId="2F629580" w:rsidR="002F0252" w:rsidRDefault="002F0252" w:rsidP="002F0252">
      <w:pPr>
        <w:pStyle w:val="ParaNumbering"/>
      </w:pPr>
      <w:r>
        <w:t>Section 600G authorises a document to be given to the recipient by means of an electronic communication (as newly defined in s 9). The giving of the document by electronic communication may be achieved by giving the recipient sufficient information to allow the recipient to access the document electronically: s 600G(3). However, electronic communication may only be used if</w:t>
      </w:r>
      <w:r w:rsidR="00F13643">
        <w:t>,</w:t>
      </w:r>
      <w:r>
        <w:t xml:space="preserve"> at the time</w:t>
      </w:r>
      <w:r w:rsidR="00F13643">
        <w:t>,</w:t>
      </w:r>
      <w:r>
        <w:t xml:space="preserve"> it is reasonable to expect the document would be readily accessible so as to be usable for subsequent reference and there is a nominated electronic address (as defined) in relation to the recipient. The definition of nominated electronic address extends to cover the situation where the addressee has not in fact nominated such an address. In that case, the nominated electronic address will be an electronic address which the originator believes on reasonable grounds is a current electronic address for the </w:t>
      </w:r>
      <w:r>
        <w:lastRenderedPageBreak/>
        <w:t>addressee for receiving electronic communications, even though the addressee has not nominated that address, or indeed, any address.</w:t>
      </w:r>
    </w:p>
    <w:p w14:paraId="097773E9" w14:textId="075BAC9F" w:rsidR="002F0252" w:rsidRDefault="002F0252" w:rsidP="002F0252">
      <w:pPr>
        <w:pStyle w:val="ParaNumbering"/>
      </w:pPr>
      <w:r>
        <w:t xml:space="preserve">A related aspect of the 2020 </w:t>
      </w:r>
      <w:r w:rsidR="00F13643">
        <w:t>R</w:t>
      </w:r>
      <w:r>
        <w:t xml:space="preserve">eforms was the introduction of </w:t>
      </w:r>
      <w:proofErr w:type="spellStart"/>
      <w:r>
        <w:t>ss</w:t>
      </w:r>
      <w:proofErr w:type="spellEnd"/>
      <w:r>
        <w:t xml:space="preserve"> 105A and 105B of the Corporations</w:t>
      </w:r>
      <w:r>
        <w:rPr>
          <w:i/>
        </w:rPr>
        <w:t xml:space="preserve"> </w:t>
      </w:r>
      <w:r>
        <w:t xml:space="preserve">Act which establish statutory presumptions in respect of the time when and the place where electronic communication are sent and received. These provisions are situated in Chapter 1, Division 8 - Miscellaneous Interpretation Rules of the Corporations Act. </w:t>
      </w:r>
    </w:p>
    <w:p w14:paraId="46A65636" w14:textId="77777777" w:rsidR="002F0252" w:rsidRDefault="002F0252" w:rsidP="002F0252">
      <w:pPr>
        <w:pStyle w:val="ParaNumbering"/>
      </w:pPr>
      <w:r>
        <w:t>Section 105A provides:</w:t>
      </w:r>
    </w:p>
    <w:p w14:paraId="764621AB" w14:textId="77777777" w:rsidR="002F0252" w:rsidRPr="00FE51B9" w:rsidRDefault="002F0252" w:rsidP="002F0252">
      <w:pPr>
        <w:pStyle w:val="Quote1"/>
        <w:rPr>
          <w:b/>
        </w:rPr>
      </w:pPr>
      <w:r w:rsidRPr="00FE51B9">
        <w:rPr>
          <w:b/>
        </w:rPr>
        <w:t>105A When is an electronic communication sent and received</w:t>
      </w:r>
    </w:p>
    <w:p w14:paraId="7B8684F8" w14:textId="77777777" w:rsidR="002F0252" w:rsidRDefault="002F0252" w:rsidP="007E6103">
      <w:pPr>
        <w:pStyle w:val="Quote1"/>
        <w:ind w:left="1440" w:hanging="703"/>
      </w:pPr>
      <w:r>
        <w:t>(1)</w:t>
      </w:r>
      <w:r>
        <w:tab/>
        <w:t>This section applies in relation to an electronic communication unless otherwise agreed between the originator and the addressee of the electronic communication.</w:t>
      </w:r>
    </w:p>
    <w:p w14:paraId="72A81501" w14:textId="77777777" w:rsidR="002F0252" w:rsidRDefault="002F0252" w:rsidP="007E6103">
      <w:pPr>
        <w:pStyle w:val="Quote1"/>
        <w:ind w:left="1440" w:hanging="703"/>
      </w:pPr>
      <w:r>
        <w:t>(2)</w:t>
      </w:r>
      <w:r>
        <w:tab/>
        <w:t>An electronic communication is sent:</w:t>
      </w:r>
    </w:p>
    <w:p w14:paraId="353AAB65" w14:textId="77777777" w:rsidR="002F0252" w:rsidRDefault="002F0252" w:rsidP="007E6103">
      <w:pPr>
        <w:pStyle w:val="Quote2"/>
        <w:ind w:left="2160" w:hanging="720"/>
      </w:pPr>
      <w:r>
        <w:t>(a)</w:t>
      </w:r>
      <w:r>
        <w:tab/>
        <w:t>when the electronic communication leaves an information system under the control of the originator or of the party who sent it on behalf of the originator; or</w:t>
      </w:r>
    </w:p>
    <w:p w14:paraId="26CE080D" w14:textId="77777777" w:rsidR="002F0252" w:rsidRDefault="002F0252" w:rsidP="007E6103">
      <w:pPr>
        <w:pStyle w:val="Quote2"/>
        <w:ind w:left="2160" w:hanging="720"/>
      </w:pPr>
      <w:r>
        <w:t>(b)</w:t>
      </w:r>
      <w:r>
        <w:tab/>
        <w:t>if the electronic communication has not left an information system under the control of the originator or of the party who sent it on behalf of the originator--when the electronic communication is received by the addressee.</w:t>
      </w:r>
    </w:p>
    <w:p w14:paraId="4917A3B4" w14:textId="77777777" w:rsidR="002F0252" w:rsidRDefault="002F0252" w:rsidP="007E6103">
      <w:pPr>
        <w:pStyle w:val="Quote2"/>
        <w:ind w:left="2160" w:hanging="720"/>
      </w:pPr>
      <w:r>
        <w:t>Note:  Paragraph (b) would apply to a case where the parties exchange electronic communications through the same information system.</w:t>
      </w:r>
    </w:p>
    <w:p w14:paraId="2AF00716" w14:textId="77777777" w:rsidR="002F0252" w:rsidRDefault="002F0252" w:rsidP="007E6103">
      <w:pPr>
        <w:pStyle w:val="Quote1"/>
        <w:ind w:left="1440" w:hanging="703"/>
      </w:pPr>
      <w:r>
        <w:t>(3)</w:t>
      </w:r>
      <w:r>
        <w:tab/>
        <w:t>Subsection (2) applies even though the place where the information system supporting an electronic address is located may be different from the place where the electronic communication is taken to have been sent under section 105B.</w:t>
      </w:r>
    </w:p>
    <w:p w14:paraId="554C9089" w14:textId="77777777" w:rsidR="002F0252" w:rsidRDefault="002F0252" w:rsidP="007E6103">
      <w:pPr>
        <w:pStyle w:val="Quote1"/>
        <w:ind w:left="1440" w:hanging="703"/>
      </w:pPr>
      <w:r>
        <w:t>(4)</w:t>
      </w:r>
      <w:r>
        <w:tab/>
        <w:t>An electronic communication is received when the electronic communication becomes capable of being retrieved by the addressee at the addressee's nominated electronic address.</w:t>
      </w:r>
    </w:p>
    <w:p w14:paraId="7551C4CA" w14:textId="77777777" w:rsidR="002F0252" w:rsidRDefault="002F0252" w:rsidP="007E6103">
      <w:pPr>
        <w:pStyle w:val="Quote1"/>
        <w:ind w:left="1440" w:hanging="703"/>
      </w:pPr>
      <w:r>
        <w:t>(5)</w:t>
      </w:r>
      <w:r>
        <w:tab/>
        <w:t>It is to be assumed that an electronic communication is capable of being retrieved by the addressee when it reaches the addressee's nominated electronic address.</w:t>
      </w:r>
    </w:p>
    <w:p w14:paraId="5CF75E3C" w14:textId="77777777" w:rsidR="002F0252" w:rsidRDefault="002F0252" w:rsidP="007E6103">
      <w:pPr>
        <w:pStyle w:val="Quote1"/>
        <w:ind w:left="1440" w:hanging="703"/>
      </w:pPr>
      <w:r>
        <w:t>(6)</w:t>
      </w:r>
      <w:r>
        <w:tab/>
        <w:t>Subsection (4) applies even though the place where the information system supporting an electronic address is located may be different from the place where the electronic communication is taken to have been received under section 105B.</w:t>
      </w:r>
    </w:p>
    <w:p w14:paraId="18E71085" w14:textId="1EE14300" w:rsidR="002F0252" w:rsidRPr="00FE51B9" w:rsidRDefault="002F0252" w:rsidP="002F0252">
      <w:pPr>
        <w:pStyle w:val="ParaNumbering"/>
      </w:pPr>
      <w:r>
        <w:t>Section 105B</w:t>
      </w:r>
      <w:r w:rsidR="00F13643">
        <w:t xml:space="preserve"> relevantly</w:t>
      </w:r>
      <w:r>
        <w:t xml:space="preserve"> provides:</w:t>
      </w:r>
    </w:p>
    <w:p w14:paraId="7371874B" w14:textId="77777777" w:rsidR="002F0252" w:rsidRPr="00FE51B9" w:rsidRDefault="002F0252" w:rsidP="002F0252">
      <w:pPr>
        <w:pStyle w:val="Quote1"/>
        <w:ind w:left="1440" w:hanging="703"/>
        <w:rPr>
          <w:b/>
        </w:rPr>
      </w:pPr>
      <w:r w:rsidRPr="00FE51B9">
        <w:rPr>
          <w:b/>
        </w:rPr>
        <w:t xml:space="preserve">105B </w:t>
      </w:r>
      <w:r w:rsidRPr="00FE51B9">
        <w:rPr>
          <w:b/>
        </w:rPr>
        <w:tab/>
        <w:t>Place where an electronic communication is sent or received</w:t>
      </w:r>
    </w:p>
    <w:p w14:paraId="6560454D" w14:textId="77777777" w:rsidR="002F0252" w:rsidRDefault="002F0252" w:rsidP="002F0252">
      <w:pPr>
        <w:pStyle w:val="Quote1"/>
        <w:numPr>
          <w:ilvl w:val="0"/>
          <w:numId w:val="32"/>
        </w:numPr>
      </w:pPr>
      <w:r>
        <w:t xml:space="preserve">This section applies in relation to an electronic communication unless otherwise agreed between the originator and the addressee of the electronic </w:t>
      </w:r>
      <w:r>
        <w:lastRenderedPageBreak/>
        <w:t>communication.</w:t>
      </w:r>
    </w:p>
    <w:p w14:paraId="394F7AF5" w14:textId="77777777" w:rsidR="002F0252" w:rsidRDefault="002F0252" w:rsidP="002F0252">
      <w:pPr>
        <w:pStyle w:val="Quote1"/>
        <w:ind w:left="1442"/>
      </w:pPr>
      <w:r>
        <w:t>….</w:t>
      </w:r>
    </w:p>
    <w:p w14:paraId="392CD6A1" w14:textId="77777777" w:rsidR="002F0252" w:rsidRDefault="002F0252" w:rsidP="002F0252">
      <w:pPr>
        <w:pStyle w:val="Quote1"/>
      </w:pPr>
      <w:r>
        <w:t>(3)</w:t>
      </w:r>
      <w:r>
        <w:tab/>
        <w:t>An electronic communication is taken to have been received:</w:t>
      </w:r>
    </w:p>
    <w:p w14:paraId="0832BF39" w14:textId="77777777" w:rsidR="002F0252" w:rsidRDefault="002F0252" w:rsidP="007E6103">
      <w:pPr>
        <w:pStyle w:val="Quote2"/>
        <w:ind w:left="2160" w:hanging="720"/>
      </w:pPr>
      <w:r>
        <w:t>(a)</w:t>
      </w:r>
      <w:r>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DDEB44B" w14:textId="77777777" w:rsidR="002F0252" w:rsidRDefault="002F0252" w:rsidP="007E6103">
      <w:pPr>
        <w:pStyle w:val="Quote2"/>
        <w:ind w:left="2160" w:hanging="720"/>
      </w:pPr>
      <w:r>
        <w:t xml:space="preserve">(b) </w:t>
      </w:r>
      <w:r>
        <w:tab/>
        <w:t>if the addressee has a registered office and paragraph (a) does not apply--at the registered office of the addressee; and</w:t>
      </w:r>
    </w:p>
    <w:p w14:paraId="03B758C6" w14:textId="77777777" w:rsidR="002F0252" w:rsidRDefault="002F0252" w:rsidP="007E6103">
      <w:pPr>
        <w:pStyle w:val="Quote2"/>
        <w:ind w:left="2160" w:hanging="720"/>
      </w:pPr>
      <w:r>
        <w:t>(</w:t>
      </w:r>
      <w:proofErr w:type="spellStart"/>
      <w:r>
        <w:t>ba</w:t>
      </w:r>
      <w:proofErr w:type="spellEnd"/>
      <w:r>
        <w:t>)</w:t>
      </w:r>
      <w:r>
        <w:tab/>
        <w:t>if the addressee has a principal place of business in Australia and neither paragraph (a) nor (b) applies--the address of the addressee's principal place of business in Australia; and</w:t>
      </w:r>
    </w:p>
    <w:p w14:paraId="2BD547E6" w14:textId="77777777" w:rsidR="002F0252" w:rsidRDefault="002F0252" w:rsidP="007E6103">
      <w:pPr>
        <w:pStyle w:val="Quote2"/>
        <w:ind w:left="2160" w:hanging="720"/>
      </w:pPr>
      <w:r>
        <w:t>(c)</w:t>
      </w:r>
      <w:r>
        <w:tab/>
        <w:t>otherwise:</w:t>
      </w:r>
    </w:p>
    <w:p w14:paraId="3033FD3A" w14:textId="77777777" w:rsidR="002F0252" w:rsidRDefault="002F0252" w:rsidP="007E6103">
      <w:pPr>
        <w:pStyle w:val="Quote3"/>
        <w:ind w:left="2880" w:hanging="720"/>
      </w:pPr>
      <w:r>
        <w:t>(</w:t>
      </w:r>
      <w:proofErr w:type="spellStart"/>
      <w:r>
        <w:t>i</w:t>
      </w:r>
      <w:proofErr w:type="spellEnd"/>
      <w:r>
        <w:t>)</w:t>
      </w:r>
      <w:r>
        <w:tab/>
        <w:t>at the most recent physical address nominated by the addressee to the originator; or</w:t>
      </w:r>
    </w:p>
    <w:p w14:paraId="55865629" w14:textId="77777777" w:rsidR="002F0252" w:rsidRDefault="002F0252" w:rsidP="007E6103">
      <w:pPr>
        <w:pStyle w:val="Quote3"/>
        <w:ind w:left="2880" w:hanging="720"/>
      </w:pPr>
      <w:r>
        <w:t>(ii)</w:t>
      </w:r>
      <w:r>
        <w:tab/>
        <w:t>if the addressee has not nominated a physical address as mentioned in subparagraph (</w:t>
      </w:r>
      <w:proofErr w:type="spellStart"/>
      <w:r>
        <w:t>i</w:t>
      </w:r>
      <w:proofErr w:type="spellEnd"/>
      <w:r>
        <w:t>)--at the addressee's usual residential address in Australia.</w:t>
      </w:r>
    </w:p>
    <w:p w14:paraId="1DA456A9" w14:textId="15278606" w:rsidR="002F0252" w:rsidRDefault="002F0252" w:rsidP="002F0252">
      <w:pPr>
        <w:pStyle w:val="ParaNumbering"/>
      </w:pPr>
      <w:r>
        <w:t xml:space="preserve">Section 161 of the </w:t>
      </w:r>
      <w:r w:rsidRPr="0030661A">
        <w:rPr>
          <w:b/>
          <w:i/>
        </w:rPr>
        <w:t>Evidence Act</w:t>
      </w:r>
      <w:r>
        <w:rPr>
          <w:i/>
        </w:rPr>
        <w:t xml:space="preserve"> 1995 </w:t>
      </w:r>
      <w:r>
        <w:t>(</w:t>
      </w:r>
      <w:proofErr w:type="spellStart"/>
      <w:r>
        <w:t>Cth</w:t>
      </w:r>
      <w:proofErr w:type="spellEnd"/>
      <w:r>
        <w:t xml:space="preserve">) also creates a rebuttable presumption </w:t>
      </w:r>
      <w:r w:rsidR="00536335">
        <w:t xml:space="preserve">whereby </w:t>
      </w:r>
      <w:r>
        <w:t xml:space="preserve">an electronic communication of which a record is tendered was sent or made in the form shown in the record, was sent or made by a person appearing from the record to have sent it, was sent or made on the day and at the time it appears to have been sent and was received at the destination to which it appears to have been sent at the time the sending of the communication concluded as shown in the record: </w:t>
      </w:r>
      <w:proofErr w:type="spellStart"/>
      <w:r>
        <w:rPr>
          <w:i/>
        </w:rPr>
        <w:t>Miletich</w:t>
      </w:r>
      <w:proofErr w:type="spellEnd"/>
      <w:r>
        <w:rPr>
          <w:i/>
        </w:rPr>
        <w:t xml:space="preserve"> v </w:t>
      </w:r>
      <w:proofErr w:type="spellStart"/>
      <w:r>
        <w:rPr>
          <w:i/>
        </w:rPr>
        <w:t>Murchie</w:t>
      </w:r>
      <w:proofErr w:type="spellEnd"/>
      <w:r>
        <w:rPr>
          <w:i/>
        </w:rPr>
        <w:t xml:space="preserve"> </w:t>
      </w:r>
      <w:r>
        <w:t>[2012] FCA 1013</w:t>
      </w:r>
      <w:r w:rsidR="00536335">
        <w:t>; 297 ALR 566</w:t>
      </w:r>
      <w:r>
        <w:t xml:space="preserve"> at </w:t>
      </w:r>
      <w:r w:rsidR="00536335">
        <w:t xml:space="preserve">591 </w:t>
      </w:r>
      <w:r>
        <w:t>[100]</w:t>
      </w:r>
      <w:r w:rsidRPr="00461922">
        <w:t xml:space="preserve"> </w:t>
      </w:r>
      <w:r>
        <w:t>(</w:t>
      </w:r>
      <w:proofErr w:type="spellStart"/>
      <w:r>
        <w:t>Gray</w:t>
      </w:r>
      <w:proofErr w:type="spellEnd"/>
      <w:r>
        <w:t xml:space="preserve"> J).</w:t>
      </w:r>
    </w:p>
    <w:p w14:paraId="449D5D39" w14:textId="77777777" w:rsidR="002F0252" w:rsidRDefault="002F0252" w:rsidP="002F0252">
      <w:pPr>
        <w:pStyle w:val="ParaNumbering"/>
      </w:pPr>
      <w:r>
        <w:t xml:space="preserve">The parties were not able to identify any cases in which </w:t>
      </w:r>
      <w:proofErr w:type="spellStart"/>
      <w:r>
        <w:t>ss</w:t>
      </w:r>
      <w:proofErr w:type="spellEnd"/>
      <w:r>
        <w:t xml:space="preserve"> 600G, 105A and 105B have been considered.</w:t>
      </w:r>
    </w:p>
    <w:p w14:paraId="0DEDB16F" w14:textId="1B3AA13C" w:rsidR="002F0252" w:rsidRPr="004860A1" w:rsidRDefault="002F0252" w:rsidP="002F0252">
      <w:pPr>
        <w:pStyle w:val="Heading1"/>
      </w:pPr>
      <w:r>
        <w:t>THE PARTIES</w:t>
      </w:r>
      <w:r w:rsidR="002A6A2F">
        <w:t>’</w:t>
      </w:r>
      <w:r>
        <w:t xml:space="preserve"> SUBMISSIONS</w:t>
      </w:r>
    </w:p>
    <w:p w14:paraId="72BC9DDA" w14:textId="77777777" w:rsidR="002F0252" w:rsidRDefault="002F0252" w:rsidP="002F0252">
      <w:pPr>
        <w:pStyle w:val="Heading2"/>
      </w:pPr>
      <w:proofErr w:type="spellStart"/>
      <w:r>
        <w:t>Bioaction’s</w:t>
      </w:r>
      <w:proofErr w:type="spellEnd"/>
      <w:r>
        <w:t xml:space="preserve"> submissions</w:t>
      </w:r>
    </w:p>
    <w:p w14:paraId="4900ACAE" w14:textId="77777777" w:rsidR="002F0252" w:rsidRDefault="002F0252" w:rsidP="002F0252">
      <w:pPr>
        <w:pStyle w:val="ParaNumbering"/>
      </w:pPr>
      <w:proofErr w:type="spellStart"/>
      <w:r>
        <w:t>Bioaction</w:t>
      </w:r>
      <w:proofErr w:type="spellEnd"/>
      <w:r>
        <w:t xml:space="preserve"> accepts that it has the onus of establishing service in accordance with s 459G(2) and (3) so as to attract jurisdiction. </w:t>
      </w:r>
    </w:p>
    <w:p w14:paraId="39ED6C0C" w14:textId="57A6465C" w:rsidR="002F0252" w:rsidRDefault="002F0252" w:rsidP="002F0252">
      <w:pPr>
        <w:pStyle w:val="ParaNumbering"/>
      </w:pPr>
      <w:proofErr w:type="spellStart"/>
      <w:r>
        <w:t>Bioaction</w:t>
      </w:r>
      <w:proofErr w:type="spellEnd"/>
      <w:r>
        <w:t xml:space="preserve"> contends that the originating documents were served by midnight on </w:t>
      </w:r>
      <w:r w:rsidR="006A4E76">
        <w:t>3 </w:t>
      </w:r>
      <w:r>
        <w:t>February 2022, being the last day of the 21 day statutory period, and that, as a result, the separate question should be answered “yes”.  The consequence is that it has validly invoked the jurisdiction of the Court pursuant to s</w:t>
      </w:r>
      <w:r w:rsidR="002A6A2F">
        <w:t xml:space="preserve"> </w:t>
      </w:r>
      <w:r>
        <w:t xml:space="preserve">459G of the Corporations Act. </w:t>
      </w:r>
    </w:p>
    <w:p w14:paraId="6456E438" w14:textId="77777777" w:rsidR="002F0252" w:rsidRDefault="002F0252" w:rsidP="002F0252">
      <w:pPr>
        <w:pStyle w:val="ParaNumbering"/>
      </w:pPr>
      <w:proofErr w:type="spellStart"/>
      <w:r>
        <w:lastRenderedPageBreak/>
        <w:t>Bioaction</w:t>
      </w:r>
      <w:proofErr w:type="spellEnd"/>
      <w:r>
        <w:t xml:space="preserve"> submits that:</w:t>
      </w:r>
    </w:p>
    <w:p w14:paraId="747E2CB4" w14:textId="77777777" w:rsidR="002F0252" w:rsidRDefault="002F0252" w:rsidP="002F0252">
      <w:pPr>
        <w:pStyle w:val="ListNo1"/>
      </w:pPr>
      <w:r>
        <w:t>In order to enliven the jurisdiction conferred by s 459G the originating documents must be served within the 21 day statutory period on the person who served the demand;</w:t>
      </w:r>
    </w:p>
    <w:p w14:paraId="2785F8F7" w14:textId="5977FC6B" w:rsidR="002F0252" w:rsidRDefault="002F0252" w:rsidP="002F0252">
      <w:pPr>
        <w:pStyle w:val="ListNo1"/>
      </w:pPr>
      <w:r>
        <w:t>A statutory demand must be in the form prescribed</w:t>
      </w:r>
      <w:r w:rsidR="002F15E4">
        <w:t>,</w:t>
      </w:r>
      <w:r>
        <w:t xml:space="preserve"> that is Form 509H</w:t>
      </w:r>
      <w:r w:rsidR="002F15E4">
        <w:t>,</w:t>
      </w:r>
      <w:r>
        <w:t xml:space="preserve"> which at paragraph 6 requires the creditor to nominate an address for service of the originating documents under s 459G. Where solicitors are acting for the creditor, the creditor must nominate the address of the solicitors;</w:t>
      </w:r>
    </w:p>
    <w:p w14:paraId="59ACF412" w14:textId="77777777" w:rsidR="002F0252" w:rsidRDefault="002F0252" w:rsidP="002F0252">
      <w:pPr>
        <w:pStyle w:val="ListNo1"/>
      </w:pPr>
      <w:r>
        <w:t>Notwithstanding that the s 459G application is an originating process of the Court to which formal rules of service will otherwise apply, personal service is not required;</w:t>
      </w:r>
    </w:p>
    <w:p w14:paraId="5B1C364C" w14:textId="4CE5D69C" w:rsidR="002F0252" w:rsidRDefault="002F0252" w:rsidP="002F0252">
      <w:pPr>
        <w:pStyle w:val="ListNo1"/>
      </w:pPr>
      <w:r>
        <w:t xml:space="preserve">The statutory demand nominated the office address of CFC </w:t>
      </w:r>
      <w:r w:rsidR="006A4E76">
        <w:t>L</w:t>
      </w:r>
      <w:r>
        <w:t>awyers as the place where any s 459G application may be served and the service requirement of s 459G was met when the documents are delivered to that address;</w:t>
      </w:r>
    </w:p>
    <w:p w14:paraId="74C3E044" w14:textId="5C9172C9" w:rsidR="009D7C93" w:rsidRDefault="002F0252" w:rsidP="002F0252">
      <w:pPr>
        <w:pStyle w:val="ListNo1"/>
      </w:pPr>
      <w:r>
        <w:t>In the context of s 459G(3) service of electronic copies by facsimile or email is, at the level of principle, permissible</w:t>
      </w:r>
      <w:r w:rsidR="009D7C93">
        <w:t>:</w:t>
      </w:r>
      <w:r w:rsidR="00F92997">
        <w:t xml:space="preserve"> </w:t>
      </w:r>
      <w:proofErr w:type="spellStart"/>
      <w:r w:rsidR="009D7C93" w:rsidRPr="00A8548B">
        <w:rPr>
          <w:i/>
        </w:rPr>
        <w:t>Newsnet</w:t>
      </w:r>
      <w:proofErr w:type="spellEnd"/>
      <w:r w:rsidR="009D7C93" w:rsidRPr="00A8548B">
        <w:t xml:space="preserve"> at </w:t>
      </w:r>
      <w:r w:rsidR="00F13643">
        <w:t xml:space="preserve">115 </w:t>
      </w:r>
      <w:r w:rsidR="009D7C93" w:rsidRPr="00A8548B">
        <w:t xml:space="preserve">[39]; </w:t>
      </w:r>
      <w:r w:rsidR="009D7C93" w:rsidRPr="00A8548B">
        <w:rPr>
          <w:i/>
        </w:rPr>
        <w:t>SGR Pastoral</w:t>
      </w:r>
      <w:r w:rsidR="00F92997">
        <w:t xml:space="preserve"> at [27];</w:t>
      </w:r>
      <w:r w:rsidR="009D7C93">
        <w:t xml:space="preserve"> </w:t>
      </w:r>
    </w:p>
    <w:p w14:paraId="645BE0B1" w14:textId="15B5A692" w:rsidR="002F0252" w:rsidRDefault="009D7C93" w:rsidP="002F0252">
      <w:pPr>
        <w:pStyle w:val="ListNo1"/>
      </w:pPr>
      <w:r>
        <w:t>I</w:t>
      </w:r>
      <w:r w:rsidR="002F0252">
        <w:t>n any event</w:t>
      </w:r>
      <w:r>
        <w:t>, service by electronic communication</w:t>
      </w:r>
      <w:r w:rsidR="002F0252">
        <w:t xml:space="preserve"> is confirmed by the terms of s 600G of the Act, s 459G being a provision within Chapter 5 which is expressly referred to in s 600G (1);</w:t>
      </w:r>
    </w:p>
    <w:p w14:paraId="33C7D366" w14:textId="4F543BB8" w:rsidR="002F0252" w:rsidRDefault="002F0252" w:rsidP="009D7C93">
      <w:pPr>
        <w:pStyle w:val="ListNo1"/>
      </w:pPr>
      <w:r>
        <w:t>Consent of the recipient to delivery by electronic communication is not a pre-requisite to valid service of originating documents under s 459G</w:t>
      </w:r>
      <w:r w:rsidR="009D7C93">
        <w:t xml:space="preserve"> and cannot be asserted by the defendant so as to restrict the manner in which a plaintiff may comply with the requirements of s 459G(3): see </w:t>
      </w:r>
      <w:proofErr w:type="spellStart"/>
      <w:r w:rsidR="009D7C93" w:rsidRPr="00045019">
        <w:rPr>
          <w:i/>
        </w:rPr>
        <w:t>Newsnet</w:t>
      </w:r>
      <w:proofErr w:type="spellEnd"/>
      <w:r w:rsidR="009D7C93">
        <w:t xml:space="preserve"> at </w:t>
      </w:r>
      <w:r w:rsidR="00F13643">
        <w:t xml:space="preserve">115 </w:t>
      </w:r>
      <w:r w:rsidR="009D7C93">
        <w:t>[39]</w:t>
      </w:r>
      <w:r>
        <w:t>;</w:t>
      </w:r>
    </w:p>
    <w:p w14:paraId="5A10B826" w14:textId="5E5D01B4" w:rsidR="009D7C93" w:rsidRDefault="009D7C93" w:rsidP="009D7C93">
      <w:pPr>
        <w:pStyle w:val="ListNo1"/>
      </w:pPr>
      <w:r w:rsidRPr="009D7C93">
        <w:t>Section 600G of the Corporations Act permits the giving of notice by email where the creditor/recipient has first nominated an email address for receipt of such notices. However it does not state that such notice as given without such nomination is ineffective. It is permissive, not restrictive, and includes deeming provisions as to service if met</w:t>
      </w:r>
      <w:r>
        <w:t xml:space="preserve">: </w:t>
      </w:r>
      <w:proofErr w:type="spellStart"/>
      <w:r w:rsidRPr="009D7C93">
        <w:rPr>
          <w:i/>
        </w:rPr>
        <w:t>Gollant</w:t>
      </w:r>
      <w:proofErr w:type="spellEnd"/>
      <w:r w:rsidRPr="009D7C93">
        <w:rPr>
          <w:i/>
        </w:rPr>
        <w:t xml:space="preserve">, in the matter of OT Markets Pty Ltd (in liquidation) </w:t>
      </w:r>
      <w:r w:rsidRPr="009D7C93">
        <w:t xml:space="preserve">[2020] FCA 207 at [33] </w:t>
      </w:r>
      <w:r w:rsidR="00A916C4">
        <w:t>(</w:t>
      </w:r>
      <w:r w:rsidRPr="009D7C93">
        <w:t>Beach J</w:t>
      </w:r>
      <w:r w:rsidR="00A916C4">
        <w:t>)</w:t>
      </w:r>
      <w:r w:rsidRPr="009D7C93">
        <w:t>.</w:t>
      </w:r>
      <w:r>
        <w:t xml:space="preserve">  </w:t>
      </w:r>
    </w:p>
    <w:p w14:paraId="1405B584" w14:textId="77777777" w:rsidR="002F0252" w:rsidRDefault="002F0252" w:rsidP="002F0252">
      <w:pPr>
        <w:pStyle w:val="ListNo1"/>
      </w:pPr>
      <w:r>
        <w:t>Delivery by electronic communication pursuant to s 600G is permissible if at the time the electronic communication is used it is reasonable to expect that the document would be readily accessible so as to be useable for subsequent reference and there is a nominated electronic address in relation to the recipient;</w:t>
      </w:r>
    </w:p>
    <w:p w14:paraId="3A114B0A" w14:textId="68BB4E52" w:rsidR="002F0252" w:rsidRDefault="002F0252" w:rsidP="002F0252">
      <w:pPr>
        <w:pStyle w:val="ListNo1"/>
      </w:pPr>
      <w:r>
        <w:lastRenderedPageBreak/>
        <w:t xml:space="preserve">The Mitchell </w:t>
      </w:r>
      <w:r w:rsidR="00260DF6">
        <w:t>e</w:t>
      </w:r>
      <w:r>
        <w:t>mail was capable of being retrieved</w:t>
      </w:r>
      <w:r w:rsidR="00260DF6">
        <w:t>,</w:t>
      </w:r>
      <w:r>
        <w:t xml:space="preserve"> in readable form</w:t>
      </w:r>
      <w:r w:rsidR="00260DF6">
        <w:t>,</w:t>
      </w:r>
      <w:r>
        <w:t xml:space="preserve"> from the email mail boxes associated with Ms Fu’s CFC email address and the CFC general email address on the CFC email server</w:t>
      </w:r>
      <w:r w:rsidR="00493552">
        <w:t xml:space="preserve"> (</w:t>
      </w:r>
      <w:r w:rsidR="00493552">
        <w:rPr>
          <w:b/>
        </w:rPr>
        <w:t>CFC Server</w:t>
      </w:r>
      <w:r w:rsidR="00493552" w:rsidRPr="0076494C">
        <w:t>)</w:t>
      </w:r>
      <w:r w:rsidRPr="00F13643">
        <w:t xml:space="preserve"> </w:t>
      </w:r>
      <w:r>
        <w:t xml:space="preserve">within about </w:t>
      </w:r>
      <w:r w:rsidR="00260DF6">
        <w:t>eleven</w:t>
      </w:r>
      <w:r>
        <w:t xml:space="preserve"> seconds of 4</w:t>
      </w:r>
      <w:r w:rsidR="004A6386">
        <w:t>:</w:t>
      </w:r>
      <w:r>
        <w:t>48</w:t>
      </w:r>
      <w:r w:rsidR="00F13643">
        <w:t> </w:t>
      </w:r>
      <w:r>
        <w:t>pm on 3 February 2022 (i</w:t>
      </w:r>
      <w:r w:rsidR="00260DF6">
        <w:t>.</w:t>
      </w:r>
      <w:r>
        <w:t>e</w:t>
      </w:r>
      <w:r w:rsidR="00260DF6">
        <w:t>.</w:t>
      </w:r>
      <w:r>
        <w:t xml:space="preserve"> the time it was sent)</w:t>
      </w:r>
      <w:r w:rsidR="009965F9">
        <w:t>. It is open to the Court to infer that the originating documents were sent in a readable form in circumstances where Ms</w:t>
      </w:r>
      <w:r w:rsidR="00F13643">
        <w:t> </w:t>
      </w:r>
      <w:r w:rsidR="009965F9">
        <w:t>Fu did not raise any difficulties in accessing and opening the at</w:t>
      </w:r>
      <w:r w:rsidR="00045019">
        <w:t>tachments to the Mitchell email</w:t>
      </w:r>
      <w:r w:rsidR="009965F9">
        <w:t>;</w:t>
      </w:r>
    </w:p>
    <w:p w14:paraId="4478A06A" w14:textId="79AF7CFC" w:rsidR="002F0252" w:rsidRDefault="002F0252" w:rsidP="002F0252">
      <w:pPr>
        <w:pStyle w:val="ListNo1"/>
      </w:pPr>
      <w:r>
        <w:t xml:space="preserve">The transmission of the Mitchell </w:t>
      </w:r>
      <w:r w:rsidR="00260DF6">
        <w:t>e</w:t>
      </w:r>
      <w:r>
        <w:t>mail resulted in the originating documents being received at the creditor’s address for service nominated in the statutory demand shortly before 5</w:t>
      </w:r>
      <w:r w:rsidR="00260DF6">
        <w:t xml:space="preserve"> </w:t>
      </w:r>
      <w:r>
        <w:t>pm on 3 February 2022;</w:t>
      </w:r>
    </w:p>
    <w:p w14:paraId="62AEDDEB" w14:textId="7A1BC311" w:rsidR="002F0252" w:rsidRDefault="002F0252" w:rsidP="002F0252">
      <w:pPr>
        <w:pStyle w:val="ListNo1"/>
      </w:pPr>
      <w:r>
        <w:t xml:space="preserve">Proof of the time and place of receipt of the Mitchell </w:t>
      </w:r>
      <w:r w:rsidR="00260DF6">
        <w:t>e</w:t>
      </w:r>
      <w:r>
        <w:t xml:space="preserve">mail is facilitated by application of the statutory presumptions in </w:t>
      </w:r>
      <w:proofErr w:type="spellStart"/>
      <w:r>
        <w:t>ss</w:t>
      </w:r>
      <w:proofErr w:type="spellEnd"/>
      <w:r>
        <w:t xml:space="preserve"> 105A and 105B of </w:t>
      </w:r>
      <w:r w:rsidRPr="00B220C7">
        <w:t>the Corporations Act</w:t>
      </w:r>
      <w:r>
        <w:rPr>
          <w:i/>
        </w:rPr>
        <w:t xml:space="preserve"> </w:t>
      </w:r>
      <w:r>
        <w:t>and by s</w:t>
      </w:r>
      <w:r w:rsidR="00260DF6">
        <w:t> </w:t>
      </w:r>
      <w:r>
        <w:t xml:space="preserve">161 of the </w:t>
      </w:r>
      <w:r w:rsidRPr="00F92997">
        <w:t>Evidence Act</w:t>
      </w:r>
      <w:r w:rsidR="002C407A">
        <w:t>;</w:t>
      </w:r>
      <w:r>
        <w:t xml:space="preserve"> </w:t>
      </w:r>
    </w:p>
    <w:p w14:paraId="69847149" w14:textId="1EFB3B67" w:rsidR="002F0252" w:rsidRDefault="002F0252" w:rsidP="002F0252">
      <w:pPr>
        <w:pStyle w:val="ListNo1"/>
      </w:pPr>
      <w:r>
        <w:t>The "effective informal service rule" is irrelevant because formal service has occurred. It follows that the requirement that the documents actually come to the attention of the recipient</w:t>
      </w:r>
      <w:r w:rsidR="00260DF6">
        <w:t>,</w:t>
      </w:r>
      <w:r>
        <w:t xml:space="preserve"> which is critical to the effective informal service rule</w:t>
      </w:r>
      <w:r w:rsidR="00260DF6">
        <w:t>,</w:t>
      </w:r>
      <w:r>
        <w:t xml:space="preserve"> does not apply.</w:t>
      </w:r>
    </w:p>
    <w:p w14:paraId="18FAF376" w14:textId="77777777" w:rsidR="002F0252" w:rsidRDefault="002F0252" w:rsidP="002F0252">
      <w:pPr>
        <w:pStyle w:val="Heading2"/>
      </w:pPr>
      <w:r>
        <w:t xml:space="preserve">Mr </w:t>
      </w:r>
      <w:proofErr w:type="spellStart"/>
      <w:r>
        <w:t>Ogborne’s</w:t>
      </w:r>
      <w:proofErr w:type="spellEnd"/>
      <w:r>
        <w:t xml:space="preserve"> submissions</w:t>
      </w:r>
    </w:p>
    <w:p w14:paraId="6E5AA598" w14:textId="77777777" w:rsidR="002F0252" w:rsidRDefault="002F0252" w:rsidP="002F0252">
      <w:pPr>
        <w:pStyle w:val="ParaNumbering"/>
      </w:pPr>
      <w:r>
        <w:t xml:space="preserve">Mr </w:t>
      </w:r>
      <w:proofErr w:type="spellStart"/>
      <w:r>
        <w:t>Ogborne</w:t>
      </w:r>
      <w:proofErr w:type="spellEnd"/>
      <w:r>
        <w:t xml:space="preserve"> contends that that the separate question should be answered “no” because:</w:t>
      </w:r>
    </w:p>
    <w:p w14:paraId="268FAD1C" w14:textId="41FEEC2B" w:rsidR="002F0252" w:rsidRDefault="002F0252" w:rsidP="002F0252">
      <w:pPr>
        <w:pStyle w:val="ListNo1"/>
        <w:numPr>
          <w:ilvl w:val="0"/>
          <w:numId w:val="29"/>
        </w:numPr>
      </w:pPr>
      <w:r>
        <w:t xml:space="preserve">Personal service of the originating documents is required by reason of the application of the </w:t>
      </w:r>
      <w:r w:rsidRPr="000F7B37">
        <w:rPr>
          <w:i/>
        </w:rPr>
        <w:t>Federal Court (Corporations) Rules 2000 (</w:t>
      </w:r>
      <w:proofErr w:type="spellStart"/>
      <w:r w:rsidRPr="000F7B37">
        <w:rPr>
          <w:i/>
        </w:rPr>
        <w:t>Cth</w:t>
      </w:r>
      <w:proofErr w:type="spellEnd"/>
      <w:r w:rsidRPr="000F7B37">
        <w:rPr>
          <w:i/>
        </w:rPr>
        <w:t>)</w:t>
      </w:r>
      <w:r>
        <w:t xml:space="preserve"> (</w:t>
      </w:r>
      <w:r w:rsidRPr="000F7B37">
        <w:rPr>
          <w:b/>
        </w:rPr>
        <w:t>Corporations Rules</w:t>
      </w:r>
      <w:r>
        <w:t>) or the Rules;</w:t>
      </w:r>
    </w:p>
    <w:p w14:paraId="70F0CC6F" w14:textId="22C30D4D" w:rsidR="002F0252" w:rsidRDefault="003105F8" w:rsidP="007E6103">
      <w:pPr>
        <w:pStyle w:val="ListNo1"/>
        <w:numPr>
          <w:ilvl w:val="0"/>
          <w:numId w:val="29"/>
        </w:numPr>
      </w:pPr>
      <w:r>
        <w:t>Section</w:t>
      </w:r>
      <w:r w:rsidR="002F0252">
        <w:t xml:space="preserve"> 600G of the Corporations Act applies to documents that are required to be </w:t>
      </w:r>
      <w:r w:rsidR="002F0252" w:rsidRPr="007E6103">
        <w:rPr>
          <w:i/>
        </w:rPr>
        <w:t>given</w:t>
      </w:r>
      <w:r w:rsidR="002F0252">
        <w:t xml:space="preserve"> under Chapter 5 of the Corporations Act but does not apply to documents that are required to be </w:t>
      </w:r>
      <w:r w:rsidR="002F0252" w:rsidRPr="007E6103">
        <w:rPr>
          <w:i/>
        </w:rPr>
        <w:t>served</w:t>
      </w:r>
      <w:r w:rsidR="002F0252">
        <w:t xml:space="preserve"> under s 459G</w:t>
      </w:r>
      <w:r w:rsidR="00C33D7D">
        <w:t xml:space="preserve">. Mr </w:t>
      </w:r>
      <w:proofErr w:type="spellStart"/>
      <w:r w:rsidR="00C33D7D">
        <w:t>Ogborne</w:t>
      </w:r>
      <w:proofErr w:type="spellEnd"/>
      <w:r w:rsidR="00C33D7D">
        <w:t xml:space="preserve"> argues that the distinction </w:t>
      </w:r>
      <w:r w:rsidR="00F13643">
        <w:t xml:space="preserve">is </w:t>
      </w:r>
      <w:r w:rsidR="00C33D7D">
        <w:t>deliberate and intended by the legislature to enliven the requirements of service under the applicable laws and rules of the Court</w:t>
      </w:r>
      <w:r w:rsidR="002F0252">
        <w:t>;</w:t>
      </w:r>
    </w:p>
    <w:p w14:paraId="60DFA02E" w14:textId="77777777" w:rsidR="002F0252" w:rsidRDefault="002F0252" w:rsidP="007E6103">
      <w:pPr>
        <w:pStyle w:val="ListNo1"/>
        <w:numPr>
          <w:ilvl w:val="0"/>
          <w:numId w:val="29"/>
        </w:numPr>
      </w:pPr>
      <w:r>
        <w:t xml:space="preserve">Even if the deeming provision in </w:t>
      </w:r>
      <w:proofErr w:type="spellStart"/>
      <w:r>
        <w:t>ss</w:t>
      </w:r>
      <w:proofErr w:type="spellEnd"/>
      <w:r>
        <w:t xml:space="preserve"> 105A and 105B of the Corporations Act and s 161 of the Evidence Act apply, the originating documents were not </w:t>
      </w:r>
      <w:r w:rsidRPr="000F7B37">
        <w:rPr>
          <w:i/>
        </w:rPr>
        <w:t>served</w:t>
      </w:r>
      <w:r>
        <w:t xml:space="preserve"> by merely being </w:t>
      </w:r>
      <w:r w:rsidRPr="000F7B37">
        <w:rPr>
          <w:i/>
        </w:rPr>
        <w:t>delivered</w:t>
      </w:r>
      <w:r>
        <w:t xml:space="preserve"> to the address nominated in the statutory demand;</w:t>
      </w:r>
    </w:p>
    <w:p w14:paraId="7E10E73D" w14:textId="77777777" w:rsidR="002F0252" w:rsidRDefault="002F0252" w:rsidP="007E6103">
      <w:pPr>
        <w:pStyle w:val="ListNo1"/>
        <w:numPr>
          <w:ilvl w:val="0"/>
          <w:numId w:val="29"/>
        </w:numPr>
      </w:pPr>
      <w:r>
        <w:t>The meaning of “serve” and “service” in the context of s 459G extend beyond mere delivery and contemplate a result that enables the document to be read and dealt with;</w:t>
      </w:r>
    </w:p>
    <w:p w14:paraId="698409E4" w14:textId="77777777" w:rsidR="002F0252" w:rsidRDefault="002F0252" w:rsidP="007E6103">
      <w:pPr>
        <w:pStyle w:val="ListNo1"/>
        <w:numPr>
          <w:ilvl w:val="0"/>
          <w:numId w:val="29"/>
        </w:numPr>
      </w:pPr>
      <w:r>
        <w:lastRenderedPageBreak/>
        <w:t>A document sent as a PDF data file attached to an email message is not served at a nominated address for the purposes of s 459G until it has been converted from (illegible) electronic data by being accessed on the receiver’s computer with the use of a PDF reader application (like Acrobat Reader) and rendered into a complete and legible version of the document on a screen of a computer at the nominated address or printed as a hardcopy into a complete and legible copy of the document on a printer at the nominated address;</w:t>
      </w:r>
    </w:p>
    <w:p w14:paraId="097C5E0D" w14:textId="0D6F35C8" w:rsidR="002F0252" w:rsidRDefault="002F0252" w:rsidP="007E6103">
      <w:pPr>
        <w:pStyle w:val="ListNo1"/>
        <w:numPr>
          <w:ilvl w:val="0"/>
          <w:numId w:val="29"/>
        </w:numPr>
      </w:pPr>
      <w:r>
        <w:t xml:space="preserve">On the facts of this case, accepting that the Mitchell </w:t>
      </w:r>
      <w:r w:rsidR="00260DF6">
        <w:t>e</w:t>
      </w:r>
      <w:r>
        <w:t xml:space="preserve">mail was likely received by </w:t>
      </w:r>
      <w:r w:rsidR="00F13643">
        <w:t>the CFC Server</w:t>
      </w:r>
      <w:r>
        <w:t xml:space="preserve"> approximately </w:t>
      </w:r>
      <w:r w:rsidR="00260DF6">
        <w:t>eleven</w:t>
      </w:r>
      <w:r>
        <w:t xml:space="preserve"> seconds after it was sent, because Ms Fu’s computer was off at that time, it was not in fact delivered to Ms Fu’s computer (or to her office) before 4 February 2022, being after the e</w:t>
      </w:r>
      <w:r w:rsidR="003105F8">
        <w:t>nd</w:t>
      </w:r>
      <w:r w:rsidR="00F13643">
        <w:t xml:space="preserve"> </w:t>
      </w:r>
      <w:r>
        <w:t>of the statutory period;</w:t>
      </w:r>
    </w:p>
    <w:p w14:paraId="0330D39F" w14:textId="322FB9F9" w:rsidR="002F0252" w:rsidRDefault="002F0252" w:rsidP="007E6103">
      <w:pPr>
        <w:pStyle w:val="ListNo1"/>
        <w:numPr>
          <w:ilvl w:val="0"/>
          <w:numId w:val="29"/>
        </w:numPr>
      </w:pPr>
      <w:r>
        <w:t xml:space="preserve">Even if, which is not accepted, </w:t>
      </w:r>
      <w:proofErr w:type="spellStart"/>
      <w:r>
        <w:t>ss</w:t>
      </w:r>
      <w:proofErr w:type="spellEnd"/>
      <w:r>
        <w:t xml:space="preserve"> 105A and 105B of the Corporations Act or s 161 of the Evidence Act apply to </w:t>
      </w:r>
      <w:r w:rsidR="003105F8">
        <w:t xml:space="preserve">establish </w:t>
      </w:r>
      <w:r>
        <w:t xml:space="preserve">that the Mitchell </w:t>
      </w:r>
      <w:r w:rsidR="00260DF6">
        <w:t>e</w:t>
      </w:r>
      <w:r>
        <w:t>mail was received at the office of CFC Lawyers within the statutory timeframe, it is still the case that the mere receipt of that electronic communication did not constitute service as the documents were not received in legible form. Accordingly, if the</w:t>
      </w:r>
      <w:r w:rsidR="003105F8">
        <w:t>se</w:t>
      </w:r>
      <w:r>
        <w:t xml:space="preserve"> provisions apply, all that would be </w:t>
      </w:r>
      <w:r w:rsidR="003105F8">
        <w:t xml:space="preserve">established </w:t>
      </w:r>
      <w:r>
        <w:t>is that the (illegible) electronic communication had been received, not that copies of the originating documents had been received in complete and legible form;</w:t>
      </w:r>
    </w:p>
    <w:p w14:paraId="03332566" w14:textId="41114CE0" w:rsidR="002F0252" w:rsidRDefault="002F0252" w:rsidP="007E6103">
      <w:pPr>
        <w:pStyle w:val="ListNo1"/>
        <w:numPr>
          <w:ilvl w:val="0"/>
          <w:numId w:val="29"/>
        </w:numPr>
      </w:pPr>
      <w:r>
        <w:t xml:space="preserve">The originating documents were not converted into a legible form at the address nominated in the statutory demand until Ms Fu accessed her email and opened the Mitchell </w:t>
      </w:r>
      <w:r w:rsidR="00260DF6">
        <w:t>e</w:t>
      </w:r>
      <w:r>
        <w:t>mail on 4 February 2022;</w:t>
      </w:r>
    </w:p>
    <w:p w14:paraId="73A8FD64" w14:textId="361F4F3F" w:rsidR="00C33D7D" w:rsidRDefault="002F0252" w:rsidP="007E6103">
      <w:pPr>
        <w:pStyle w:val="ListNo1"/>
        <w:numPr>
          <w:ilvl w:val="0"/>
          <w:numId w:val="29"/>
        </w:numPr>
      </w:pPr>
      <w:proofErr w:type="spellStart"/>
      <w:r>
        <w:t>Bioaction</w:t>
      </w:r>
      <w:proofErr w:type="spellEnd"/>
      <w:r>
        <w:t xml:space="preserve"> therefore failed to serve the application and supporting affidavit at the address nominated in the statutory demand within the statutory period required by s</w:t>
      </w:r>
      <w:r w:rsidR="00260DF6">
        <w:t> </w:t>
      </w:r>
      <w:r>
        <w:t xml:space="preserve">459G of the </w:t>
      </w:r>
      <w:r w:rsidR="00260DF6">
        <w:t xml:space="preserve">Corporations </w:t>
      </w:r>
      <w:r>
        <w:t>Act</w:t>
      </w:r>
      <w:r w:rsidR="00C33D7D">
        <w:t>;</w:t>
      </w:r>
      <w:r w:rsidR="003105F8">
        <w:t xml:space="preserve"> and </w:t>
      </w:r>
    </w:p>
    <w:p w14:paraId="5C2E7B18" w14:textId="6257C3D2" w:rsidR="002F0252" w:rsidRDefault="00C33D7D" w:rsidP="007E6103">
      <w:pPr>
        <w:pStyle w:val="ListNo1"/>
        <w:numPr>
          <w:ilvl w:val="0"/>
          <w:numId w:val="29"/>
        </w:numPr>
      </w:pPr>
      <w:r>
        <w:t xml:space="preserve">Mr </w:t>
      </w:r>
      <w:proofErr w:type="spellStart"/>
      <w:r>
        <w:t>Ogborne</w:t>
      </w:r>
      <w:proofErr w:type="spellEnd"/>
      <w:r>
        <w:t xml:space="preserve"> agreed that the effective informal service rule has no application to the present case</w:t>
      </w:r>
      <w:r w:rsidR="002F0252">
        <w:t>.</w:t>
      </w:r>
    </w:p>
    <w:p w14:paraId="7E352BAA" w14:textId="77777777" w:rsidR="002F0252" w:rsidRDefault="002F0252" w:rsidP="002F0252">
      <w:pPr>
        <w:pStyle w:val="ParaNumbering"/>
      </w:pPr>
      <w:r>
        <w:t xml:space="preserve">Mr </w:t>
      </w:r>
      <w:proofErr w:type="spellStart"/>
      <w:r>
        <w:t>Ogborne</w:t>
      </w:r>
      <w:proofErr w:type="spellEnd"/>
      <w:r>
        <w:t xml:space="preserve"> submits that if the separate question is answered “no” the proceedings should be dismissed with costs.        </w:t>
      </w:r>
    </w:p>
    <w:p w14:paraId="58D91D28" w14:textId="77777777" w:rsidR="002F0252" w:rsidRDefault="002F0252" w:rsidP="002F0252">
      <w:pPr>
        <w:pStyle w:val="Heading1"/>
      </w:pPr>
      <w:r>
        <w:t>CONSIDERATION</w:t>
      </w:r>
    </w:p>
    <w:p w14:paraId="1C405FE0" w14:textId="77777777" w:rsidR="002F0252" w:rsidRDefault="002F0252" w:rsidP="002F0252">
      <w:pPr>
        <w:pStyle w:val="ParaNumbering"/>
      </w:pPr>
      <w:r>
        <w:t xml:space="preserve">There is no real dispute about the facts relevant to the separate question. </w:t>
      </w:r>
    </w:p>
    <w:p w14:paraId="477C4F7D" w14:textId="4F87D610" w:rsidR="002F0252" w:rsidRDefault="002F0252" w:rsidP="002F0252">
      <w:pPr>
        <w:pStyle w:val="ParaNumbering"/>
      </w:pPr>
      <w:r>
        <w:lastRenderedPageBreak/>
        <w:t xml:space="preserve">The authorities referred to by the parties are of assistance only in so </w:t>
      </w:r>
      <w:r w:rsidR="003A74B1">
        <w:t>f</w:t>
      </w:r>
      <w:r>
        <w:t>ar as they illuminate the statutory regime in its present iteration.</w:t>
      </w:r>
      <w:r w:rsidRPr="00062CFE">
        <w:t xml:space="preserve"> </w:t>
      </w:r>
      <w:r>
        <w:t>The starting, and finishing, point must be</w:t>
      </w:r>
      <w:r w:rsidR="00CA3E9B">
        <w:t xml:space="preserve"> the text of the relevant provisions in the context of</w:t>
      </w:r>
      <w:r w:rsidR="00493552">
        <w:t xml:space="preserve"> </w:t>
      </w:r>
      <w:r>
        <w:t>the legislative scheme.</w:t>
      </w:r>
      <w:r w:rsidR="00CA3E9B" w:rsidRPr="00CA3E9B">
        <w:t xml:space="preserve"> </w:t>
      </w:r>
      <w:r w:rsidR="00CA3E9B" w:rsidRPr="00580A43">
        <w:t xml:space="preserve">The relevant principles which inform the task of statutory construction </w:t>
      </w:r>
      <w:r w:rsidR="00CA3E9B">
        <w:t>require</w:t>
      </w:r>
      <w:r w:rsidR="00CA3E9B" w:rsidRPr="00580A43">
        <w:t xml:space="preserve"> consideration of the text, context and purpose: see, in particular, s 15AA of the Acts Interpretation Act; </w:t>
      </w:r>
      <w:r w:rsidR="00CA3E9B" w:rsidRPr="00BA20BB">
        <w:rPr>
          <w:i/>
        </w:rPr>
        <w:t xml:space="preserve">Project Blue Sky </w:t>
      </w:r>
      <w:proofErr w:type="spellStart"/>
      <w:r w:rsidR="00CA3E9B" w:rsidRPr="00BA20BB">
        <w:rPr>
          <w:i/>
        </w:rPr>
        <w:t>Inc</w:t>
      </w:r>
      <w:proofErr w:type="spellEnd"/>
      <w:r w:rsidR="00CA3E9B" w:rsidRPr="00BA20BB">
        <w:rPr>
          <w:i/>
        </w:rPr>
        <w:t xml:space="preserve"> v Australian Broadcasting Authority</w:t>
      </w:r>
      <w:r w:rsidR="00CA3E9B" w:rsidRPr="00580A43">
        <w:t xml:space="preserve"> [1998] HCA 28; 194 CLR 355 at </w:t>
      </w:r>
      <w:r w:rsidR="00CA3E9B">
        <w:t xml:space="preserve">381 </w:t>
      </w:r>
      <w:r w:rsidR="00CA3E9B" w:rsidRPr="00580A43">
        <w:t>[69]</w:t>
      </w:r>
      <w:r w:rsidR="00CA3E9B">
        <w:t xml:space="preserve"> (McHugh, </w:t>
      </w:r>
      <w:proofErr w:type="spellStart"/>
      <w:r w:rsidR="00CA3E9B">
        <w:t>Gummow</w:t>
      </w:r>
      <w:proofErr w:type="spellEnd"/>
      <w:r w:rsidR="00CA3E9B">
        <w:t>, Kirby and Hayne JJ)</w:t>
      </w:r>
      <w:r w:rsidR="00CA3E9B" w:rsidRPr="00580A43">
        <w:t xml:space="preserve">; </w:t>
      </w:r>
      <w:r w:rsidR="00CA3E9B" w:rsidRPr="00BA20BB">
        <w:rPr>
          <w:i/>
        </w:rPr>
        <w:t>Federal Commissioner of Taxation v Consolidated Media Holdings Ltd</w:t>
      </w:r>
      <w:r w:rsidR="00CA3E9B" w:rsidRPr="00580A43">
        <w:t xml:space="preserve"> [2012] HCA 55; 250 CLR 503 at </w:t>
      </w:r>
      <w:r w:rsidR="00CA3E9B">
        <w:t xml:space="preserve">519 </w:t>
      </w:r>
      <w:r w:rsidR="00CA3E9B" w:rsidRPr="00580A43">
        <w:t>[39]</w:t>
      </w:r>
      <w:r w:rsidR="00CA3E9B">
        <w:t xml:space="preserve"> (the Court)</w:t>
      </w:r>
      <w:r w:rsidR="00CA3E9B" w:rsidRPr="00580A43">
        <w:t xml:space="preserve">; </w:t>
      </w:r>
      <w:r w:rsidR="00CA3E9B" w:rsidRPr="00BA20BB">
        <w:rPr>
          <w:i/>
        </w:rPr>
        <w:t>Certain Lloyd’s Underwriters v Cross</w:t>
      </w:r>
      <w:r w:rsidR="00CA3E9B" w:rsidRPr="00580A43">
        <w:t xml:space="preserve"> [2012] HCA 56; 248 CLR 378 at </w:t>
      </w:r>
      <w:r w:rsidR="00CA3E9B">
        <w:t xml:space="preserve">389 – 39 </w:t>
      </w:r>
      <w:r w:rsidR="00CA3E9B" w:rsidRPr="00580A43">
        <w:t>[25]</w:t>
      </w:r>
      <w:r w:rsidR="00CA3E9B">
        <w:t xml:space="preserve"> </w:t>
      </w:r>
      <w:r w:rsidR="00CA3E9B" w:rsidRPr="00580A43">
        <w:t>–</w:t>
      </w:r>
      <w:r w:rsidR="00CA3E9B">
        <w:t xml:space="preserve"> </w:t>
      </w:r>
      <w:r w:rsidR="00CA3E9B" w:rsidRPr="00580A43">
        <w:t>[26]</w:t>
      </w:r>
      <w:r w:rsidR="00CA3E9B">
        <w:t xml:space="preserve"> (French CJ and Hayne J)</w:t>
      </w:r>
      <w:r w:rsidR="00CA3E9B" w:rsidRPr="00580A43">
        <w:t xml:space="preserve">; </w:t>
      </w:r>
      <w:r w:rsidR="00CA3E9B" w:rsidRPr="00BA20BB">
        <w:rPr>
          <w:i/>
        </w:rPr>
        <w:t xml:space="preserve">SZTAL v Minister for Immigration and Border Protection </w:t>
      </w:r>
      <w:r w:rsidR="00CA3E9B" w:rsidRPr="00430553">
        <w:t xml:space="preserve">[2017] HCA 34; 262 CLR 362 at </w:t>
      </w:r>
      <w:r w:rsidR="00CA3E9B">
        <w:t xml:space="preserve">368 </w:t>
      </w:r>
      <w:r w:rsidR="00CA3E9B" w:rsidRPr="00430553">
        <w:t>[14]</w:t>
      </w:r>
      <w:r w:rsidR="00CA3E9B">
        <w:t xml:space="preserve"> (</w:t>
      </w:r>
      <w:proofErr w:type="spellStart"/>
      <w:r w:rsidR="00CA3E9B">
        <w:t>Kiefel</w:t>
      </w:r>
      <w:proofErr w:type="spellEnd"/>
      <w:r w:rsidR="00CA3E9B">
        <w:t xml:space="preserve"> CJ, Nettle and Gordon JJ)</w:t>
      </w:r>
      <w:r w:rsidR="00CA3E9B" w:rsidRPr="00BA20BB">
        <w:rPr>
          <w:i/>
        </w:rPr>
        <w:t xml:space="preserve">; Construction, Forestry, Maritime, Mining and Energy Union v Australian Building and Construction Commissioner </w:t>
      </w:r>
      <w:r w:rsidR="00CA3E9B" w:rsidRPr="00580A43">
        <w:t xml:space="preserve">[2020] FCAFC 192; 282 FCR 1 at </w:t>
      </w:r>
      <w:r w:rsidR="00F13643">
        <w:t xml:space="preserve">5 </w:t>
      </w:r>
      <w:r w:rsidR="00CA3E9B" w:rsidRPr="00580A43">
        <w:t>[4]</w:t>
      </w:r>
      <w:r w:rsidR="00CA3E9B">
        <w:t xml:space="preserve"> (Allsop CJ)</w:t>
      </w:r>
      <w:r w:rsidR="00CA3E9B" w:rsidRPr="00580A43">
        <w:t>.</w:t>
      </w:r>
    </w:p>
    <w:p w14:paraId="7AF05B04" w14:textId="77777777" w:rsidR="00BC75EF" w:rsidRDefault="00BC75EF" w:rsidP="00BC75EF">
      <w:pPr>
        <w:pStyle w:val="ParaNumbering"/>
      </w:pPr>
      <w:r>
        <w:t xml:space="preserve">Section 459G(3) of the Corporations Act requires that within 21 days a copy of the application and supporting affidavit must be filed with the Court and served on the person who served the demand on the company. Here, the person who served the statutory demand on </w:t>
      </w:r>
      <w:proofErr w:type="spellStart"/>
      <w:r>
        <w:t>Bioaction</w:t>
      </w:r>
      <w:proofErr w:type="spellEnd"/>
      <w:r>
        <w:t xml:space="preserve"> was Mr </w:t>
      </w:r>
      <w:proofErr w:type="spellStart"/>
      <w:r>
        <w:t>Ogborne</w:t>
      </w:r>
      <w:proofErr w:type="spellEnd"/>
      <w:r>
        <w:t xml:space="preserve">, the creditor. </w:t>
      </w:r>
    </w:p>
    <w:p w14:paraId="71E0AD4C" w14:textId="2A47D216" w:rsidR="00BC75EF" w:rsidRDefault="00BC75EF" w:rsidP="00BC75EF">
      <w:pPr>
        <w:pStyle w:val="ParaNumbering"/>
      </w:pPr>
      <w:r>
        <w:t xml:space="preserve">The statutory demand specified that Mr </w:t>
      </w:r>
      <w:proofErr w:type="spellStart"/>
      <w:r>
        <w:t>Ogborne’s</w:t>
      </w:r>
      <w:proofErr w:type="spellEnd"/>
      <w:r>
        <w:t xml:space="preserve"> address for service of copies of any application and affidavit was CFC </w:t>
      </w:r>
      <w:r w:rsidR="006A4E76">
        <w:t>L</w:t>
      </w:r>
      <w:r>
        <w:t xml:space="preserve">awyers, Level 1, Oro House, 39 Bay Street, Double Bay NSW 2028. That the address of his lawyers was provided as Mr </w:t>
      </w:r>
      <w:proofErr w:type="spellStart"/>
      <w:r>
        <w:t>Ogborne’s</w:t>
      </w:r>
      <w:proofErr w:type="spellEnd"/>
      <w:r>
        <w:t xml:space="preserve"> address for service was required by s 459E(2)(e) of the Corporations Act and Form 509H</w:t>
      </w:r>
      <w:r w:rsidR="009258A8">
        <w:t xml:space="preserve"> which </w:t>
      </w:r>
      <w:r>
        <w:t>expressly stipulate</w:t>
      </w:r>
      <w:r w:rsidR="00CA3E9B">
        <w:t>s</w:t>
      </w:r>
      <w:r>
        <w:t xml:space="preserve"> that </w:t>
      </w:r>
      <w:r w:rsidRPr="009204FE">
        <w:t>if solicitors are acting for the creditor, the address of the solicitors</w:t>
      </w:r>
      <w:r>
        <w:t xml:space="preserve"> must be given as the address of the creditor for service</w:t>
      </w:r>
      <w:r w:rsidRPr="00AF0EC0">
        <w:t>.</w:t>
      </w:r>
      <w:r>
        <w:t xml:space="preserve"> </w:t>
      </w:r>
    </w:p>
    <w:p w14:paraId="53653EC2" w14:textId="7360BF26" w:rsidR="00BC75EF" w:rsidRDefault="00BC75EF" w:rsidP="00BC75EF">
      <w:pPr>
        <w:pStyle w:val="ParaNumbering"/>
      </w:pPr>
      <w:r>
        <w:t xml:space="preserve">The requirement in s 459G(3)(b) to serve the documents “on the person who served the demand” is met where the documents are served at the address for service specified in the statutory demand: </w:t>
      </w:r>
      <w:r w:rsidRPr="009258A8">
        <w:t xml:space="preserve">see </w:t>
      </w:r>
      <w:r w:rsidRPr="00430553">
        <w:t>[</w:t>
      </w:r>
      <w:r w:rsidR="00115F48" w:rsidRPr="00430553">
        <w:fldChar w:fldCharType="begin"/>
      </w:r>
      <w:r w:rsidR="00115F48" w:rsidRPr="00430553">
        <w:instrText xml:space="preserve"> REF _Ref101811133 \r \h </w:instrText>
      </w:r>
      <w:r w:rsidR="009258A8">
        <w:instrText xml:space="preserve"> \* MERGEFORMAT </w:instrText>
      </w:r>
      <w:r w:rsidR="00115F48" w:rsidRPr="00430553">
        <w:fldChar w:fldCharType="separate"/>
      </w:r>
      <w:r w:rsidR="00493552">
        <w:t>39</w:t>
      </w:r>
      <w:r w:rsidR="00115F48" w:rsidRPr="00430553">
        <w:fldChar w:fldCharType="end"/>
      </w:r>
      <w:r w:rsidRPr="00430553">
        <w:t>]</w:t>
      </w:r>
      <w:r w:rsidR="009258A8" w:rsidRPr="00430553">
        <w:t xml:space="preserve"> </w:t>
      </w:r>
      <w:r w:rsidRPr="00430553">
        <w:t>-</w:t>
      </w:r>
      <w:r w:rsidR="009258A8" w:rsidRPr="00430553">
        <w:t xml:space="preserve"> </w:t>
      </w:r>
      <w:r w:rsidRPr="00430553">
        <w:t>[</w:t>
      </w:r>
      <w:r w:rsidR="00115F48" w:rsidRPr="00430553">
        <w:fldChar w:fldCharType="begin"/>
      </w:r>
      <w:r w:rsidR="00115F48" w:rsidRPr="00430553">
        <w:instrText xml:space="preserve"> REF _Ref101811142 \r \h </w:instrText>
      </w:r>
      <w:r w:rsidR="009258A8">
        <w:instrText xml:space="preserve"> \* MERGEFORMAT </w:instrText>
      </w:r>
      <w:r w:rsidR="00115F48" w:rsidRPr="00430553">
        <w:fldChar w:fldCharType="separate"/>
      </w:r>
      <w:r w:rsidR="00493552">
        <w:t>40</w:t>
      </w:r>
      <w:r w:rsidR="00115F48" w:rsidRPr="00430553">
        <w:fldChar w:fldCharType="end"/>
      </w:r>
      <w:r w:rsidRPr="00430553">
        <w:t>]</w:t>
      </w:r>
      <w:r w:rsidRPr="009258A8">
        <w:t xml:space="preserve"> above</w:t>
      </w:r>
      <w:r>
        <w:t xml:space="preserve">. In </w:t>
      </w:r>
      <w:r w:rsidRPr="0018162A">
        <w:rPr>
          <w:i/>
        </w:rPr>
        <w:t xml:space="preserve">World Square Realty </w:t>
      </w:r>
      <w:r>
        <w:t>at [16], Brereton J said:</w:t>
      </w:r>
    </w:p>
    <w:p w14:paraId="6E2585F2" w14:textId="358A497C" w:rsidR="00BC75EF" w:rsidRDefault="00115F48" w:rsidP="00BC75EF">
      <w:pPr>
        <w:pStyle w:val="Quote1"/>
      </w:pPr>
      <w:r>
        <w:t>…</w:t>
      </w:r>
      <w:r w:rsidR="00BC75EF" w:rsidRPr="00127F5D">
        <w:t xml:space="preserve">The only purpose for providing for an address for service is to identify a place at which a s 459G demand could be served. In </w:t>
      </w:r>
      <w:proofErr w:type="spellStart"/>
      <w:r w:rsidR="00BC75EF" w:rsidRPr="00127F5D">
        <w:rPr>
          <w:i/>
        </w:rPr>
        <w:t>Zipvac</w:t>
      </w:r>
      <w:proofErr w:type="spellEnd"/>
      <w:r w:rsidR="00BC75EF" w:rsidRPr="00127F5D">
        <w:rPr>
          <w:i/>
        </w:rPr>
        <w:t xml:space="preserve"> Australia Pty Limited v James</w:t>
      </w:r>
      <w:r w:rsidR="00BC75EF" w:rsidRPr="00127F5D">
        <w:t xml:space="preserve"> [2011] NSWSC 392, Barrett J stated, albeit obiter, that the service of the originating process and supporting affidavit at the address specified for service on the statutory demand must be regarded as good service, even if it was the address of the creditor's solicitor and not the creditor itself</w:t>
      </w:r>
      <w:r>
        <w:t xml:space="preserve"> [see also </w:t>
      </w:r>
      <w:proofErr w:type="spellStart"/>
      <w:r>
        <w:rPr>
          <w:i/>
          <w:iCs/>
          <w:sz w:val="23"/>
          <w:szCs w:val="23"/>
        </w:rPr>
        <w:t>Newsnet</w:t>
      </w:r>
      <w:proofErr w:type="spellEnd"/>
      <w:r>
        <w:rPr>
          <w:i/>
          <w:iCs/>
          <w:sz w:val="23"/>
          <w:szCs w:val="23"/>
        </w:rPr>
        <w:t xml:space="preserve"> Pty Limited v Patching </w:t>
      </w:r>
      <w:r>
        <w:rPr>
          <w:sz w:val="23"/>
          <w:szCs w:val="23"/>
        </w:rPr>
        <w:t xml:space="preserve">[2011] NSWSC 690; </w:t>
      </w:r>
      <w:r>
        <w:rPr>
          <w:i/>
          <w:iCs/>
          <w:sz w:val="23"/>
          <w:szCs w:val="23"/>
        </w:rPr>
        <w:t xml:space="preserve">The Site Foreman Pty Limited v Brand </w:t>
      </w:r>
      <w:r>
        <w:rPr>
          <w:sz w:val="23"/>
          <w:szCs w:val="23"/>
        </w:rPr>
        <w:t xml:space="preserve">[2011] NSWSC 451; </w:t>
      </w:r>
      <w:r>
        <w:rPr>
          <w:i/>
          <w:iCs/>
          <w:sz w:val="23"/>
          <w:szCs w:val="23"/>
        </w:rPr>
        <w:t xml:space="preserve">Woodgate v </w:t>
      </w:r>
      <w:proofErr w:type="spellStart"/>
      <w:r>
        <w:rPr>
          <w:i/>
          <w:iCs/>
          <w:sz w:val="23"/>
          <w:szCs w:val="23"/>
        </w:rPr>
        <w:t>Garard</w:t>
      </w:r>
      <w:proofErr w:type="spellEnd"/>
      <w:r>
        <w:rPr>
          <w:i/>
          <w:iCs/>
          <w:sz w:val="23"/>
          <w:szCs w:val="23"/>
        </w:rPr>
        <w:t xml:space="preserve"> Pty Limited </w:t>
      </w:r>
      <w:r>
        <w:rPr>
          <w:sz w:val="23"/>
          <w:szCs w:val="23"/>
        </w:rPr>
        <w:t>[2010] NSWSC 508]</w:t>
      </w:r>
      <w:r w:rsidR="00BC75EF">
        <w:t xml:space="preserve">. </w:t>
      </w:r>
    </w:p>
    <w:p w14:paraId="30907D37" w14:textId="3920835F" w:rsidR="00BC75EF" w:rsidRDefault="00BC75EF" w:rsidP="00BC75EF">
      <w:pPr>
        <w:pStyle w:val="ParaNumbering"/>
      </w:pPr>
      <w:r>
        <w:lastRenderedPageBreak/>
        <w:t>Personal service of the s 459G originating documents on the creditor or the creditor’s nominated agent (as nominated in paragraph 6 of the statutory demand) is not required for the purposes of s 459G(2) and (3): see [</w:t>
      </w:r>
      <w:r w:rsidR="0030286C">
        <w:fldChar w:fldCharType="begin"/>
      </w:r>
      <w:r w:rsidR="0030286C">
        <w:instrText xml:space="preserve"> REF _Ref101811142 \r \h </w:instrText>
      </w:r>
      <w:r w:rsidR="0030286C">
        <w:fldChar w:fldCharType="separate"/>
      </w:r>
      <w:r w:rsidR="00493552">
        <w:t>40</w:t>
      </w:r>
      <w:r w:rsidR="0030286C">
        <w:fldChar w:fldCharType="end"/>
      </w:r>
      <w:r>
        <w:t xml:space="preserve">] above. </w:t>
      </w:r>
    </w:p>
    <w:p w14:paraId="32207AD4" w14:textId="77777777" w:rsidR="00BC75EF" w:rsidRDefault="00BC75EF" w:rsidP="00BC75EF">
      <w:pPr>
        <w:pStyle w:val="ParaNumbering"/>
      </w:pPr>
      <w:r>
        <w:t xml:space="preserve">Mr </w:t>
      </w:r>
      <w:proofErr w:type="spellStart"/>
      <w:r>
        <w:t>Ogborne</w:t>
      </w:r>
      <w:proofErr w:type="spellEnd"/>
      <w:r>
        <w:t xml:space="preserve"> maintained a submission that personal service is required by reason of the application of the Corporation Rules and the Rules because the s 459G application is an originating process of the Court. Mr </w:t>
      </w:r>
      <w:proofErr w:type="spellStart"/>
      <w:r>
        <w:t>Ogborne’s</w:t>
      </w:r>
      <w:proofErr w:type="spellEnd"/>
      <w:r>
        <w:t xml:space="preserve"> written submission was as follows (footnotes omitted):</w:t>
      </w:r>
    </w:p>
    <w:p w14:paraId="2314D44F" w14:textId="77777777" w:rsidR="00BC75EF" w:rsidRDefault="00BC75EF" w:rsidP="00BC75EF">
      <w:pPr>
        <w:pStyle w:val="Quote1"/>
        <w:ind w:left="1418" w:hanging="709"/>
      </w:pPr>
      <w:r>
        <w:t xml:space="preserve">17. </w:t>
      </w:r>
      <w:r>
        <w:tab/>
        <w:t>By rule 2.2 of the [Corporations Rules], an application permitted to be made by the Act must be made to the Federal Court by filing an originating process. The [Rules] apply to a proceeding commenced under the Act to the extent that they are relevant and not inconsistent with the Corporations Rules. Rule 2.7(1) of the Corporations Rules requires the plaintiff to serve a copy of the originating process and any supporting affidavit on each defendant. Rule 8.06 of the [Rules] requires an applicant to serve a copy of the originating application personally on each respondent. Rule 10.01 of the [Rules] provides that a document that is to be served personally on an individual must be served by leaving the document with that individual. The Court Rules make two limited provisions for an originating application to be served on an individual other than personally. Rule 10.22 provides that a lawyer may accept service if the lawyer has such authority and endorses a note on a copy of the document that the lawyer accepts service of the document for the respondent. Rule 10.28 provides that, if a respondent has agreed that an originating application may be served in a way or place mentioned in the agreement, then the application may be served in accordance with the agreement. There is no suggestion that either of these rules apply. As a result, the Application was not served in accordance with the Corporations Rules or the [Rules].</w:t>
      </w:r>
    </w:p>
    <w:p w14:paraId="7121A480" w14:textId="77777777" w:rsidR="00BC75EF" w:rsidRDefault="00BC75EF" w:rsidP="00BC75EF">
      <w:pPr>
        <w:pStyle w:val="Quote1"/>
        <w:ind w:left="1418" w:hanging="709"/>
      </w:pPr>
      <w:r>
        <w:t xml:space="preserve">18. </w:t>
      </w:r>
      <w:r>
        <w:tab/>
        <w:t>The rules as to service of documents that are not required to be served personally are contained in Division 10.3 of the [Rules]. Rule 10.31 provides that a document that is not required to be served personally may be served electronically if the person has filed a notice authorising service by electronic communication or may be served at a party’s lawyer’s email address if the party is represented by a lawyer who has filed a notice of address for service that conforms with rule 11.01.</w:t>
      </w:r>
      <w:r w:rsidRPr="00581979">
        <w:t xml:space="preserve"> </w:t>
      </w:r>
      <w:r>
        <w:t xml:space="preserve">As at 3 February 2022, prior to any service of the originating application, neither the Defendant nor his solicitor had filed any notice of address for service. Hence, there can be no suggestion that the [Rules] authorised service of the Application by email.  </w:t>
      </w:r>
    </w:p>
    <w:p w14:paraId="41AEAAA0" w14:textId="3EAF59C3" w:rsidR="00BC75EF" w:rsidRPr="004D5BFB" w:rsidRDefault="00BC75EF" w:rsidP="00BC75EF">
      <w:pPr>
        <w:pStyle w:val="ParaNumbering"/>
      </w:pPr>
      <w:r>
        <w:t xml:space="preserve">The difficulty with this submission is that it is contrary to binding authority, namely </w:t>
      </w:r>
      <w:r w:rsidRPr="004D5BFB">
        <w:rPr>
          <w:i/>
        </w:rPr>
        <w:t xml:space="preserve">Rochester Communications </w:t>
      </w:r>
      <w:r w:rsidRPr="004D5BFB">
        <w:t>at</w:t>
      </w:r>
      <w:r>
        <w:t xml:space="preserve"> 589 </w:t>
      </w:r>
      <w:r w:rsidRPr="003A74B1">
        <w:t xml:space="preserve">(Beaumont J) and </w:t>
      </w:r>
      <w:r>
        <w:t>599 - 600 (</w:t>
      </w:r>
      <w:r w:rsidRPr="003A74B1">
        <w:t>Moore J</w:t>
      </w:r>
      <w:r>
        <w:t>) which approved</w:t>
      </w:r>
      <w:r w:rsidR="00F71BE0">
        <w:t xml:space="preserve"> Lander J’s </w:t>
      </w:r>
      <w:r>
        <w:t>conclusion in</w:t>
      </w:r>
      <w:r w:rsidRPr="000F4E87">
        <w:rPr>
          <w:i/>
        </w:rPr>
        <w:t xml:space="preserve"> </w:t>
      </w:r>
      <w:r w:rsidRPr="004D5BFB">
        <w:rPr>
          <w:i/>
        </w:rPr>
        <w:t xml:space="preserve">Players </w:t>
      </w:r>
      <w:r w:rsidRPr="004D5BFB">
        <w:t xml:space="preserve">at </w:t>
      </w:r>
      <w:r>
        <w:t>921 that notwithstanding that the s 459G application is an originating process of the Court, the court rules do</w:t>
      </w:r>
      <w:r w:rsidR="00CA3E9B">
        <w:t xml:space="preserve"> not</w:t>
      </w:r>
      <w:r>
        <w:t xml:space="preserve"> apply and therefore personal service on a creditor who is a natural person is not required. Where, as here, the statutory demand nominated a place at which any s 459G application may be served, the requirements of the section were met when the documents are delivered to and received at that address: </w:t>
      </w:r>
      <w:r w:rsidRPr="004D5BFB">
        <w:rPr>
          <w:i/>
        </w:rPr>
        <w:t xml:space="preserve">Players </w:t>
      </w:r>
      <w:r w:rsidRPr="004D5BFB">
        <w:t xml:space="preserve">at </w:t>
      </w:r>
      <w:r>
        <w:t>921 (</w:t>
      </w:r>
      <w:r w:rsidRPr="004D5BFB">
        <w:t>Lander J</w:t>
      </w:r>
      <w:r>
        <w:t>)</w:t>
      </w:r>
      <w:r w:rsidRPr="004D5BFB">
        <w:t xml:space="preserve">; </w:t>
      </w:r>
      <w:proofErr w:type="spellStart"/>
      <w:r w:rsidRPr="0024537D">
        <w:rPr>
          <w:i/>
        </w:rPr>
        <w:t>Howship</w:t>
      </w:r>
      <w:proofErr w:type="spellEnd"/>
      <w:r w:rsidRPr="0024537D">
        <w:rPr>
          <w:i/>
        </w:rPr>
        <w:t xml:space="preserve"> </w:t>
      </w:r>
      <w:r w:rsidRPr="0024537D">
        <w:rPr>
          <w:i/>
        </w:rPr>
        <w:lastRenderedPageBreak/>
        <w:t>Holdings</w:t>
      </w:r>
      <w:r w:rsidRPr="004D5BFB">
        <w:rPr>
          <w:i/>
        </w:rPr>
        <w:t xml:space="preserve"> </w:t>
      </w:r>
      <w:r w:rsidRPr="004D5BFB">
        <w:t>at 544</w:t>
      </w:r>
      <w:r>
        <w:t xml:space="preserve"> </w:t>
      </w:r>
      <w:r w:rsidRPr="004D5BFB">
        <w:t>-</w:t>
      </w:r>
      <w:r>
        <w:t xml:space="preserve"> </w:t>
      </w:r>
      <w:r w:rsidRPr="004D5BFB">
        <w:t>545 (Young J);</w:t>
      </w:r>
      <w:r w:rsidRPr="004D5BFB">
        <w:rPr>
          <w:i/>
        </w:rPr>
        <w:t xml:space="preserve"> SGR Pastoral </w:t>
      </w:r>
      <w:r w:rsidRPr="004D5BFB">
        <w:t xml:space="preserve">at [17], [21] </w:t>
      </w:r>
      <w:r>
        <w:t>(</w:t>
      </w:r>
      <w:proofErr w:type="spellStart"/>
      <w:r w:rsidRPr="004D5BFB">
        <w:t>Bowskill</w:t>
      </w:r>
      <w:proofErr w:type="spellEnd"/>
      <w:r w:rsidRPr="004D5BFB">
        <w:t xml:space="preserve"> J</w:t>
      </w:r>
      <w:r>
        <w:t>)</w:t>
      </w:r>
      <w:r w:rsidRPr="004D5BFB">
        <w:t xml:space="preserve">; </w:t>
      </w:r>
      <w:proofErr w:type="spellStart"/>
      <w:r w:rsidRPr="004D5BFB">
        <w:rPr>
          <w:i/>
        </w:rPr>
        <w:t>Newsnet</w:t>
      </w:r>
      <w:proofErr w:type="spellEnd"/>
      <w:r w:rsidRPr="004D5BFB">
        <w:rPr>
          <w:i/>
        </w:rPr>
        <w:t xml:space="preserve"> </w:t>
      </w:r>
      <w:r w:rsidRPr="004D5BFB">
        <w:t xml:space="preserve">at </w:t>
      </w:r>
      <w:r w:rsidR="00F13643">
        <w:t xml:space="preserve">111 – 113 </w:t>
      </w:r>
      <w:r w:rsidRPr="004D5BFB">
        <w:t xml:space="preserve">[23]-[30] </w:t>
      </w:r>
      <w:r>
        <w:t>(</w:t>
      </w:r>
      <w:r w:rsidRPr="004D5BFB">
        <w:t>White J</w:t>
      </w:r>
      <w:r>
        <w:t>)</w:t>
      </w:r>
      <w:r w:rsidRPr="004D5BFB">
        <w:t xml:space="preserve">; </w:t>
      </w:r>
      <w:r w:rsidRPr="002E7694">
        <w:rPr>
          <w:i/>
        </w:rPr>
        <w:t>World Square Realty</w:t>
      </w:r>
      <w:r w:rsidRPr="004D5BFB">
        <w:rPr>
          <w:i/>
        </w:rPr>
        <w:t xml:space="preserve"> </w:t>
      </w:r>
      <w:r w:rsidRPr="004D5BFB">
        <w:t>at [16]</w:t>
      </w:r>
      <w:r>
        <w:t xml:space="preserve"> </w:t>
      </w:r>
      <w:r w:rsidRPr="004D5BFB">
        <w:t>-</w:t>
      </w:r>
      <w:r>
        <w:t xml:space="preserve"> </w:t>
      </w:r>
      <w:r w:rsidRPr="004D5BFB">
        <w:t xml:space="preserve">[17] </w:t>
      </w:r>
      <w:r>
        <w:t>(</w:t>
      </w:r>
      <w:r w:rsidRPr="004D5BFB">
        <w:t xml:space="preserve">Brereton J); </w:t>
      </w:r>
      <w:r w:rsidRPr="002E7694">
        <w:rPr>
          <w:i/>
        </w:rPr>
        <w:t>The Site Foreman</w:t>
      </w:r>
      <w:r w:rsidRPr="004D5BFB">
        <w:rPr>
          <w:i/>
        </w:rPr>
        <w:t xml:space="preserve"> </w:t>
      </w:r>
      <w:r w:rsidRPr="004D5BFB">
        <w:t xml:space="preserve">at [26] </w:t>
      </w:r>
      <w:r>
        <w:t>(</w:t>
      </w:r>
      <w:r w:rsidRPr="004D5BFB">
        <w:t>Barrett J).</w:t>
      </w:r>
    </w:p>
    <w:p w14:paraId="64D486E7" w14:textId="156C040D" w:rsidR="00BC75EF" w:rsidRDefault="00BC75EF" w:rsidP="00BC75EF">
      <w:pPr>
        <w:pStyle w:val="ParaNumbering"/>
      </w:pPr>
      <w:r>
        <w:t xml:space="preserve">In any event, Mr </w:t>
      </w:r>
      <w:proofErr w:type="spellStart"/>
      <w:r>
        <w:t>Ogborne</w:t>
      </w:r>
      <w:proofErr w:type="spellEnd"/>
      <w:r>
        <w:t xml:space="preserve"> appeared to accept that “recent first instance decisions tend to the view that the requirement in s 459G(3)(b) to serve the application and supporting affidavit “on the person who served the demand”</w:t>
      </w:r>
      <w:r w:rsidR="00B4027F">
        <w:t>”</w:t>
      </w:r>
      <w:r>
        <w:t xml:space="preserve"> will be met where those documents are served at the address for service specified in the statutory demand. In this context, counsel for Mr </w:t>
      </w:r>
      <w:proofErr w:type="spellStart"/>
      <w:r>
        <w:t>Ogborne</w:t>
      </w:r>
      <w:proofErr w:type="spellEnd"/>
      <w:r>
        <w:t>, focussed on email as the means by which the documents were, to use a neutral word, delivered to the nominated address and submitted:</w:t>
      </w:r>
    </w:p>
    <w:p w14:paraId="48483066" w14:textId="77777777" w:rsidR="00BC75EF" w:rsidRDefault="00BC75EF" w:rsidP="00BC75EF">
      <w:pPr>
        <w:pStyle w:val="Quote1"/>
      </w:pPr>
      <w:r>
        <w:t xml:space="preserve">…Mere receipt of the (illegible) electronic communication at the nominated address does not constitute service of the document at the nominated address. In the case of a document that has been scanned and converted into a PDF data file, which data file has been attached to an email message, the document is not served at a nominated address for the purposes of s 459G merely by the (illegible) electronic communication being received and stored on a remote server or downloaded from the server to a computer at the nominated address. The electronic data sent with the email cannot be read. A document sent as a PDF data file attached to an email message is not served at a nominated address for the purposes of s 459G until it has been converted from (illegible) electronic data by being accessed on the receiver’s computer with the use of a PDF reader application (like Acrobat Reader) and rendered into a complete and legible version of the document on a screen of a computer at the nominated address or printed as a hardcopy into a complete and legible copy of the document on a printer at the nominated address. In general terms, a PDF data file will be converted and rendered into a complete and legible version of the document on the screen of a computer on being opened from an email application.  </w:t>
      </w:r>
    </w:p>
    <w:p w14:paraId="147582CA" w14:textId="77777777" w:rsidR="00BC75EF" w:rsidRDefault="00BC75EF" w:rsidP="00BC75EF">
      <w:pPr>
        <w:pStyle w:val="ParaNumbering"/>
      </w:pPr>
      <w:r>
        <w:t xml:space="preserve">Where personal service is not required, the means by which documents are served at a nominated address is immaterial, provided they arrive there: </w:t>
      </w:r>
      <w:r w:rsidRPr="0011501A">
        <w:rPr>
          <w:i/>
        </w:rPr>
        <w:t>SGR Pastoral</w:t>
      </w:r>
      <w:r>
        <w:t xml:space="preserve"> at [23] and the authorities cited therein. </w:t>
      </w:r>
    </w:p>
    <w:p w14:paraId="7B2728AA" w14:textId="77777777" w:rsidR="00BC75EF" w:rsidRDefault="00BC75EF" w:rsidP="00BC75EF">
      <w:pPr>
        <w:pStyle w:val="ParaNumbering"/>
      </w:pPr>
      <w:bookmarkStart w:id="26" w:name="_Ref101817058"/>
      <w:r>
        <w:t xml:space="preserve">With respect to service by email, after a comprehensive survey of the authorities, </w:t>
      </w:r>
      <w:proofErr w:type="spellStart"/>
      <w:r>
        <w:t>Bowskill</w:t>
      </w:r>
      <w:proofErr w:type="spellEnd"/>
      <w:r>
        <w:t xml:space="preserve"> J in </w:t>
      </w:r>
      <w:r w:rsidRPr="00AD1994">
        <w:rPr>
          <w:i/>
        </w:rPr>
        <w:t>SGR Pastoral</w:t>
      </w:r>
      <w:r>
        <w:t xml:space="preserve"> concluded (footnotes omitted):</w:t>
      </w:r>
      <w:bookmarkEnd w:id="26"/>
    </w:p>
    <w:p w14:paraId="2850052F" w14:textId="77777777" w:rsidR="00BC75EF" w:rsidRDefault="00BC75EF" w:rsidP="00BC75EF">
      <w:pPr>
        <w:pStyle w:val="Quote1"/>
        <w:ind w:left="1276" w:hanging="567"/>
      </w:pPr>
      <w:r>
        <w:t xml:space="preserve">[37] </w:t>
      </w:r>
      <w:r>
        <w:tab/>
        <w:t>In the case of service by email, in my view, what must be shown is that the electronic copy of the application and supporting affidavit was received, in a complete and legible form, at the address for service, within the prescribed time. That is, that the email was sent to an email address that belongs to the nominated agent for service …; that the email attaching the documents to be served actually arrived at the email address; and that the email and attached documents were capable of being opened and read (even if they were not opened and read until later).</w:t>
      </w:r>
    </w:p>
    <w:p w14:paraId="20E3A6A1" w14:textId="2BF66015" w:rsidR="00BC75EF" w:rsidRDefault="00BC75EF" w:rsidP="00BC75EF">
      <w:pPr>
        <w:pStyle w:val="Quote1"/>
        <w:ind w:left="1276" w:hanging="567"/>
      </w:pPr>
      <w:r>
        <w:t xml:space="preserve">[38] </w:t>
      </w:r>
      <w:r>
        <w:tab/>
        <w:t xml:space="preserve">In this regard, I agree with and adopt White J’s approach in </w:t>
      </w:r>
      <w:proofErr w:type="spellStart"/>
      <w:r w:rsidRPr="0092168A">
        <w:rPr>
          <w:i/>
        </w:rPr>
        <w:t>Newsnet</w:t>
      </w:r>
      <w:proofErr w:type="spellEnd"/>
      <w:r>
        <w:t xml:space="preserve">. To the extent that Austin J in </w:t>
      </w:r>
      <w:r w:rsidRPr="0092168A">
        <w:rPr>
          <w:i/>
        </w:rPr>
        <w:t>Austar Finance</w:t>
      </w:r>
      <w:r>
        <w:t xml:space="preserve"> is to be understood as articulating a requirement that service by email is not effective until the email is actually opened and the documents are read, I disagree and prefer the approach of </w:t>
      </w:r>
      <w:r>
        <w:lastRenderedPageBreak/>
        <w:t>White</w:t>
      </w:r>
      <w:r w:rsidR="006A4E76">
        <w:t> </w:t>
      </w:r>
      <w:r>
        <w:t xml:space="preserve">J, which is consistent with the general principles as to service, including as discussed by McMurdo J in </w:t>
      </w:r>
      <w:r w:rsidRPr="0092168A">
        <w:rPr>
          <w:i/>
        </w:rPr>
        <w:t xml:space="preserve">Conveyor &amp; General Engineering Pty Ltd v </w:t>
      </w:r>
      <w:proofErr w:type="spellStart"/>
      <w:r w:rsidRPr="0092168A">
        <w:rPr>
          <w:i/>
        </w:rPr>
        <w:t>Basetec</w:t>
      </w:r>
      <w:proofErr w:type="spellEnd"/>
      <w:r w:rsidRPr="0092168A">
        <w:rPr>
          <w:i/>
        </w:rPr>
        <w:t xml:space="preserve"> Services</w:t>
      </w:r>
      <w:r>
        <w:t>, that actual service does not require the recipient to read the document. However, as McMurdo J said, “it does require something in the nature of a receipt of the document”.</w:t>
      </w:r>
    </w:p>
    <w:p w14:paraId="587C3E10" w14:textId="77777777" w:rsidR="00BC75EF" w:rsidRDefault="00BC75EF" w:rsidP="00BC75EF">
      <w:pPr>
        <w:pStyle w:val="Quote1"/>
        <w:ind w:left="1276" w:hanging="567"/>
      </w:pPr>
      <w:r>
        <w:t xml:space="preserve">[39] </w:t>
      </w:r>
      <w:r>
        <w:tab/>
        <w:t>This is also consistent with the well-established principle, in the case of service by non-electronic means, that if hard copies of the documents are left at the nominated place for service on a particular day, even if that was by sliding an envelope containing the documents under a closed door (and even if that was after office hours), that would be effective service on the day of delivery.</w:t>
      </w:r>
    </w:p>
    <w:p w14:paraId="3165C1E8" w14:textId="77777777" w:rsidR="00BC75EF" w:rsidRDefault="00BC75EF" w:rsidP="00BC75EF">
      <w:pPr>
        <w:pStyle w:val="Quote1"/>
        <w:ind w:left="1276" w:hanging="539"/>
      </w:pPr>
      <w:r>
        <w:t xml:space="preserve">[40] </w:t>
      </w:r>
      <w:r>
        <w:tab/>
        <w:t xml:space="preserve">I can see no reason why the position should be any different, in the case of electronic copies of the documents received either by facsimile transmission or email.  </w:t>
      </w:r>
    </w:p>
    <w:p w14:paraId="27CCAFCF" w14:textId="2F5B66CE" w:rsidR="00BC75EF" w:rsidRDefault="00BC75EF" w:rsidP="00BC75EF">
      <w:pPr>
        <w:pStyle w:val="ParaNumbering"/>
        <w:rPr>
          <w:lang w:eastAsia="en-AU"/>
        </w:rPr>
      </w:pPr>
      <w:r>
        <w:rPr>
          <w:lang w:eastAsia="en-AU"/>
        </w:rPr>
        <w:t xml:space="preserve">I agree. In so doing, I am conscious that a different view was taken in the decisions of single judges of this Court referred to </w:t>
      </w:r>
      <w:r w:rsidRPr="00465C3C">
        <w:rPr>
          <w:lang w:eastAsia="en-AU"/>
        </w:rPr>
        <w:t xml:space="preserve">in </w:t>
      </w:r>
      <w:r w:rsidRPr="00430553">
        <w:rPr>
          <w:lang w:eastAsia="en-AU"/>
        </w:rPr>
        <w:t>[</w:t>
      </w:r>
      <w:r w:rsidR="00465C3C" w:rsidRPr="00430553">
        <w:rPr>
          <w:lang w:eastAsia="en-AU"/>
        </w:rPr>
        <w:fldChar w:fldCharType="begin"/>
      </w:r>
      <w:r w:rsidR="00465C3C" w:rsidRPr="00430553">
        <w:rPr>
          <w:lang w:eastAsia="en-AU"/>
        </w:rPr>
        <w:instrText xml:space="preserve"> REF _Ref101811956 \r \h </w:instrText>
      </w:r>
      <w:r w:rsidR="00465C3C">
        <w:rPr>
          <w:lang w:eastAsia="en-AU"/>
        </w:rPr>
        <w:instrText xml:space="preserve"> \* MERGEFORMAT </w:instrText>
      </w:r>
      <w:r w:rsidR="00465C3C" w:rsidRPr="00430553">
        <w:rPr>
          <w:lang w:eastAsia="en-AU"/>
        </w:rPr>
      </w:r>
      <w:r w:rsidR="00465C3C" w:rsidRPr="00430553">
        <w:rPr>
          <w:lang w:eastAsia="en-AU"/>
        </w:rPr>
        <w:fldChar w:fldCharType="separate"/>
      </w:r>
      <w:r w:rsidR="00493552">
        <w:rPr>
          <w:lang w:eastAsia="en-AU"/>
        </w:rPr>
        <w:t>43</w:t>
      </w:r>
      <w:r w:rsidR="00465C3C" w:rsidRPr="00430553">
        <w:rPr>
          <w:lang w:eastAsia="en-AU"/>
        </w:rPr>
        <w:fldChar w:fldCharType="end"/>
      </w:r>
      <w:r w:rsidRPr="00465C3C">
        <w:rPr>
          <w:lang w:eastAsia="en-AU"/>
        </w:rPr>
        <w:t>]</w:t>
      </w:r>
      <w:r>
        <w:rPr>
          <w:lang w:eastAsia="en-AU"/>
        </w:rPr>
        <w:t xml:space="preserve"> above but in circumstances where it does not appear that the Court was taken to the decision of the Full Court in </w:t>
      </w:r>
      <w:r w:rsidRPr="00FC08F4">
        <w:rPr>
          <w:i/>
          <w:lang w:eastAsia="en-AU"/>
        </w:rPr>
        <w:t xml:space="preserve">Rochester </w:t>
      </w:r>
      <w:r w:rsidRPr="00FC08F4">
        <w:rPr>
          <w:i/>
        </w:rPr>
        <w:t xml:space="preserve">Communications. </w:t>
      </w:r>
      <w:r>
        <w:rPr>
          <w:lang w:eastAsia="en-AU"/>
        </w:rPr>
        <w:t xml:space="preserve">In the circumstances of the present case, I do not think it is necessary to resolve the difference between the </w:t>
      </w:r>
      <w:proofErr w:type="spellStart"/>
      <w:r w:rsidRPr="00FC08F4">
        <w:rPr>
          <w:i/>
          <w:lang w:eastAsia="en-AU"/>
        </w:rPr>
        <w:t>Newsnet</w:t>
      </w:r>
      <w:proofErr w:type="spellEnd"/>
      <w:r w:rsidRPr="00FC08F4">
        <w:rPr>
          <w:i/>
          <w:lang w:eastAsia="en-AU"/>
        </w:rPr>
        <w:t xml:space="preserve"> </w:t>
      </w:r>
      <w:r>
        <w:rPr>
          <w:lang w:eastAsia="en-AU"/>
        </w:rPr>
        <w:t xml:space="preserve">and </w:t>
      </w:r>
      <w:proofErr w:type="spellStart"/>
      <w:r w:rsidRPr="00FC08F4">
        <w:rPr>
          <w:i/>
          <w:lang w:eastAsia="en-AU"/>
        </w:rPr>
        <w:t>Opensoft</w:t>
      </w:r>
      <w:proofErr w:type="spellEnd"/>
      <w:r w:rsidRPr="00FC08F4">
        <w:rPr>
          <w:i/>
          <w:lang w:eastAsia="en-AU"/>
        </w:rPr>
        <w:t xml:space="preserve"> </w:t>
      </w:r>
      <w:r>
        <w:rPr>
          <w:lang w:eastAsia="en-AU"/>
        </w:rPr>
        <w:t xml:space="preserve">lines of authority as </w:t>
      </w:r>
      <w:r w:rsidR="00841460">
        <w:rPr>
          <w:lang w:eastAsia="en-AU"/>
        </w:rPr>
        <w:t xml:space="preserve">to </w:t>
      </w:r>
      <w:r>
        <w:rPr>
          <w:lang w:eastAsia="en-AU"/>
        </w:rPr>
        <w:t>whether, as a matter of principle, electronic communication is permissible as a means of serving at the address nominated by the creditor for service for the purpose of s 459G in circumstances where an address for electronic communication</w:t>
      </w:r>
      <w:r w:rsidRPr="00FC08F4">
        <w:rPr>
          <w:lang w:eastAsia="en-AU"/>
        </w:rPr>
        <w:t xml:space="preserve"> </w:t>
      </w:r>
      <w:r>
        <w:rPr>
          <w:lang w:eastAsia="en-AU"/>
        </w:rPr>
        <w:t xml:space="preserve">is not expressly nominated. In my view, the same conclusion as reached by </w:t>
      </w:r>
      <w:proofErr w:type="spellStart"/>
      <w:r>
        <w:rPr>
          <w:lang w:eastAsia="en-AU"/>
        </w:rPr>
        <w:t>Bowskill</w:t>
      </w:r>
      <w:proofErr w:type="spellEnd"/>
      <w:r>
        <w:rPr>
          <w:lang w:eastAsia="en-AU"/>
        </w:rPr>
        <w:t xml:space="preserve"> J in </w:t>
      </w:r>
      <w:r w:rsidRPr="00BA20BB">
        <w:rPr>
          <w:i/>
          <w:lang w:eastAsia="en-AU"/>
        </w:rPr>
        <w:t>SGR Pastoral</w:t>
      </w:r>
      <w:r>
        <w:rPr>
          <w:lang w:eastAsia="en-AU"/>
        </w:rPr>
        <w:t xml:space="preserve">, is now dictated by the amendments to relevant provisions made by the 2020 Reforms.  </w:t>
      </w:r>
    </w:p>
    <w:p w14:paraId="72815976" w14:textId="208D2430" w:rsidR="00BC75EF" w:rsidRPr="00BA20BB" w:rsidRDefault="00BC75EF" w:rsidP="00BC75EF">
      <w:pPr>
        <w:pStyle w:val="ParaNumbering"/>
        <w:rPr>
          <w:i/>
        </w:rPr>
      </w:pPr>
      <w:r>
        <w:rPr>
          <w:lang w:eastAsia="en-AU"/>
        </w:rPr>
        <w:t xml:space="preserve">First, s 600G of the Corporations Act </w:t>
      </w:r>
      <w:r>
        <w:t>applies to any document that is</w:t>
      </w:r>
      <w:r w:rsidRPr="00FC08F4">
        <w:t xml:space="preserve"> </w:t>
      </w:r>
      <w:r>
        <w:t xml:space="preserve">required or permitted to be given to a person (the recipient) under Chapter 5 of the </w:t>
      </w:r>
      <w:r w:rsidR="00465C3C">
        <w:t xml:space="preserve">Corporations </w:t>
      </w:r>
      <w:r>
        <w:t>Act. Such documents may be given to the recipient by means of an electronic communication.</w:t>
      </w:r>
    </w:p>
    <w:p w14:paraId="6751E5B9" w14:textId="2517C7DB" w:rsidR="00BC75EF" w:rsidRDefault="00BC75EF" w:rsidP="00BC75EF">
      <w:pPr>
        <w:pStyle w:val="ParaNumbering"/>
      </w:pPr>
      <w:r>
        <w:t xml:space="preserve">Section 459G is situated in Chapter 5. </w:t>
      </w:r>
      <w:r w:rsidR="00465C3C">
        <w:t>The word “d</w:t>
      </w:r>
      <w:r>
        <w:t>ocument</w:t>
      </w:r>
      <w:r w:rsidR="00465C3C">
        <w:t>”</w:t>
      </w:r>
      <w:r>
        <w:t xml:space="preserve"> is defined in s 9 of the </w:t>
      </w:r>
      <w:r w:rsidR="00465C3C">
        <w:t xml:space="preserve">Corporations </w:t>
      </w:r>
      <w:r>
        <w:t xml:space="preserve">Act. The </w:t>
      </w:r>
      <w:r w:rsidR="00841460">
        <w:t xml:space="preserve">PDF copies of the </w:t>
      </w:r>
      <w:r>
        <w:t>originating application and supporting affidavit are both documents. They are required or permitted to be served in the statutory period</w:t>
      </w:r>
      <w:r w:rsidR="006A4E76">
        <w:t xml:space="preserve"> specified in s </w:t>
      </w:r>
      <w:r w:rsidR="00465C3C">
        <w:t>459G</w:t>
      </w:r>
      <w:r>
        <w:t xml:space="preserve"> in order to attract the jurisdiction of the Court. Prima facie,</w:t>
      </w:r>
      <w:r w:rsidR="00B4027F">
        <w:t xml:space="preserve"> a</w:t>
      </w:r>
      <w:r>
        <w:t xml:space="preserve"> document served under s</w:t>
      </w:r>
      <w:r w:rsidR="006A4E76">
        <w:t> </w:t>
      </w:r>
      <w:r>
        <w:t>459G is a document that is required or permitted to be given to a person, namely the creditor, under Chapter 5 of the Corporations Act.</w:t>
      </w:r>
    </w:p>
    <w:p w14:paraId="70494307" w14:textId="4110CE87" w:rsidR="00BC75EF" w:rsidRDefault="00BC75EF" w:rsidP="00247D8E">
      <w:pPr>
        <w:pStyle w:val="ParaNumbering"/>
      </w:pPr>
      <w:r>
        <w:t xml:space="preserve">Mr </w:t>
      </w:r>
      <w:proofErr w:type="spellStart"/>
      <w:r>
        <w:t>Ogborne</w:t>
      </w:r>
      <w:proofErr w:type="spellEnd"/>
      <w:r>
        <w:t xml:space="preserve"> advances a submission that s 600G does not apply to s 459G because even though s 459G is in Chapter 5</w:t>
      </w:r>
      <w:r w:rsidR="00F13643">
        <w:t>,</w:t>
      </w:r>
      <w:r>
        <w:t xml:space="preserve"> to require a document to be </w:t>
      </w:r>
      <w:r w:rsidRPr="00BA20BB">
        <w:rPr>
          <w:i/>
        </w:rPr>
        <w:t>given</w:t>
      </w:r>
      <w:r>
        <w:t xml:space="preserve"> is different to requiring a document to be </w:t>
      </w:r>
      <w:r w:rsidRPr="00BA20BB">
        <w:rPr>
          <w:i/>
        </w:rPr>
        <w:t>served</w:t>
      </w:r>
      <w:r>
        <w:rPr>
          <w:i/>
        </w:rPr>
        <w:t xml:space="preserve"> </w:t>
      </w:r>
      <w:r>
        <w:t xml:space="preserve">under Chapter 5. I do not accept that submission for the following reasons. </w:t>
      </w:r>
    </w:p>
    <w:p w14:paraId="459D519D" w14:textId="03CA628B" w:rsidR="00BC75EF" w:rsidRDefault="00BC75EF" w:rsidP="00BC75EF">
      <w:pPr>
        <w:pStyle w:val="ParaNumbering"/>
      </w:pPr>
      <w:r>
        <w:lastRenderedPageBreak/>
        <w:t xml:space="preserve">Starting with the text, the Corporations Act does not define the word “serve”. In </w:t>
      </w:r>
      <w:r w:rsidRPr="0094535B">
        <w:t xml:space="preserve">the </w:t>
      </w:r>
      <w:r w:rsidRPr="00430553">
        <w:t>Macquarie Dictionary</w:t>
      </w:r>
      <w:r w:rsidR="0094535B" w:rsidRPr="0094535B">
        <w:t xml:space="preserve"> (online at 25 April 2022) ‘</w:t>
      </w:r>
      <w:r w:rsidRPr="0094535B">
        <w:t>serve</w:t>
      </w:r>
      <w:r w:rsidR="0094535B" w:rsidRPr="0094535B">
        <w:t>’ (</w:t>
      </w:r>
      <w:proofErr w:type="spellStart"/>
      <w:r w:rsidR="0094535B" w:rsidRPr="0094535B">
        <w:t>def</w:t>
      </w:r>
      <w:proofErr w:type="spellEnd"/>
      <w:r w:rsidR="0094535B" w:rsidRPr="0094535B">
        <w:t xml:space="preserve"> 28)</w:t>
      </w:r>
      <w:r w:rsidRPr="0094535B">
        <w:t xml:space="preserve"> is defined to include:</w:t>
      </w:r>
    </w:p>
    <w:p w14:paraId="18FFA72C" w14:textId="77777777" w:rsidR="00BC75EF" w:rsidRDefault="00BC75EF" w:rsidP="00BC75EF">
      <w:pPr>
        <w:pStyle w:val="Quote1"/>
      </w:pPr>
      <w:r>
        <w:t>a.  to make legal delivery of (a process or writ).</w:t>
      </w:r>
    </w:p>
    <w:p w14:paraId="22BCFF27" w14:textId="77777777" w:rsidR="00BC75EF" w:rsidRDefault="00BC75EF" w:rsidP="00BC75EF">
      <w:pPr>
        <w:pStyle w:val="Quote1"/>
      </w:pPr>
      <w:r>
        <w:t xml:space="preserve">b.  to present (a person) with a writ. </w:t>
      </w:r>
    </w:p>
    <w:p w14:paraId="47954F89" w14:textId="171889EF" w:rsidR="00BC75EF" w:rsidRDefault="00BC75EF" w:rsidP="00BC75EF">
      <w:pPr>
        <w:pStyle w:val="ParaNumbering"/>
      </w:pPr>
      <w:r>
        <w:t>For the purpose of s 459G, service in the sense of legal delivery requires that the documents arrive at the nominated address within the statutory period: see [</w:t>
      </w:r>
      <w:r w:rsidR="0094535B">
        <w:fldChar w:fldCharType="begin"/>
      </w:r>
      <w:r w:rsidR="0094535B">
        <w:instrText xml:space="preserve"> REF _Ref101811133 \r \h </w:instrText>
      </w:r>
      <w:r w:rsidR="0094535B">
        <w:fldChar w:fldCharType="separate"/>
      </w:r>
      <w:r w:rsidR="00493552">
        <w:t>39</w:t>
      </w:r>
      <w:r w:rsidR="0094535B">
        <w:fldChar w:fldCharType="end"/>
      </w:r>
      <w:r>
        <w:t>]</w:t>
      </w:r>
      <w:r w:rsidR="00C30A60">
        <w:t xml:space="preserve"> </w:t>
      </w:r>
      <w:r>
        <w:t>-</w:t>
      </w:r>
      <w:r w:rsidR="00C30A60">
        <w:t xml:space="preserve"> </w:t>
      </w:r>
      <w:r>
        <w:t>[</w:t>
      </w:r>
      <w:r w:rsidR="0094535B">
        <w:fldChar w:fldCharType="begin"/>
      </w:r>
      <w:r w:rsidR="0094535B">
        <w:instrText xml:space="preserve"> REF _Ref101811142 \r \h </w:instrText>
      </w:r>
      <w:r w:rsidR="0094535B">
        <w:fldChar w:fldCharType="separate"/>
      </w:r>
      <w:r w:rsidR="00493552">
        <w:t>40</w:t>
      </w:r>
      <w:r w:rsidR="0094535B">
        <w:fldChar w:fldCharType="end"/>
      </w:r>
      <w:r>
        <w:t>], and [</w:t>
      </w:r>
      <w:r w:rsidR="0094535B">
        <w:fldChar w:fldCharType="begin"/>
      </w:r>
      <w:r w:rsidR="0094535B">
        <w:instrText xml:space="preserve"> REF _Ref101817058 \r \h </w:instrText>
      </w:r>
      <w:r w:rsidR="0094535B">
        <w:fldChar w:fldCharType="separate"/>
      </w:r>
      <w:r w:rsidR="00493552">
        <w:t>72</w:t>
      </w:r>
      <w:r w:rsidR="0094535B">
        <w:fldChar w:fldCharType="end"/>
      </w:r>
      <w:r>
        <w:t xml:space="preserve">] above. The plaintiff is required or permitted to give the documents to the creditor at the nominated address by reason of </w:t>
      </w:r>
      <w:proofErr w:type="spellStart"/>
      <w:r>
        <w:t>ss</w:t>
      </w:r>
      <w:proofErr w:type="spellEnd"/>
      <w:r>
        <w:t xml:space="preserve"> 459E(2)(d) and 459G(2) and (3)</w:t>
      </w:r>
      <w:r w:rsidR="0094535B">
        <w:t>, provisions which are found in Chapter 5 of the Corporations Act</w:t>
      </w:r>
      <w:r>
        <w:t>. I see no reason to exclude from the use of the more general word “given” the more particular meaning of the word “served” when what i</w:t>
      </w:r>
      <w:r w:rsidR="00F13643">
        <w:t>s comprehended for service in s </w:t>
      </w:r>
      <w:r>
        <w:t>459G is the giving or delivery of a document at a designated address. On a plain reading of the text</w:t>
      </w:r>
      <w:r w:rsidR="0094535B">
        <w:t>,</w:t>
      </w:r>
      <w:r>
        <w:t xml:space="preserve"> the originating documents under s 459G are document</w:t>
      </w:r>
      <w:r w:rsidR="0094535B">
        <w:t>s</w:t>
      </w:r>
      <w:r>
        <w:t xml:space="preserve"> that </w:t>
      </w:r>
      <w:r w:rsidR="00841460">
        <w:t xml:space="preserve">satisfy the description of being </w:t>
      </w:r>
      <w:r>
        <w:t>required or permitted to be given to a person under Chapter 5.</w:t>
      </w:r>
    </w:p>
    <w:p w14:paraId="461928D7" w14:textId="61DE2966" w:rsidR="00BC75EF" w:rsidRDefault="00BC75EF" w:rsidP="00BC75EF">
      <w:pPr>
        <w:pStyle w:val="ParaNumbering"/>
      </w:pPr>
      <w:r>
        <w:t xml:space="preserve">Secondly, it is instructive to have regard to the legislative history, cognisant of the limitations on the use of such history: </w:t>
      </w:r>
      <w:r w:rsidRPr="00430553">
        <w:t>see Herzfeld and Prince</w:t>
      </w:r>
      <w:r w:rsidR="001133C4" w:rsidRPr="00430553">
        <w:t xml:space="preserve"> at [8.240]</w:t>
      </w:r>
      <w:r w:rsidRPr="00430553">
        <w:t>.</w:t>
      </w:r>
      <w:r>
        <w:t xml:space="preserve"> </w:t>
      </w:r>
    </w:p>
    <w:p w14:paraId="4E40936D" w14:textId="4A5210F2" w:rsidR="00BC75EF" w:rsidRDefault="00BC75EF" w:rsidP="00BC75EF">
      <w:pPr>
        <w:pStyle w:val="ParaNumbering"/>
      </w:pPr>
      <w:r>
        <w:t xml:space="preserve">The immediate previous iteration of s 600G, which was in force from </w:t>
      </w:r>
      <w:r w:rsidR="0040025E">
        <w:t>23 June 2020 to 15 </w:t>
      </w:r>
      <w:r w:rsidRPr="00B87485">
        <w:t>December 2020</w:t>
      </w:r>
      <w:r>
        <w:t>, expressly stipulated that the section applied only to a “notice, or other document” given or sent under specified provisions within Chapter 5 of the Corporations Act, of which s 459G was not one:</w:t>
      </w:r>
    </w:p>
    <w:p w14:paraId="1E6495D7" w14:textId="77777777" w:rsidR="00BC75EF" w:rsidRPr="00BA20BB" w:rsidRDefault="00BC75EF" w:rsidP="00BC75EF">
      <w:pPr>
        <w:pStyle w:val="Quote1"/>
        <w:rPr>
          <w:b/>
        </w:rPr>
      </w:pPr>
      <w:r w:rsidRPr="00BA20BB">
        <w:rPr>
          <w:b/>
        </w:rPr>
        <w:t>600G Electronic methods of giving or sending certain notices etc.</w:t>
      </w:r>
    </w:p>
    <w:p w14:paraId="13D51966" w14:textId="77777777" w:rsidR="00BC75EF" w:rsidRDefault="00BC75EF" w:rsidP="00BC75EF">
      <w:pPr>
        <w:pStyle w:val="Quote1"/>
      </w:pPr>
      <w:r>
        <w:t>(1) This section applies if a person (the notifier) is authorised or required to give or send a notice, or other document, to a person (the recipient) under any of the following provisions:</w:t>
      </w:r>
    </w:p>
    <w:p w14:paraId="713C0BAF" w14:textId="77777777" w:rsidR="00BC75EF" w:rsidRDefault="00BC75EF" w:rsidP="007E6103">
      <w:pPr>
        <w:pStyle w:val="Quote1"/>
      </w:pPr>
      <w:r>
        <w:t>(aa) paragraph 436DA(3)(a);</w:t>
      </w:r>
    </w:p>
    <w:p w14:paraId="27992A2B" w14:textId="77777777" w:rsidR="00BC75EF" w:rsidRDefault="00BC75EF" w:rsidP="007E6103">
      <w:pPr>
        <w:pStyle w:val="Quote1"/>
      </w:pPr>
      <w:r>
        <w:t>(a) paragraph 436E(3)(a);</w:t>
      </w:r>
    </w:p>
    <w:p w14:paraId="39F3752F" w14:textId="77777777" w:rsidR="00BC75EF" w:rsidRDefault="00BC75EF" w:rsidP="007E6103">
      <w:pPr>
        <w:pStyle w:val="Quote1"/>
      </w:pPr>
      <w:r>
        <w:t>(f) subsection 450A(3);</w:t>
      </w:r>
    </w:p>
    <w:p w14:paraId="4BE36371" w14:textId="77777777" w:rsidR="00BC75EF" w:rsidRDefault="00BC75EF" w:rsidP="007E6103">
      <w:pPr>
        <w:pStyle w:val="Quote1"/>
      </w:pPr>
      <w:r>
        <w:t>(g) paragraph 450B(a);</w:t>
      </w:r>
    </w:p>
    <w:p w14:paraId="6D6AB7F2" w14:textId="77777777" w:rsidR="00BC75EF" w:rsidRDefault="00BC75EF" w:rsidP="007E6103">
      <w:pPr>
        <w:pStyle w:val="Quote1"/>
      </w:pPr>
      <w:r>
        <w:t>(h) paragraph 450C(b);</w:t>
      </w:r>
    </w:p>
    <w:p w14:paraId="321FAD36" w14:textId="77777777" w:rsidR="00BC75EF" w:rsidRDefault="00BC75EF" w:rsidP="007E6103">
      <w:pPr>
        <w:pStyle w:val="Quote1"/>
      </w:pPr>
      <w:r>
        <w:t>(</w:t>
      </w:r>
      <w:proofErr w:type="spellStart"/>
      <w:r>
        <w:t>i</w:t>
      </w:r>
      <w:proofErr w:type="spellEnd"/>
      <w:r>
        <w:t>) paragraph 450D(b);</w:t>
      </w:r>
    </w:p>
    <w:p w14:paraId="0444B27C" w14:textId="77777777" w:rsidR="00BC75EF" w:rsidRDefault="00BC75EF" w:rsidP="007E6103">
      <w:pPr>
        <w:pStyle w:val="Quote1"/>
      </w:pPr>
      <w:r>
        <w:t>(l) paragraph 497(1)(a);</w:t>
      </w:r>
    </w:p>
    <w:p w14:paraId="5A7FE58F" w14:textId="77777777" w:rsidR="00BC75EF" w:rsidRDefault="00BC75EF" w:rsidP="007E6103">
      <w:pPr>
        <w:pStyle w:val="Quote1"/>
      </w:pPr>
      <w:r>
        <w:t>(m) paragraph 506A(2)(b);</w:t>
      </w:r>
    </w:p>
    <w:p w14:paraId="779686B9" w14:textId="77777777" w:rsidR="00BC75EF" w:rsidRDefault="00BC75EF" w:rsidP="007E6103">
      <w:pPr>
        <w:pStyle w:val="Quote1"/>
      </w:pPr>
      <w:r>
        <w:t>(p) paragraph 568A(1)(b);</w:t>
      </w:r>
    </w:p>
    <w:p w14:paraId="64BB5700" w14:textId="77777777" w:rsidR="00BC75EF" w:rsidRDefault="00BC75EF" w:rsidP="007E6103">
      <w:pPr>
        <w:pStyle w:val="Quote1"/>
      </w:pPr>
      <w:r>
        <w:lastRenderedPageBreak/>
        <w:t xml:space="preserve">(s) subsection 579J(1); </w:t>
      </w:r>
    </w:p>
    <w:p w14:paraId="02057525" w14:textId="77777777" w:rsidR="00BC75EF" w:rsidRDefault="00BC75EF" w:rsidP="007E6103">
      <w:pPr>
        <w:pStyle w:val="Quote1"/>
        <w:rPr>
          <w:lang w:eastAsia="en-AU"/>
        </w:rPr>
      </w:pPr>
      <w:r>
        <w:rPr>
          <w:lang w:eastAsia="en-AU"/>
        </w:rPr>
        <w:t>(t) subsection 579J(2);</w:t>
      </w:r>
    </w:p>
    <w:p w14:paraId="266BAD43" w14:textId="77777777" w:rsidR="00BC75EF" w:rsidRDefault="00BC75EF" w:rsidP="007E6103">
      <w:pPr>
        <w:pStyle w:val="Quote1"/>
        <w:rPr>
          <w:lang w:eastAsia="en-AU"/>
        </w:rPr>
      </w:pPr>
      <w:r>
        <w:rPr>
          <w:lang w:eastAsia="en-AU"/>
        </w:rPr>
        <w:t>(u) subsection 579K(1);</w:t>
      </w:r>
    </w:p>
    <w:p w14:paraId="0BE2AC40" w14:textId="77777777" w:rsidR="00BC75EF" w:rsidRDefault="00BC75EF" w:rsidP="007E6103">
      <w:pPr>
        <w:pStyle w:val="Quote1"/>
        <w:rPr>
          <w:lang w:eastAsia="en-AU"/>
        </w:rPr>
      </w:pPr>
      <w:r>
        <w:rPr>
          <w:lang w:eastAsia="en-AU"/>
        </w:rPr>
        <w:t>(v) subsection 579K(2);</w:t>
      </w:r>
    </w:p>
    <w:p w14:paraId="11F6D39E" w14:textId="77777777" w:rsidR="00BC75EF" w:rsidRDefault="00BC75EF" w:rsidP="007E6103">
      <w:pPr>
        <w:pStyle w:val="Quote1"/>
        <w:rPr>
          <w:lang w:eastAsia="en-AU"/>
        </w:rPr>
      </w:pPr>
      <w:r>
        <w:rPr>
          <w:lang w:eastAsia="en-AU"/>
        </w:rPr>
        <w:t>(w) subsection 579K(3);</w:t>
      </w:r>
    </w:p>
    <w:p w14:paraId="45210900" w14:textId="77777777" w:rsidR="00BC75EF" w:rsidRDefault="00BC75EF" w:rsidP="007E6103">
      <w:pPr>
        <w:pStyle w:val="Quote1"/>
        <w:rPr>
          <w:lang w:eastAsia="en-AU"/>
        </w:rPr>
      </w:pPr>
      <w:r>
        <w:rPr>
          <w:lang w:eastAsia="en-AU"/>
        </w:rPr>
        <w:t>(x) subsection 579K(4);</w:t>
      </w:r>
    </w:p>
    <w:p w14:paraId="1F630C1C" w14:textId="77777777" w:rsidR="00BC75EF" w:rsidRDefault="00BC75EF" w:rsidP="007E6103">
      <w:pPr>
        <w:pStyle w:val="Quote1"/>
      </w:pPr>
      <w:r>
        <w:rPr>
          <w:lang w:eastAsia="en-AU"/>
        </w:rPr>
        <w:t>(y) a provision of Schedule 2 or the Insolvency Practice Rules.</w:t>
      </w:r>
    </w:p>
    <w:p w14:paraId="35D4501C" w14:textId="1AF39583" w:rsidR="00BC75EF" w:rsidRDefault="00BC75EF" w:rsidP="00BC75EF">
      <w:pPr>
        <w:pStyle w:val="ParaNumbering"/>
      </w:pPr>
      <w:r>
        <w:t xml:space="preserve">Further, in the previous version of s </w:t>
      </w:r>
      <w:r w:rsidR="00247D8E">
        <w:t>600G</w:t>
      </w:r>
      <w:r>
        <w:t xml:space="preserve">, the giving or sending by electronic method was only available where the recipient consented. </w:t>
      </w:r>
      <w:r w:rsidR="00F71BE0">
        <w:t>“</w:t>
      </w:r>
      <w:r>
        <w:t>Document</w:t>
      </w:r>
      <w:r w:rsidR="00F71BE0">
        <w:t>”</w:t>
      </w:r>
      <w:r>
        <w:t xml:space="preserve"> was not defined in this version of the Corporations Act. </w:t>
      </w:r>
      <w:r w:rsidR="00F71BE0">
        <w:t>“</w:t>
      </w:r>
      <w:r>
        <w:t>Notice</w:t>
      </w:r>
      <w:r w:rsidR="00F71BE0">
        <w:t>”</w:t>
      </w:r>
      <w:r>
        <w:t xml:space="preserve"> was defined in s 9 to include a circular or an advertisement.</w:t>
      </w:r>
      <w:r w:rsidRPr="00FC4E54">
        <w:t xml:space="preserve"> </w:t>
      </w:r>
    </w:p>
    <w:p w14:paraId="2D121605" w14:textId="6ADA973A" w:rsidR="00BC75EF" w:rsidRDefault="00867DA1" w:rsidP="00BC75EF">
      <w:pPr>
        <w:pStyle w:val="ParaNumbering"/>
      </w:pPr>
      <w:r>
        <w:t>T</w:t>
      </w:r>
      <w:r w:rsidR="00BC75EF">
        <w:t xml:space="preserve">he 2020 Reforms </w:t>
      </w:r>
      <w:r>
        <w:t>introduced</w:t>
      </w:r>
      <w:r w:rsidR="00BC75EF">
        <w:t xml:space="preserve"> a broad definition of document in s 9, which as noted above, was consistent with that in s 2B of the Acts Interpretation Act extending to information that is not in paper or material form. </w:t>
      </w:r>
    </w:p>
    <w:p w14:paraId="29E37B1C" w14:textId="75B2CD8F" w:rsidR="00BC75EF" w:rsidRDefault="00BC75EF" w:rsidP="00BC75EF">
      <w:pPr>
        <w:pStyle w:val="ParaNumbering"/>
      </w:pPr>
      <w:r>
        <w:t>The changes effected by the 2020 Reforms extended the operation of s 600G to any document (as broadly defined) that is</w:t>
      </w:r>
      <w:r w:rsidRPr="00FC08F4">
        <w:t xml:space="preserve"> </w:t>
      </w:r>
      <w:r>
        <w:t xml:space="preserve">required or permitted to be given to a person (the recipient) under Chapter 5 of the </w:t>
      </w:r>
      <w:r w:rsidR="00B44D36">
        <w:t xml:space="preserve">Corporations </w:t>
      </w:r>
      <w:r>
        <w:t xml:space="preserve">Act. </w:t>
      </w:r>
      <w:proofErr w:type="spellStart"/>
      <w:r>
        <w:t>Bioaction</w:t>
      </w:r>
      <w:proofErr w:type="spellEnd"/>
      <w:r>
        <w:t xml:space="preserve"> submits, and I accept, that the scope of the section has been expanded to capture a</w:t>
      </w:r>
      <w:r w:rsidR="00B44D36">
        <w:t>n application made under</w:t>
      </w:r>
      <w:r>
        <w:t xml:space="preserve"> s 459G. </w:t>
      </w:r>
    </w:p>
    <w:p w14:paraId="16F6AAFB" w14:textId="1E63E114" w:rsidR="00BC75EF" w:rsidRDefault="00BC75EF" w:rsidP="00BC75EF">
      <w:pPr>
        <w:pStyle w:val="ParaNumbering"/>
      </w:pPr>
      <w:r>
        <w:t xml:space="preserve">That the intent of the 2020 Reforms </w:t>
      </w:r>
      <w:r w:rsidR="00841460">
        <w:t xml:space="preserve">was to </w:t>
      </w:r>
      <w:r>
        <w:t xml:space="preserve">enable electronic communication for the purpose of Chapter 5 </w:t>
      </w:r>
      <w:r>
        <w:rPr>
          <w:i/>
        </w:rPr>
        <w:t xml:space="preserve">inter alia </w:t>
      </w:r>
      <w:r>
        <w:t>is evident from the Explanatory Memorandum:</w:t>
      </w:r>
    </w:p>
    <w:p w14:paraId="100A0F71" w14:textId="6C3462AF" w:rsidR="00BC75EF" w:rsidRPr="003105F8" w:rsidRDefault="00BC75EF" w:rsidP="00BC75EF">
      <w:pPr>
        <w:pStyle w:val="Quote1"/>
        <w:rPr>
          <w:b/>
        </w:rPr>
      </w:pPr>
      <w:r w:rsidRPr="003105F8">
        <w:rPr>
          <w:b/>
        </w:rPr>
        <w:t>Summary of new law</w:t>
      </w:r>
    </w:p>
    <w:p w14:paraId="7AD85A5B" w14:textId="4D928188" w:rsidR="003105F8" w:rsidRDefault="003105F8" w:rsidP="003105F8">
      <w:pPr>
        <w:pStyle w:val="base-text-paragraph"/>
        <w:numPr>
          <w:ilvl w:val="0"/>
          <w:numId w:val="0"/>
        </w:numPr>
        <w:ind w:left="1440" w:hanging="720"/>
      </w:pPr>
      <w:r>
        <w:t xml:space="preserve">5.2 </w:t>
      </w:r>
      <w:r>
        <w:tab/>
      </w:r>
      <w:r w:rsidRPr="00F073D5">
        <w:t xml:space="preserve">Schedule 4 allows electronic communication to be used to give a document under the external administration provisions in Chapter 5 of the Corporations Act, the Insolvency Practice Schedule, Chapter 5 of the Corporations Regulations, the Insolvency Practice Rules or any other instrument made under Chapter 5. </w:t>
      </w:r>
    </w:p>
    <w:p w14:paraId="08802908" w14:textId="74DE88D9" w:rsidR="003105F8" w:rsidRPr="00F073D5" w:rsidRDefault="003105F8" w:rsidP="003105F8">
      <w:pPr>
        <w:pStyle w:val="base-text-paragraph"/>
        <w:numPr>
          <w:ilvl w:val="0"/>
          <w:numId w:val="0"/>
        </w:numPr>
        <w:ind w:left="1440"/>
      </w:pPr>
      <w:r>
        <w:t>…</w:t>
      </w:r>
    </w:p>
    <w:p w14:paraId="10C72F45" w14:textId="0292BC1F" w:rsidR="00BC75EF" w:rsidRDefault="00841460" w:rsidP="00BC75EF">
      <w:pPr>
        <w:pStyle w:val="ParaNumbering"/>
      </w:pPr>
      <w:r>
        <w:t>Another expansive aspect of the 2020 Reforms was to</w:t>
      </w:r>
      <w:r w:rsidR="00BC75EF">
        <w:t xml:space="preserve"> remove the requirement for consent of the recipient </w:t>
      </w:r>
      <w:r w:rsidR="00867DA1">
        <w:t>as a condition of</w:t>
      </w:r>
      <w:r>
        <w:t xml:space="preserve"> electronic communication under </w:t>
      </w:r>
      <w:r w:rsidR="00BC75EF">
        <w:t xml:space="preserve">s 600G. In lieu thereof, two conditions were introduced which must be satisfied before a document can be given electronically. First, there must be a nominated electronic address. </w:t>
      </w:r>
      <w:r w:rsidR="0040025E">
        <w:t>“</w:t>
      </w:r>
      <w:r w:rsidR="00BC75EF">
        <w:t>Nominated electronic address</w:t>
      </w:r>
      <w:r w:rsidR="0040025E">
        <w:t>”</w:t>
      </w:r>
      <w:r w:rsidR="00BC75EF">
        <w:t xml:space="preserve"> is defined to include in the situation where the addressee has not nominated an electronic address</w:t>
      </w:r>
      <w:r w:rsidR="00B44D36">
        <w:t>,</w:t>
      </w:r>
      <w:r w:rsidR="00BC75EF">
        <w:t xml:space="preserve"> an electronic address that the originator believes on reasonable grounds to be a current electronic address for the addressee for receiving electronic communications</w:t>
      </w:r>
      <w:r w:rsidR="00B44D36">
        <w:t>: s 9 of the Corporations Act</w:t>
      </w:r>
      <w:r w:rsidR="00BC75EF">
        <w:t>. Secondly, a document can only be provided electronicall</w:t>
      </w:r>
      <w:r w:rsidR="003105F8">
        <w:t xml:space="preserve">y if it is </w:t>
      </w:r>
      <w:r w:rsidR="003105F8">
        <w:lastRenderedPageBreak/>
        <w:t>reasonable to expect</w:t>
      </w:r>
      <w:r w:rsidR="00BC75EF">
        <w:t>, at the time the electronic communication is used, that the document would be readily accessible so as to be useable for subsequent reference and there is a nominated electronic address in relation to the recipient. The Explanatory Memorandum said:</w:t>
      </w:r>
    </w:p>
    <w:p w14:paraId="74E2B4DD" w14:textId="2D7E4D4B" w:rsidR="003105F8" w:rsidRPr="00F073D5" w:rsidRDefault="003105F8" w:rsidP="003105F8">
      <w:pPr>
        <w:pStyle w:val="Quote1"/>
        <w:ind w:left="1437" w:hanging="700"/>
      </w:pPr>
      <w:r>
        <w:t xml:space="preserve">5.16 </w:t>
      </w:r>
      <w:r>
        <w:tab/>
      </w:r>
      <w:r w:rsidRPr="00F073D5">
        <w:t xml:space="preserve">The person providing the document does not need to satisfy the other conditions in section 9 of the </w:t>
      </w:r>
      <w:r>
        <w:t>[</w:t>
      </w:r>
      <w:r>
        <w:rPr>
          <w:i/>
        </w:rPr>
        <w:t xml:space="preserve">Electronic Transactions Act </w:t>
      </w:r>
      <w:r w:rsidRPr="003105F8">
        <w:rPr>
          <w:i/>
        </w:rPr>
        <w:t>1999</w:t>
      </w:r>
      <w:r>
        <w:t xml:space="preserve"> </w:t>
      </w:r>
      <w:r w:rsidRPr="003105F8">
        <w:t>(</w:t>
      </w:r>
      <w:proofErr w:type="spellStart"/>
      <w:r w:rsidRPr="003105F8">
        <w:t>Cth</w:t>
      </w:r>
      <w:proofErr w:type="spellEnd"/>
      <w:r w:rsidRPr="003105F8">
        <w:t>)</w:t>
      </w:r>
      <w:r>
        <w:t>]</w:t>
      </w:r>
      <w:r w:rsidRPr="00F073D5">
        <w:t>. Those conditions require the recipient to consent to the use of electronic means and comply with any requirements of the Commonwealth agency that is receiving the information. These conditions were not included as they would have imposed high regulatory costs on industry and been significantly more restrictive than the relief provided by the Determination.</w:t>
      </w:r>
    </w:p>
    <w:p w14:paraId="2AB11C8C" w14:textId="77A1130E" w:rsidR="00BC75EF" w:rsidRDefault="00BC75EF" w:rsidP="00BC75EF">
      <w:pPr>
        <w:pStyle w:val="ParaNumbering"/>
      </w:pPr>
      <w:r>
        <w:t xml:space="preserve">Thirdly, Mr </w:t>
      </w:r>
      <w:proofErr w:type="spellStart"/>
      <w:r>
        <w:t>Ogborne’s</w:t>
      </w:r>
      <w:proofErr w:type="spellEnd"/>
      <w:r>
        <w:t xml:space="preserve"> submission proceeds upon the premise that the requirement in </w:t>
      </w:r>
      <w:r w:rsidR="006A4E76">
        <w:t>s </w:t>
      </w:r>
      <w:r>
        <w:t xml:space="preserve">459(3)(b) that an application must be “served” (as opposed to “given”) is deliberate and plainly intended to enliven the requirements of service under applicable laws and rules of court. I reject that submission on the basis that it is contrary to authority, particularly that of the majority in </w:t>
      </w:r>
      <w:r>
        <w:rPr>
          <w:i/>
        </w:rPr>
        <w:t>Rochester Communications</w:t>
      </w:r>
      <w:r>
        <w:t>: see [</w:t>
      </w:r>
      <w:r w:rsidR="00B44D36">
        <w:fldChar w:fldCharType="begin"/>
      </w:r>
      <w:r w:rsidR="00B44D36">
        <w:instrText xml:space="preserve"> REF _Ref101811142 \r \h </w:instrText>
      </w:r>
      <w:r w:rsidR="00B44D36">
        <w:fldChar w:fldCharType="separate"/>
      </w:r>
      <w:r w:rsidR="00493552">
        <w:t>40</w:t>
      </w:r>
      <w:r w:rsidR="00B44D36">
        <w:fldChar w:fldCharType="end"/>
      </w:r>
      <w:r>
        <w:t xml:space="preserve">] above. </w:t>
      </w:r>
      <w:r w:rsidR="00867DA1">
        <w:t>E</w:t>
      </w:r>
      <w:r w:rsidR="0040025E">
        <w:t>lectronic communication under s </w:t>
      </w:r>
      <w:r w:rsidR="00867DA1">
        <w:t>600G is facilitative not mandatory. Other means of service including those under the rules of court and facilitative provisions in other laws, such as s109X of the Corporations Act and s 28A of the Acts Interpretation Act, are available.</w:t>
      </w:r>
    </w:p>
    <w:p w14:paraId="67A0EE44" w14:textId="7A1779E3" w:rsidR="00BC75EF" w:rsidRDefault="00BC75EF" w:rsidP="00BC75EF">
      <w:pPr>
        <w:pStyle w:val="ParaNumbering"/>
      </w:pPr>
      <w:r>
        <w:t xml:space="preserve">Finally, Mr </w:t>
      </w:r>
      <w:proofErr w:type="spellStart"/>
      <w:r>
        <w:t>Ogborne</w:t>
      </w:r>
      <w:proofErr w:type="spellEnd"/>
      <w:r>
        <w:t xml:space="preserve"> submits that no authority is given to support </w:t>
      </w:r>
      <w:proofErr w:type="spellStart"/>
      <w:r>
        <w:t>Bioaction’s</w:t>
      </w:r>
      <w:proofErr w:type="spellEnd"/>
      <w:r>
        <w:t xml:space="preserve"> contention that s 600G should be construed to apply to service of an application under s 459G. That is so, but s 600G only came into effect in mid</w:t>
      </w:r>
      <w:r w:rsidR="00C30A60">
        <w:t>-</w:t>
      </w:r>
      <w:r>
        <w:t>December 2020, and neither party has located any decision in which s 600G as currently in force has been considered.</w:t>
      </w:r>
    </w:p>
    <w:p w14:paraId="23E18484" w14:textId="6D9E6167" w:rsidR="00BC75EF" w:rsidRDefault="00BC75EF" w:rsidP="00BC75EF">
      <w:pPr>
        <w:pStyle w:val="ParaNumbering"/>
      </w:pPr>
      <w:r>
        <w:t>If I am wrong as to the application of s 600G to a document served under s 459G of the Corporations Act, then based on the authorities summarised at [</w:t>
      </w:r>
      <w:r w:rsidR="00B44D36">
        <w:fldChar w:fldCharType="begin"/>
      </w:r>
      <w:r w:rsidR="00B44D36">
        <w:instrText xml:space="preserve"> REF _Ref101811133 \r \h </w:instrText>
      </w:r>
      <w:r w:rsidR="00B44D36">
        <w:fldChar w:fldCharType="separate"/>
      </w:r>
      <w:r w:rsidR="00493552">
        <w:t>39</w:t>
      </w:r>
      <w:r w:rsidR="00B44D36">
        <w:fldChar w:fldCharType="end"/>
      </w:r>
      <w:r>
        <w:t>]-[</w:t>
      </w:r>
      <w:r w:rsidR="00B44D36">
        <w:fldChar w:fldCharType="begin"/>
      </w:r>
      <w:r w:rsidR="00B44D36">
        <w:instrText xml:space="preserve"> REF _Ref101811142 \r \h </w:instrText>
      </w:r>
      <w:r w:rsidR="00B44D36">
        <w:fldChar w:fldCharType="separate"/>
      </w:r>
      <w:r w:rsidR="00493552">
        <w:t>40</w:t>
      </w:r>
      <w:r w:rsidR="00B44D36">
        <w:fldChar w:fldCharType="end"/>
      </w:r>
      <w:r>
        <w:t xml:space="preserve">] above, I would have found that service by electronic communication was permissible. </w:t>
      </w:r>
    </w:p>
    <w:p w14:paraId="1DA57F51" w14:textId="0B4BDF28" w:rsidR="00BC75EF" w:rsidRDefault="00BC75EF" w:rsidP="00BC75EF">
      <w:pPr>
        <w:pStyle w:val="ParaNumbering"/>
      </w:pPr>
      <w:r>
        <w:t xml:space="preserve">Further, I would have been satisfied that even if s 600G did not apply to service under s 459G, the Mitchell email was nevertheless an electronic communication within the meaning of that term as defined in s 9 </w:t>
      </w:r>
      <w:r w:rsidR="00695CFE">
        <w:t xml:space="preserve">made for the purpose of effecting service under s 459G </w:t>
      </w:r>
      <w:r>
        <w:t xml:space="preserve">and accordingly, </w:t>
      </w:r>
      <w:proofErr w:type="spellStart"/>
      <w:r>
        <w:t>ss</w:t>
      </w:r>
      <w:proofErr w:type="spellEnd"/>
      <w:r>
        <w:t xml:space="preserve"> 105A and 105B apply to facilitate proof of when and where that email was received. In this regard I note that </w:t>
      </w:r>
      <w:proofErr w:type="spellStart"/>
      <w:r>
        <w:t>ss</w:t>
      </w:r>
      <w:proofErr w:type="spellEnd"/>
      <w:r>
        <w:t xml:space="preserve"> 105A and 105B are of general application and are situated in Chapter 1, Division 8 - Miscellaneous Interpretation Rules of the Corporations Act. I do not accept the submission that was advanced by Mr </w:t>
      </w:r>
      <w:proofErr w:type="spellStart"/>
      <w:r>
        <w:t>Ogborne</w:t>
      </w:r>
      <w:proofErr w:type="spellEnd"/>
      <w:r>
        <w:t xml:space="preserve"> that an email communication by which service is effected </w:t>
      </w:r>
      <w:r w:rsidR="00695CFE">
        <w:t xml:space="preserve">under s 459G </w:t>
      </w:r>
      <w:r>
        <w:t>is not an email communication that is “sent” and relevantly, “received</w:t>
      </w:r>
      <w:r w:rsidR="009258A8">
        <w:t>”</w:t>
      </w:r>
      <w:r>
        <w:t>.</w:t>
      </w:r>
    </w:p>
    <w:p w14:paraId="71120537" w14:textId="4DE3F028" w:rsidR="00BC75EF" w:rsidRDefault="00BC75EF" w:rsidP="00493552">
      <w:pPr>
        <w:pStyle w:val="ParaNumbering"/>
        <w:tabs>
          <w:tab w:val="clear" w:pos="720"/>
        </w:tabs>
      </w:pPr>
      <w:r>
        <w:lastRenderedPageBreak/>
        <w:t xml:space="preserve">Next, I turn to whether service was validly effected within time and at the nominated place by means of the Mitchell email. That is primarily a question of fact but the forensic exercise in establishing the time and place where the Mitchell email attaching PDF copies of the originating documents </w:t>
      </w:r>
      <w:r w:rsidR="00867DA1">
        <w:t xml:space="preserve">was received </w:t>
      </w:r>
      <w:r>
        <w:t xml:space="preserve">is assisted by the operation of the deeming provisions introduced by </w:t>
      </w:r>
      <w:proofErr w:type="spellStart"/>
      <w:r>
        <w:t>ss</w:t>
      </w:r>
      <w:proofErr w:type="spellEnd"/>
      <w:r>
        <w:t xml:space="preserve"> 105A and 105B of the Corporations Act. Sections 105A and 105B apply in relation to an electronic communication unless otherwise agreed between the originator and the addressee of the communication. </w:t>
      </w:r>
    </w:p>
    <w:p w14:paraId="5B5EF10F" w14:textId="32AA09B6" w:rsidR="00BC75EF" w:rsidRDefault="00BC75EF" w:rsidP="00BC75EF">
      <w:pPr>
        <w:pStyle w:val="ParaNumbering"/>
      </w:pPr>
      <w:r>
        <w:t xml:space="preserve">The rebuttable presumption in s 161 of the Evidence Act </w:t>
      </w:r>
      <w:r w:rsidR="00867DA1">
        <w:t xml:space="preserve">may </w:t>
      </w:r>
      <w:r>
        <w:t xml:space="preserve">similarly </w:t>
      </w:r>
      <w:r w:rsidR="00867DA1">
        <w:t xml:space="preserve">be </w:t>
      </w:r>
      <w:r>
        <w:t xml:space="preserve">available to establish the destination </w:t>
      </w:r>
      <w:r w:rsidR="00867DA1">
        <w:t xml:space="preserve">where </w:t>
      </w:r>
      <w:r>
        <w:t>and time at which the Mitchell email was received.</w:t>
      </w:r>
    </w:p>
    <w:p w14:paraId="6452C3CF" w14:textId="5FB769D2" w:rsidR="00BC75EF" w:rsidRDefault="00BC75EF" w:rsidP="00BC75EF">
      <w:pPr>
        <w:pStyle w:val="ParaNumbering"/>
      </w:pPr>
      <w:r>
        <w:t xml:space="preserve">It is convenient to again extract the relevant operative deeming provisions that </w:t>
      </w:r>
      <w:proofErr w:type="spellStart"/>
      <w:r>
        <w:t>Bioaction</w:t>
      </w:r>
      <w:proofErr w:type="spellEnd"/>
      <w:r>
        <w:t xml:space="preserve"> relies on in respect of the Mitchell email, s 105A(4</w:t>
      </w:r>
      <w:r w:rsidR="009258A8">
        <w:t>)</w:t>
      </w:r>
      <w:r>
        <w:t>-(6) provide:</w:t>
      </w:r>
    </w:p>
    <w:p w14:paraId="562EC399" w14:textId="61C7A6D6" w:rsidR="00BC75EF" w:rsidRDefault="00BC75EF" w:rsidP="007E6103">
      <w:pPr>
        <w:pStyle w:val="Quote1"/>
        <w:ind w:left="1440" w:hanging="703"/>
      </w:pPr>
      <w:r>
        <w:t xml:space="preserve">(4) </w:t>
      </w:r>
      <w:r w:rsidR="003105F8">
        <w:tab/>
      </w:r>
      <w:r>
        <w:t>An electronic communication is received when the electronic communication becomes capable of being retrieved by the addressee at the addressee's nominated electronic address.</w:t>
      </w:r>
    </w:p>
    <w:p w14:paraId="5B12B7E5" w14:textId="77777777" w:rsidR="00BC75EF" w:rsidRDefault="00BC75EF" w:rsidP="007E6103">
      <w:pPr>
        <w:pStyle w:val="Quote1"/>
        <w:ind w:left="1440" w:hanging="703"/>
      </w:pPr>
      <w:r>
        <w:t>(5)</w:t>
      </w:r>
      <w:r>
        <w:tab/>
        <w:t>It is to be assumed that an electronic communication is capable of being retrieved by the addressee when it reaches the addressee's nominated electronic address.</w:t>
      </w:r>
    </w:p>
    <w:p w14:paraId="7825BAEF" w14:textId="77777777" w:rsidR="00BC75EF" w:rsidRPr="00BA20BB" w:rsidRDefault="00BC75EF" w:rsidP="007E6103">
      <w:pPr>
        <w:pStyle w:val="Quote1"/>
        <w:ind w:left="1440" w:hanging="703"/>
      </w:pPr>
      <w:r>
        <w:t>(6)</w:t>
      </w:r>
      <w:r>
        <w:tab/>
        <w:t>Subsection (4) applies even though the place where the information system supporting an electronic address is located may be different from the place where the electronic communication is taken to have been received under section 105B.</w:t>
      </w:r>
    </w:p>
    <w:p w14:paraId="5A814E7F" w14:textId="0C337124" w:rsidR="00BC75EF" w:rsidRDefault="00BC75EF" w:rsidP="00BC75EF">
      <w:pPr>
        <w:pStyle w:val="ParaNumbering"/>
      </w:pPr>
      <w:r>
        <w:t xml:space="preserve">The relevant nominated electronic address is that of Ms Fu’s CFC email address </w:t>
      </w:r>
      <w:r w:rsidR="00B44D36">
        <w:t>and/</w:t>
      </w:r>
      <w:r>
        <w:t>or the CFC general email address. That is so, even though those addresses had not been nominated as an electronic address</w:t>
      </w:r>
      <w:r w:rsidR="00B44D36">
        <w:t xml:space="preserve"> at which electronic communications could be received</w:t>
      </w:r>
      <w:r>
        <w:t xml:space="preserve">. That is because both are electronic addresses that Mr Mitchell acting for </w:t>
      </w:r>
      <w:proofErr w:type="spellStart"/>
      <w:r>
        <w:t>Bioaction</w:t>
      </w:r>
      <w:proofErr w:type="spellEnd"/>
      <w:r>
        <w:t xml:space="preserve"> believed on reasonable grounds to be a current electronic address for CFC Lawyers for receiving electronic communications. The reasonable grounds for Mr Mitchell’s belief in that regard is established by the following evidence. </w:t>
      </w:r>
      <w:r w:rsidRPr="00D7402C">
        <w:t xml:space="preserve">Mr </w:t>
      </w:r>
      <w:proofErr w:type="spellStart"/>
      <w:r w:rsidRPr="00D7402C">
        <w:t>Ogborne</w:t>
      </w:r>
      <w:proofErr w:type="spellEnd"/>
      <w:r w:rsidRPr="00D7402C">
        <w:t xml:space="preserve"> has been represented from the beginning of the dispute by Ms Fu of CFC </w:t>
      </w:r>
      <w:r w:rsidR="006A4E76">
        <w:t>L</w:t>
      </w:r>
      <w:r w:rsidRPr="00D7402C">
        <w:t xml:space="preserve">awyers. </w:t>
      </w:r>
      <w:proofErr w:type="spellStart"/>
      <w:r w:rsidRPr="00D7402C">
        <w:t>Bioaction</w:t>
      </w:r>
      <w:proofErr w:type="spellEnd"/>
      <w:r w:rsidRPr="00D7402C">
        <w:t xml:space="preserve"> is represented in the present proceedings by Mr Mitchell of MSD Law and was represented by another solicitor at an earlier point in time. The legal representatives of </w:t>
      </w:r>
      <w:proofErr w:type="spellStart"/>
      <w:r w:rsidRPr="00D7402C">
        <w:t>Bioaction</w:t>
      </w:r>
      <w:proofErr w:type="spellEnd"/>
      <w:r w:rsidRPr="00D7402C">
        <w:t xml:space="preserve"> and Mr </w:t>
      </w:r>
      <w:proofErr w:type="spellStart"/>
      <w:r w:rsidRPr="00D7402C">
        <w:t>Ogborne</w:t>
      </w:r>
      <w:proofErr w:type="spellEnd"/>
      <w:r w:rsidRPr="00D7402C">
        <w:t xml:space="preserve"> communicated with each other by email including in relation to the statutory demand in the pe</w:t>
      </w:r>
      <w:r w:rsidR="0040025E">
        <w:t>riod from 21 December 2021 to 3 </w:t>
      </w:r>
      <w:r w:rsidRPr="00D7402C">
        <w:t xml:space="preserve">February 2022. In those email communications, the legal representatives of </w:t>
      </w:r>
      <w:proofErr w:type="spellStart"/>
      <w:r w:rsidRPr="00D7402C">
        <w:t>Bioaction</w:t>
      </w:r>
      <w:proofErr w:type="spellEnd"/>
      <w:r w:rsidRPr="00D7402C">
        <w:t xml:space="preserve"> sent emails to CFC Lawyers using the Ms Fu’s CFC email address and the CFC general email address. Ms Fu sent emails to </w:t>
      </w:r>
      <w:proofErr w:type="spellStart"/>
      <w:r w:rsidRPr="00D7402C">
        <w:t>Bioaction’s</w:t>
      </w:r>
      <w:proofErr w:type="spellEnd"/>
      <w:r w:rsidRPr="00D7402C">
        <w:t xml:space="preserve"> legal representatives from her CFC email address. </w:t>
      </w:r>
      <w:r w:rsidRPr="00D7402C">
        <w:lastRenderedPageBreak/>
        <w:t>In those email communications, Ms Fu sent letters as attachments, using the firm’s stationery which included the CFC general email address.</w:t>
      </w:r>
      <w:r>
        <w:t xml:space="preserve"> </w:t>
      </w:r>
    </w:p>
    <w:p w14:paraId="2DAD38BA" w14:textId="4DE0A0B4" w:rsidR="00BC75EF" w:rsidRDefault="00BC75EF" w:rsidP="00BC75EF">
      <w:pPr>
        <w:pStyle w:val="ParaNumbering"/>
      </w:pPr>
      <w:r>
        <w:t xml:space="preserve">The Mitchell email was capable of being retrieved from the </w:t>
      </w:r>
      <w:r w:rsidRPr="00493552">
        <w:t>CFC Server</w:t>
      </w:r>
      <w:r w:rsidR="00247D8E" w:rsidRPr="00493552">
        <w:t xml:space="preserve"> </w:t>
      </w:r>
      <w:r>
        <w:t>connected to</w:t>
      </w:r>
      <w:r w:rsidRPr="00C30364">
        <w:t xml:space="preserve"> </w:t>
      </w:r>
      <w:r>
        <w:t>Ms Fu’s CFC email address and the CFC general email address shortly after it was sent (that is, within the statutory period). That the nominated email addresses were supported by an external server is irrelevant: s 105A(6).The Mitchell email and the PDF copies of the originating documents were capable of being opened in legible and complete form from this time.</w:t>
      </w:r>
    </w:p>
    <w:p w14:paraId="69660232" w14:textId="1D960CF3" w:rsidR="00BC75EF" w:rsidRDefault="00BC75EF" w:rsidP="00BC75EF">
      <w:pPr>
        <w:pStyle w:val="ParaNumbering"/>
      </w:pPr>
      <w:r>
        <w:t xml:space="preserve">Proof of effective service does not require that there be proof that the documents were actually accessed or reviewed or even came to the attention of the addressee or anyone else. What matters is that they could have been had the addressee sought to do so: see </w:t>
      </w:r>
      <w:proofErr w:type="spellStart"/>
      <w:r>
        <w:t>Bowskill</w:t>
      </w:r>
      <w:proofErr w:type="spellEnd"/>
      <w:r>
        <w:t xml:space="preserve"> J in </w:t>
      </w:r>
      <w:r w:rsidRPr="00D7402C">
        <w:rPr>
          <w:i/>
        </w:rPr>
        <w:t>SGR Pastoral</w:t>
      </w:r>
      <w:r>
        <w:t xml:space="preserve"> extracted above at [</w:t>
      </w:r>
      <w:r w:rsidR="00B44D36">
        <w:fldChar w:fldCharType="begin"/>
      </w:r>
      <w:r w:rsidR="00B44D36">
        <w:instrText xml:space="preserve"> REF _Ref101817058 \r \h </w:instrText>
      </w:r>
      <w:r w:rsidR="00B44D36">
        <w:fldChar w:fldCharType="separate"/>
      </w:r>
      <w:r w:rsidR="00493552">
        <w:t>72</w:t>
      </w:r>
      <w:r w:rsidR="00B44D36">
        <w:fldChar w:fldCharType="end"/>
      </w:r>
      <w:r>
        <w:t>]. The position is made clear by s 105A which does not impose any requirement for the electronic communication to have come</w:t>
      </w:r>
      <w:r w:rsidR="00B4027F">
        <w:t xml:space="preserve"> to</w:t>
      </w:r>
      <w:r>
        <w:t xml:space="preserve"> the notice of the recipient, focussing rather on the time it becomes capable of being retrieved. Section 105A is closely based on s 14A of the </w:t>
      </w:r>
      <w:r w:rsidRPr="00430553">
        <w:rPr>
          <w:b/>
          <w:i/>
        </w:rPr>
        <w:t>Electronic Transactions Act</w:t>
      </w:r>
      <w:r>
        <w:t xml:space="preserve"> </w:t>
      </w:r>
      <w:r w:rsidRPr="00430553">
        <w:rPr>
          <w:i/>
        </w:rPr>
        <w:t>1999</w:t>
      </w:r>
      <w:r>
        <w:t xml:space="preserve"> (</w:t>
      </w:r>
      <w:proofErr w:type="spellStart"/>
      <w:r>
        <w:t>Cth</w:t>
      </w:r>
      <w:proofErr w:type="spellEnd"/>
      <w:r>
        <w:t xml:space="preserve">). However, an exception is that unlike s 14A of the </w:t>
      </w:r>
      <w:r w:rsidRPr="00BA20BB">
        <w:t>Electronic Transactions Act</w:t>
      </w:r>
      <w:r>
        <w:t xml:space="preserve">, s 105A does not require the addressee to have become aware of the electronic communication. </w:t>
      </w:r>
    </w:p>
    <w:p w14:paraId="096F3513" w14:textId="00785FD4" w:rsidR="00BC75EF" w:rsidRDefault="00BC75EF" w:rsidP="00BC75EF">
      <w:pPr>
        <w:pStyle w:val="ParaNumbering"/>
      </w:pPr>
      <w:r>
        <w:t xml:space="preserve">The place where the Mitchell email was received </w:t>
      </w:r>
      <w:r w:rsidR="00247D8E">
        <w:t xml:space="preserve">by the CFC general mail address and </w:t>
      </w:r>
      <w:r>
        <w:t xml:space="preserve">Ms Fu’s CFC email address </w:t>
      </w:r>
      <w:r w:rsidR="00E55279">
        <w:t>respectively</w:t>
      </w:r>
      <w:r w:rsidR="00E55279" w:rsidDel="00247D8E">
        <w:t xml:space="preserve"> </w:t>
      </w:r>
      <w:r>
        <w:t>is deemed by s</w:t>
      </w:r>
      <w:r w:rsidR="009258A8">
        <w:t xml:space="preserve"> </w:t>
      </w:r>
      <w:r>
        <w:t>105B(3)(b) and (c)(</w:t>
      </w:r>
      <w:proofErr w:type="spellStart"/>
      <w:r>
        <w:t>i</w:t>
      </w:r>
      <w:proofErr w:type="spellEnd"/>
      <w:r>
        <w:t>)</w:t>
      </w:r>
      <w:r w:rsidR="00695CFE">
        <w:t xml:space="preserve"> respectively</w:t>
      </w:r>
      <w:r>
        <w:t xml:space="preserve"> to be the address of CFC Lawyers, which is the same address as is nominated in the sta</w:t>
      </w:r>
      <w:r w:rsidR="0040025E">
        <w:t>tutory demand for service on Mr </w:t>
      </w:r>
      <w:proofErr w:type="spellStart"/>
      <w:r>
        <w:t>Ogborne</w:t>
      </w:r>
      <w:proofErr w:type="spellEnd"/>
      <w:r>
        <w:t>: see [</w:t>
      </w:r>
      <w:r w:rsidR="00B44D36">
        <w:fldChar w:fldCharType="begin"/>
      </w:r>
      <w:r w:rsidR="00B44D36">
        <w:instrText xml:space="preserve"> REF _Ref101817661 \r \h </w:instrText>
      </w:r>
      <w:r w:rsidR="00B44D36">
        <w:fldChar w:fldCharType="separate"/>
      </w:r>
      <w:r w:rsidR="00493552">
        <w:t>9</w:t>
      </w:r>
      <w:r w:rsidR="00B44D36">
        <w:fldChar w:fldCharType="end"/>
      </w:r>
      <w:r>
        <w:t>] and [</w:t>
      </w:r>
      <w:r w:rsidR="00B44D36">
        <w:fldChar w:fldCharType="begin"/>
      </w:r>
      <w:r w:rsidR="00B44D36">
        <w:instrText xml:space="preserve"> REF _Ref101817669 \r \h </w:instrText>
      </w:r>
      <w:r w:rsidR="00B44D36">
        <w:fldChar w:fldCharType="separate"/>
      </w:r>
      <w:r w:rsidR="00493552">
        <w:t>14</w:t>
      </w:r>
      <w:r w:rsidR="00B44D36">
        <w:fldChar w:fldCharType="end"/>
      </w:r>
      <w:r>
        <w:t xml:space="preserve">] above. </w:t>
      </w:r>
    </w:p>
    <w:p w14:paraId="0A53C584" w14:textId="5B17D134" w:rsidR="00BC75EF" w:rsidRDefault="00BC75EF" w:rsidP="00BC75EF">
      <w:pPr>
        <w:pStyle w:val="ParaNumbering"/>
      </w:pPr>
      <w:r>
        <w:t xml:space="preserve">Having regard to the deeming of the time and place of receipt of the Mitchell </w:t>
      </w:r>
      <w:r w:rsidR="00B44D36">
        <w:t>e</w:t>
      </w:r>
      <w:r>
        <w:t xml:space="preserve">mail by operation of </w:t>
      </w:r>
      <w:proofErr w:type="spellStart"/>
      <w:r>
        <w:t>ss</w:t>
      </w:r>
      <w:proofErr w:type="spellEnd"/>
      <w:r>
        <w:t xml:space="preserve"> 105A and 105B, it is not necessary to determine whether the rebuttable presumptions that arise under s 161 of the</w:t>
      </w:r>
      <w:r w:rsidRPr="00B16A3E">
        <w:t xml:space="preserve"> </w:t>
      </w:r>
      <w:r w:rsidRPr="00D7402C">
        <w:t>Evidence Act</w:t>
      </w:r>
      <w:r>
        <w:t xml:space="preserve"> apply in the circumstances of this case </w:t>
      </w:r>
      <w:r w:rsidR="00247D8E">
        <w:t xml:space="preserve">are displaced by </w:t>
      </w:r>
      <w:r>
        <w:t>Ms Fu’s unchallenged evidence that she did not see, access or open the email at the relevant address until after the end of the statutory period</w:t>
      </w:r>
      <w:r w:rsidRPr="00D7402C">
        <w:t>.</w:t>
      </w:r>
    </w:p>
    <w:p w14:paraId="35BEFC84" w14:textId="77777777" w:rsidR="00BC75EF" w:rsidRDefault="00BC75EF" w:rsidP="00BC75EF">
      <w:pPr>
        <w:pStyle w:val="Heading1"/>
      </w:pPr>
      <w:r>
        <w:t>CONCLUSION</w:t>
      </w:r>
    </w:p>
    <w:p w14:paraId="7AEA2133" w14:textId="7EDC28BA" w:rsidR="00BC75EF" w:rsidRPr="00D960EB" w:rsidRDefault="00BC75EF" w:rsidP="00BC75EF">
      <w:pPr>
        <w:pStyle w:val="ParaNumbering"/>
      </w:pPr>
      <w:r>
        <w:t>For the reasons given above, I find that the application for an order setting aside the statutory demand and the affidavit supporting were filed and served within the 21 day statutory period specified in s</w:t>
      </w:r>
      <w:r w:rsidR="00B44D36">
        <w:t xml:space="preserve"> </w:t>
      </w:r>
      <w:r>
        <w:t>459G of the Corporations Act. Accordingly, the separate question is answered “yes”.</w:t>
      </w:r>
    </w:p>
    <w:p w14:paraId="28F61930" w14:textId="77777777" w:rsidR="00756DA8" w:rsidRDefault="00756DA8" w:rsidP="00F13643">
      <w:pPr>
        <w:pStyle w:val="BodyText"/>
      </w:pPr>
      <w:bookmarkStart w:id="27" w:name="Certification"/>
    </w:p>
    <w:tbl>
      <w:tblPr>
        <w:tblW w:w="0" w:type="auto"/>
        <w:tblLook w:val="04A0" w:firstRow="1" w:lastRow="0" w:firstColumn="1" w:lastColumn="0" w:noHBand="0" w:noVBand="1"/>
      </w:tblPr>
      <w:tblGrid>
        <w:gridCol w:w="3794"/>
      </w:tblGrid>
      <w:tr w:rsidR="00756DA8" w:rsidRPr="00756DA8" w14:paraId="67604720" w14:textId="77777777">
        <w:tc>
          <w:tcPr>
            <w:tcW w:w="3794" w:type="dxa"/>
            <w:shd w:val="clear" w:color="auto" w:fill="auto"/>
          </w:tcPr>
          <w:p w14:paraId="04310382" w14:textId="2E82A67C" w:rsidR="00756DA8" w:rsidRPr="00756DA8" w:rsidRDefault="00756DA8" w:rsidP="00756DA8">
            <w:pPr>
              <w:pStyle w:val="Normal1linespace"/>
            </w:pPr>
            <w:r w:rsidRPr="00756DA8">
              <w:lastRenderedPageBreak/>
              <w:t xml:space="preserve">I certify that the preceding </w:t>
            </w:r>
            <w:bookmarkStart w:id="28" w:name="NumberWord"/>
            <w:r>
              <w:t>ninety-eight</w:t>
            </w:r>
            <w:bookmarkEnd w:id="28"/>
            <w:r w:rsidRPr="00756DA8">
              <w:t xml:space="preserve"> (</w:t>
            </w:r>
            <w:bookmarkStart w:id="29" w:name="NumberNumeral"/>
            <w:r>
              <w:t>98</w:t>
            </w:r>
            <w:bookmarkEnd w:id="29"/>
            <w:r w:rsidRPr="00756DA8">
              <w:t xml:space="preserve">) numbered </w:t>
            </w:r>
            <w:bookmarkStart w:id="30" w:name="CertPara"/>
            <w:r>
              <w:t>paragraphs are</w:t>
            </w:r>
            <w:bookmarkEnd w:id="30"/>
            <w:r w:rsidRPr="00756DA8">
              <w:t xml:space="preserve"> a true copy of the Reasons for Judgment of </w:t>
            </w:r>
            <w:bookmarkStart w:id="31" w:name="bkHonourable"/>
            <w:r w:rsidRPr="00756DA8">
              <w:t xml:space="preserve">the Honourable </w:t>
            </w:r>
            <w:bookmarkStart w:id="32" w:name="Justice"/>
            <w:bookmarkEnd w:id="31"/>
            <w:r>
              <w:t>Justice Cheeseman</w:t>
            </w:r>
            <w:bookmarkEnd w:id="32"/>
            <w:r w:rsidRPr="00756DA8">
              <w:t>.</w:t>
            </w:r>
          </w:p>
        </w:tc>
      </w:tr>
    </w:tbl>
    <w:p w14:paraId="41C2DC08" w14:textId="59D9315C" w:rsidR="00756DA8" w:rsidRDefault="00756DA8" w:rsidP="00F13643">
      <w:pPr>
        <w:pStyle w:val="BodyText"/>
      </w:pPr>
      <w:bookmarkStart w:id="33" w:name="_GoBack"/>
      <w:bookmarkEnd w:id="33"/>
    </w:p>
    <w:p w14:paraId="30689EAA" w14:textId="2C24FEA7" w:rsidR="00756DA8" w:rsidRDefault="00756DA8" w:rsidP="006968C0">
      <w:pPr>
        <w:pStyle w:val="BodyText"/>
        <w:tabs>
          <w:tab w:val="left" w:pos="1913"/>
        </w:tabs>
      </w:pPr>
      <w:r>
        <w:t>Associate:</w:t>
      </w:r>
      <w:r w:rsidR="006968C0">
        <w:tab/>
      </w:r>
    </w:p>
    <w:p w14:paraId="389BA3DE" w14:textId="77777777" w:rsidR="00756DA8" w:rsidRDefault="00756DA8" w:rsidP="00F13643">
      <w:pPr>
        <w:pStyle w:val="BodyText"/>
      </w:pPr>
    </w:p>
    <w:p w14:paraId="45EA59C2" w14:textId="5BA512B4" w:rsidR="00756DA8" w:rsidRDefault="00756DA8" w:rsidP="00F13643">
      <w:pPr>
        <w:pStyle w:val="BodyText"/>
        <w:tabs>
          <w:tab w:val="left" w:pos="1134"/>
        </w:tabs>
      </w:pPr>
      <w:r>
        <w:t>Dated:</w:t>
      </w:r>
      <w:r>
        <w:tab/>
      </w:r>
      <w:bookmarkStart w:id="34" w:name="CertifyDated"/>
      <w:r>
        <w:t>26 April 2022</w:t>
      </w:r>
      <w:bookmarkEnd w:id="34"/>
    </w:p>
    <w:p w14:paraId="4A8246B6" w14:textId="77777777" w:rsidR="00756DA8" w:rsidRDefault="00756DA8" w:rsidP="00F13643">
      <w:pPr>
        <w:pStyle w:val="BodyText"/>
      </w:pPr>
    </w:p>
    <w:bookmarkEnd w:id="27"/>
    <w:p w14:paraId="54CBED25" w14:textId="5936AD14" w:rsidR="003105F8" w:rsidRDefault="003105F8" w:rsidP="00756DA8">
      <w:pPr>
        <w:pStyle w:val="BodyText"/>
      </w:pPr>
    </w:p>
    <w:sectPr w:rsidR="003105F8"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98BA0" w14:textId="77777777" w:rsidR="00F94B07" w:rsidRDefault="00F94B07">
      <w:pPr>
        <w:spacing w:line="20" w:lineRule="exact"/>
      </w:pPr>
    </w:p>
    <w:p w14:paraId="7ABE33DE" w14:textId="77777777" w:rsidR="00F94B07" w:rsidRDefault="00F94B07"/>
    <w:p w14:paraId="6DD8B512" w14:textId="77777777" w:rsidR="00F94B07" w:rsidRDefault="00F94B07"/>
  </w:endnote>
  <w:endnote w:type="continuationSeparator" w:id="0">
    <w:p w14:paraId="0997AE3A" w14:textId="77777777" w:rsidR="00F94B07" w:rsidRDefault="00F94B07">
      <w:r>
        <w:t xml:space="preserve"> </w:t>
      </w:r>
    </w:p>
    <w:p w14:paraId="1B0392FB" w14:textId="77777777" w:rsidR="00F94B07" w:rsidRDefault="00F94B07"/>
    <w:p w14:paraId="732A6B97" w14:textId="77777777" w:rsidR="00F94B07" w:rsidRDefault="00F94B07"/>
  </w:endnote>
  <w:endnote w:type="continuationNotice" w:id="1">
    <w:p w14:paraId="5244FBDB" w14:textId="77777777" w:rsidR="00F94B07" w:rsidRDefault="00F94B07">
      <w:r>
        <w:t xml:space="preserve"> </w:t>
      </w:r>
    </w:p>
    <w:p w14:paraId="3B7ED6BA" w14:textId="77777777" w:rsidR="00F94B07" w:rsidRDefault="00F94B07"/>
    <w:p w14:paraId="0C007311" w14:textId="77777777" w:rsidR="00F94B07" w:rsidRDefault="00F9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7EB0" w14:textId="61FAABBC" w:rsidR="0076494C" w:rsidRPr="00C47B9D" w:rsidRDefault="0076494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7B93DCB" wp14:editId="28847E2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1DFE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Pr>
            <w:bCs/>
            <w:sz w:val="18"/>
            <w:szCs w:val="18"/>
          </w:rPr>
          <w:t>Bioaction</w:t>
        </w:r>
        <w:proofErr w:type="spellEnd"/>
        <w:r>
          <w:rPr>
            <w:bCs/>
            <w:sz w:val="18"/>
            <w:szCs w:val="18"/>
          </w:rPr>
          <w:t xml:space="preserve"> Pty Ltd v </w:t>
        </w:r>
        <w:proofErr w:type="spellStart"/>
        <w:r>
          <w:rPr>
            <w:bCs/>
            <w:sz w:val="18"/>
            <w:szCs w:val="18"/>
          </w:rPr>
          <w:t>Ogborne</w:t>
        </w:r>
        <w:proofErr w:type="spellEnd"/>
        <w:r>
          <w:rPr>
            <w:bCs/>
            <w:sz w:val="18"/>
            <w:szCs w:val="18"/>
          </w:rPr>
          <w:t xml:space="preserve">, in the matter of </w:t>
        </w:r>
        <w:proofErr w:type="spellStart"/>
        <w:r>
          <w:rPr>
            <w:bCs/>
            <w:sz w:val="18"/>
            <w:szCs w:val="18"/>
          </w:rPr>
          <w:t>Bioaction</w:t>
        </w:r>
        <w:proofErr w:type="spellEnd"/>
        <w:r>
          <w:rPr>
            <w:bCs/>
            <w:sz w:val="18"/>
            <w:szCs w:val="18"/>
          </w:rPr>
          <w:t xml:space="preserve"> Pty Ltd [2022] FCA 436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9C89" w14:textId="6B33A9B0" w:rsidR="0076494C" w:rsidRPr="00A436E8" w:rsidRDefault="0076494C"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5CE2" w14:textId="3C4F0392" w:rsidR="0076494C" w:rsidRPr="00C47B9D" w:rsidRDefault="0076494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DE92743" wp14:editId="749427E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7451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C2EC66D8B6A4E03A73D187274C5551E"/>
        </w:placeholder>
        <w:dataBinding w:prefixMappings="xmlns:ns0='http://schemas.globalmacros.com/FCA'" w:xpath="/ns0:root[1]/ns0:Name[1]" w:storeItemID="{687E7CCB-4AA5-44E7-B148-17BA2B6F57C0}"/>
        <w:text w:multiLine="1"/>
      </w:sdtPr>
      <w:sdtEndPr/>
      <w:sdtContent>
        <w:proofErr w:type="spellStart"/>
        <w:r>
          <w:rPr>
            <w:bCs/>
            <w:sz w:val="18"/>
            <w:szCs w:val="18"/>
          </w:rPr>
          <w:t>Bioaction</w:t>
        </w:r>
        <w:proofErr w:type="spellEnd"/>
        <w:r>
          <w:rPr>
            <w:bCs/>
            <w:sz w:val="18"/>
            <w:szCs w:val="18"/>
          </w:rPr>
          <w:t xml:space="preserve"> Pty Ltd v </w:t>
        </w:r>
        <w:proofErr w:type="spellStart"/>
        <w:r>
          <w:rPr>
            <w:bCs/>
            <w:sz w:val="18"/>
            <w:szCs w:val="18"/>
          </w:rPr>
          <w:t>Ogborne</w:t>
        </w:r>
        <w:proofErr w:type="spellEnd"/>
        <w:r>
          <w:rPr>
            <w:bCs/>
            <w:sz w:val="18"/>
            <w:szCs w:val="18"/>
          </w:rPr>
          <w:t xml:space="preserve">, in the matter of </w:t>
        </w:r>
        <w:proofErr w:type="spellStart"/>
        <w:r>
          <w:rPr>
            <w:bCs/>
            <w:sz w:val="18"/>
            <w:szCs w:val="18"/>
          </w:rPr>
          <w:t>Bioaction</w:t>
        </w:r>
        <w:proofErr w:type="spellEnd"/>
        <w:r>
          <w:rPr>
            <w:bCs/>
            <w:sz w:val="18"/>
            <w:szCs w:val="18"/>
          </w:rPr>
          <w:t xml:space="preserve"> Pty Ltd [2022] FCA 436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0628" w14:textId="670BE95E" w:rsidR="0076494C" w:rsidRPr="00C47B9D" w:rsidRDefault="0076494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2CBBEC7" wp14:editId="0D62CDD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B689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31DDBF5339B4091A196609628E27AA1"/>
        </w:placeholder>
        <w:dataBinding w:prefixMappings="xmlns:ns0='http://schemas.globalmacros.com/FCA'" w:xpath="/ns0:root[1]/ns0:Name[1]" w:storeItemID="{687E7CCB-4AA5-44E7-B148-17BA2B6F57C0}"/>
        <w:text w:multiLine="1"/>
      </w:sdtPr>
      <w:sdtEndPr/>
      <w:sdtContent>
        <w:proofErr w:type="spellStart"/>
        <w:r>
          <w:rPr>
            <w:bCs/>
            <w:sz w:val="18"/>
            <w:szCs w:val="18"/>
          </w:rPr>
          <w:t>Bioaction</w:t>
        </w:r>
        <w:proofErr w:type="spellEnd"/>
        <w:r>
          <w:rPr>
            <w:bCs/>
            <w:sz w:val="18"/>
            <w:szCs w:val="18"/>
          </w:rPr>
          <w:t xml:space="preserve"> Pty Ltd v </w:t>
        </w:r>
        <w:proofErr w:type="spellStart"/>
        <w:r>
          <w:rPr>
            <w:bCs/>
            <w:sz w:val="18"/>
            <w:szCs w:val="18"/>
          </w:rPr>
          <w:t>Ogborne</w:t>
        </w:r>
        <w:proofErr w:type="spellEnd"/>
        <w:r>
          <w:rPr>
            <w:bCs/>
            <w:sz w:val="18"/>
            <w:szCs w:val="18"/>
          </w:rPr>
          <w:t xml:space="preserve">, in the matter of </w:t>
        </w:r>
        <w:proofErr w:type="spellStart"/>
        <w:r>
          <w:rPr>
            <w:bCs/>
            <w:sz w:val="18"/>
            <w:szCs w:val="18"/>
          </w:rPr>
          <w:t>Bioaction</w:t>
        </w:r>
        <w:proofErr w:type="spellEnd"/>
        <w:r>
          <w:rPr>
            <w:bCs/>
            <w:sz w:val="18"/>
            <w:szCs w:val="18"/>
          </w:rPr>
          <w:t xml:space="preserve"> Pty Ltd [2022] FCA 436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0D9C">
      <w:rPr>
        <w:bCs/>
        <w:noProof/>
        <w:sz w:val="20"/>
      </w:rPr>
      <w:t>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7967" w14:textId="54EA2E92" w:rsidR="0076494C" w:rsidRPr="00C47B9D" w:rsidRDefault="0076494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2802440" wp14:editId="28FB6EF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59EA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2910F80DE1746E69A789D1E9141F945"/>
        </w:placeholder>
        <w:dataBinding w:prefixMappings="xmlns:ns0='http://schemas.globalmacros.com/FCA'" w:xpath="/ns0:root[1]/ns0:Name[1]" w:storeItemID="{687E7CCB-4AA5-44E7-B148-17BA2B6F57C0}"/>
        <w:text w:multiLine="1"/>
      </w:sdtPr>
      <w:sdtEndPr/>
      <w:sdtContent>
        <w:proofErr w:type="spellStart"/>
        <w:r>
          <w:rPr>
            <w:bCs/>
            <w:sz w:val="18"/>
            <w:szCs w:val="18"/>
          </w:rPr>
          <w:t>Bioaction</w:t>
        </w:r>
        <w:proofErr w:type="spellEnd"/>
        <w:r>
          <w:rPr>
            <w:bCs/>
            <w:sz w:val="18"/>
            <w:szCs w:val="18"/>
          </w:rPr>
          <w:t xml:space="preserve"> Pty Ltd v </w:t>
        </w:r>
        <w:proofErr w:type="spellStart"/>
        <w:r>
          <w:rPr>
            <w:bCs/>
            <w:sz w:val="18"/>
            <w:szCs w:val="18"/>
          </w:rPr>
          <w:t>Ogborne</w:t>
        </w:r>
        <w:proofErr w:type="spellEnd"/>
        <w:r>
          <w:rPr>
            <w:bCs/>
            <w:sz w:val="18"/>
            <w:szCs w:val="18"/>
          </w:rPr>
          <w:t xml:space="preserve">, in the matter of </w:t>
        </w:r>
        <w:proofErr w:type="spellStart"/>
        <w:r>
          <w:rPr>
            <w:bCs/>
            <w:sz w:val="18"/>
            <w:szCs w:val="18"/>
          </w:rPr>
          <w:t>Bioaction</w:t>
        </w:r>
        <w:proofErr w:type="spellEnd"/>
        <w:r>
          <w:rPr>
            <w:bCs/>
            <w:sz w:val="18"/>
            <w:szCs w:val="18"/>
          </w:rPr>
          <w:t xml:space="preserve"> Pty Ltd [2022] FCA 436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0D9C">
      <w:rPr>
        <w:bCs/>
        <w:noProof/>
        <w:sz w:val="20"/>
      </w:rPr>
      <w:t>26</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D9F3" w14:textId="022A0DAB" w:rsidR="0076494C" w:rsidRPr="00C47B9D" w:rsidRDefault="0076494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0DD9B2E" wp14:editId="6097012F">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F444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88DC8C8F2EB48D696A227CB9DE1ECA9"/>
        </w:placeholder>
        <w:dataBinding w:prefixMappings="xmlns:ns0='http://schemas.globalmacros.com/FCA'" w:xpath="/ns0:root[1]/ns0:Name[1]" w:storeItemID="{687E7CCB-4AA5-44E7-B148-17BA2B6F57C0}"/>
        <w:text w:multiLine="1"/>
      </w:sdtPr>
      <w:sdtEndPr/>
      <w:sdtContent>
        <w:proofErr w:type="spellStart"/>
        <w:r>
          <w:rPr>
            <w:bCs/>
            <w:sz w:val="18"/>
            <w:szCs w:val="18"/>
          </w:rPr>
          <w:t>Bioaction</w:t>
        </w:r>
        <w:proofErr w:type="spellEnd"/>
        <w:r>
          <w:rPr>
            <w:bCs/>
            <w:sz w:val="18"/>
            <w:szCs w:val="18"/>
          </w:rPr>
          <w:t xml:space="preserve"> Pty Ltd v </w:t>
        </w:r>
        <w:proofErr w:type="spellStart"/>
        <w:r>
          <w:rPr>
            <w:bCs/>
            <w:sz w:val="18"/>
            <w:szCs w:val="18"/>
          </w:rPr>
          <w:t>Ogborne</w:t>
        </w:r>
        <w:proofErr w:type="spellEnd"/>
        <w:r>
          <w:rPr>
            <w:bCs/>
            <w:sz w:val="18"/>
            <w:szCs w:val="18"/>
          </w:rPr>
          <w:t xml:space="preserve">, in the matter of </w:t>
        </w:r>
        <w:proofErr w:type="spellStart"/>
        <w:r>
          <w:rPr>
            <w:bCs/>
            <w:sz w:val="18"/>
            <w:szCs w:val="18"/>
          </w:rPr>
          <w:t>Bioaction</w:t>
        </w:r>
        <w:proofErr w:type="spellEnd"/>
        <w:r>
          <w:rPr>
            <w:bCs/>
            <w:sz w:val="18"/>
            <w:szCs w:val="18"/>
          </w:rPr>
          <w:t xml:space="preserve"> Pty Ltd [2022] FCA 436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0D9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0885E" w14:textId="77777777" w:rsidR="00F94B07" w:rsidRDefault="00F94B07"/>
  </w:footnote>
  <w:footnote w:type="continuationSeparator" w:id="0">
    <w:p w14:paraId="59CA28E3" w14:textId="77777777" w:rsidR="00F94B07" w:rsidRDefault="00F94B07">
      <w:r>
        <w:continuationSeparator/>
      </w:r>
    </w:p>
    <w:p w14:paraId="3B8F840D" w14:textId="77777777" w:rsidR="00F94B07" w:rsidRDefault="00F94B07"/>
    <w:p w14:paraId="0BC9BCAB" w14:textId="77777777" w:rsidR="00F94B07" w:rsidRDefault="00F94B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15C3" w14:textId="77777777" w:rsidR="0076494C" w:rsidRDefault="0076494C">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988E" w14:textId="77777777" w:rsidR="0076494C" w:rsidRDefault="0076494C">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07C9" w14:textId="77777777" w:rsidR="0076494C" w:rsidRDefault="0076494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AE4E" w14:textId="77777777" w:rsidR="0076494C" w:rsidRDefault="0076494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EC23" w14:textId="77777777" w:rsidR="0076494C" w:rsidRDefault="0076494C"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FF23D2D"/>
    <w:multiLevelType w:val="multilevel"/>
    <w:tmpl w:val="5630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E3DD1"/>
    <w:multiLevelType w:val="singleLevel"/>
    <w:tmpl w:val="72C08A1C"/>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2FCF439D"/>
    <w:multiLevelType w:val="hybridMultilevel"/>
    <w:tmpl w:val="49F24902"/>
    <w:lvl w:ilvl="0" w:tplc="CF42CE64">
      <w:start w:val="1"/>
      <w:numFmt w:val="decimal"/>
      <w:lvlText w:val="(%1)"/>
      <w:lvlJc w:val="left"/>
      <w:pPr>
        <w:ind w:left="1099" w:hanging="39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DF6494"/>
    <w:multiLevelType w:val="multilevel"/>
    <w:tmpl w:val="A316FE50"/>
    <w:numStyleLink w:val="ChapterList"/>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3973818"/>
    <w:multiLevelType w:val="hybridMultilevel"/>
    <w:tmpl w:val="2704265A"/>
    <w:lvl w:ilvl="0" w:tplc="28DE159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3"/>
  </w:num>
  <w:num w:numId="14">
    <w:abstractNumId w:val="24"/>
  </w:num>
  <w:num w:numId="15">
    <w:abstractNumId w:val="29"/>
  </w:num>
  <w:num w:numId="16">
    <w:abstractNumId w:val="13"/>
  </w:num>
  <w:num w:numId="17">
    <w:abstractNumId w:val="27"/>
  </w:num>
  <w:num w:numId="18">
    <w:abstractNumId w:val="11"/>
  </w:num>
  <w:num w:numId="19">
    <w:abstractNumId w:val="20"/>
  </w:num>
  <w:num w:numId="20">
    <w:abstractNumId w:val="16"/>
  </w:num>
  <w:num w:numId="21">
    <w:abstractNumId w:val="17"/>
  </w:num>
  <w:num w:numId="22">
    <w:abstractNumId w:val="22"/>
  </w:num>
  <w:num w:numId="23">
    <w:abstractNumId w:val="10"/>
  </w:num>
  <w:num w:numId="24">
    <w:abstractNumId w:val="10"/>
  </w:num>
  <w:num w:numId="25">
    <w:abstractNumId w:val="12"/>
  </w:num>
  <w:num w:numId="26">
    <w:abstractNumId w:val="19"/>
  </w:num>
  <w:num w:numId="27">
    <w:abstractNumId w:val="19"/>
  </w:num>
  <w:num w:numId="28">
    <w:abstractNumId w:val="19"/>
  </w:num>
  <w:num w:numId="2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5"/>
    <w:lvlOverride w:ilvl="0">
      <w:startOverride w:val="1"/>
    </w:lvlOverride>
  </w:num>
  <w:num w:numId="32">
    <w:abstractNumId w:val="28"/>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46"/>
    </w:lvlOverride>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ant" w:val="Gordon Ogborne"/>
    <w:docVar w:name="Defenders" w:val="(and another named in the Schedule)"/>
    <w:docVar w:name="Division" w:val="FCA General Division"/>
    <w:docVar w:name="DocCreated" w:val="True"/>
    <w:docVar w:name="FileNumbers" w:val="NSD 61 of 2022 "/>
    <w:docVar w:name="Initiators" w:val="(and another named in the Schedule)"/>
    <w:docVar w:name="InTheMatterOf" w:val="Bioaction Pty Ltd (ACN 136 514 817)"/>
    <w:docVar w:name="Judgdate" w:val="26 April 2022"/>
    <w:docVar w:name="Judge" w:val="Cheeseman"/>
    <w:docVar w:name="JudgeType" w:val="Justice"/>
    <w:docVar w:name="lstEntryList" w:val="-1"/>
    <w:docVar w:name="NSD" w:val="NSD "/>
    <w:docVar w:name="NumApps" w:val="1"/>
    <w:docVar w:name="NumApps_" w:val="0"/>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Bioaction Pty Ltd"/>
    <w:docVar w:name="PracticeArea" w:val="Commercial and Corporations"/>
    <w:docVar w:name="RESAndAnother" w:val="True"/>
    <w:docVar w:name="RESAndOthers" w:val="False"/>
    <w:docVar w:name="ResState" w:val="New South Wales"/>
    <w:docVar w:name="SubArea" w:val="Corporations and Corporate Insolvency (C &amp; C)"/>
  </w:docVars>
  <w:rsids>
    <w:rsidRoot w:val="00B63AFC"/>
    <w:rsid w:val="00000747"/>
    <w:rsid w:val="000115C5"/>
    <w:rsid w:val="0001469E"/>
    <w:rsid w:val="00015993"/>
    <w:rsid w:val="00021CCB"/>
    <w:rsid w:val="00022289"/>
    <w:rsid w:val="000237E9"/>
    <w:rsid w:val="00027398"/>
    <w:rsid w:val="0003201A"/>
    <w:rsid w:val="0003207A"/>
    <w:rsid w:val="00032F9F"/>
    <w:rsid w:val="00041C07"/>
    <w:rsid w:val="00044049"/>
    <w:rsid w:val="00045019"/>
    <w:rsid w:val="00045BB7"/>
    <w:rsid w:val="00055719"/>
    <w:rsid w:val="0005641B"/>
    <w:rsid w:val="0006196A"/>
    <w:rsid w:val="000635F5"/>
    <w:rsid w:val="000650F0"/>
    <w:rsid w:val="00071FB3"/>
    <w:rsid w:val="00077768"/>
    <w:rsid w:val="00081497"/>
    <w:rsid w:val="00081AA1"/>
    <w:rsid w:val="000831EC"/>
    <w:rsid w:val="00084126"/>
    <w:rsid w:val="00085255"/>
    <w:rsid w:val="00090F59"/>
    <w:rsid w:val="000915A2"/>
    <w:rsid w:val="00094421"/>
    <w:rsid w:val="000A2E76"/>
    <w:rsid w:val="000A399B"/>
    <w:rsid w:val="000A4807"/>
    <w:rsid w:val="000A4BE4"/>
    <w:rsid w:val="000B0980"/>
    <w:rsid w:val="000B1B06"/>
    <w:rsid w:val="000C023E"/>
    <w:rsid w:val="000C08AB"/>
    <w:rsid w:val="000C0D9C"/>
    <w:rsid w:val="000C405D"/>
    <w:rsid w:val="000C5195"/>
    <w:rsid w:val="000C62EF"/>
    <w:rsid w:val="000D2137"/>
    <w:rsid w:val="000D3FD2"/>
    <w:rsid w:val="000D4B2E"/>
    <w:rsid w:val="000E348E"/>
    <w:rsid w:val="000E3FC8"/>
    <w:rsid w:val="000E7BAE"/>
    <w:rsid w:val="000F133D"/>
    <w:rsid w:val="000F79EB"/>
    <w:rsid w:val="000F7B37"/>
    <w:rsid w:val="0010536B"/>
    <w:rsid w:val="0011145C"/>
    <w:rsid w:val="001121D8"/>
    <w:rsid w:val="001124D6"/>
    <w:rsid w:val="001128BD"/>
    <w:rsid w:val="001133C4"/>
    <w:rsid w:val="0011419D"/>
    <w:rsid w:val="00114B02"/>
    <w:rsid w:val="00115F48"/>
    <w:rsid w:val="001226C0"/>
    <w:rsid w:val="001233ED"/>
    <w:rsid w:val="00126EC8"/>
    <w:rsid w:val="0012731C"/>
    <w:rsid w:val="00132054"/>
    <w:rsid w:val="00132117"/>
    <w:rsid w:val="00134964"/>
    <w:rsid w:val="001351B9"/>
    <w:rsid w:val="00137156"/>
    <w:rsid w:val="001463FA"/>
    <w:rsid w:val="00155403"/>
    <w:rsid w:val="00155CD2"/>
    <w:rsid w:val="00157A91"/>
    <w:rsid w:val="00160DDD"/>
    <w:rsid w:val="00170215"/>
    <w:rsid w:val="001727A4"/>
    <w:rsid w:val="0017376C"/>
    <w:rsid w:val="001738AB"/>
    <w:rsid w:val="00174A67"/>
    <w:rsid w:val="00175D35"/>
    <w:rsid w:val="001765E0"/>
    <w:rsid w:val="00177759"/>
    <w:rsid w:val="00180BB3"/>
    <w:rsid w:val="00185DD6"/>
    <w:rsid w:val="00185E6B"/>
    <w:rsid w:val="00187BBC"/>
    <w:rsid w:val="001932F3"/>
    <w:rsid w:val="001A2B40"/>
    <w:rsid w:val="001A4309"/>
    <w:rsid w:val="001A46AE"/>
    <w:rsid w:val="001A6C52"/>
    <w:rsid w:val="001A6C9B"/>
    <w:rsid w:val="001B1053"/>
    <w:rsid w:val="001B14AC"/>
    <w:rsid w:val="001B2FC8"/>
    <w:rsid w:val="001B7940"/>
    <w:rsid w:val="001C171A"/>
    <w:rsid w:val="001C2FE0"/>
    <w:rsid w:val="001C37CA"/>
    <w:rsid w:val="001C4085"/>
    <w:rsid w:val="001C64E6"/>
    <w:rsid w:val="001D4303"/>
    <w:rsid w:val="001D6746"/>
    <w:rsid w:val="001D7E9C"/>
    <w:rsid w:val="001E0C61"/>
    <w:rsid w:val="001E2575"/>
    <w:rsid w:val="001E3444"/>
    <w:rsid w:val="001E3B49"/>
    <w:rsid w:val="001E437A"/>
    <w:rsid w:val="001E4A05"/>
    <w:rsid w:val="001E6A19"/>
    <w:rsid w:val="001E7388"/>
    <w:rsid w:val="001F1054"/>
    <w:rsid w:val="001F13DD"/>
    <w:rsid w:val="001F2473"/>
    <w:rsid w:val="001F2DBC"/>
    <w:rsid w:val="001F6069"/>
    <w:rsid w:val="001F73E8"/>
    <w:rsid w:val="0020262C"/>
    <w:rsid w:val="00202723"/>
    <w:rsid w:val="00211A3E"/>
    <w:rsid w:val="00213F20"/>
    <w:rsid w:val="00214055"/>
    <w:rsid w:val="00215BCA"/>
    <w:rsid w:val="002160F5"/>
    <w:rsid w:val="00217AC4"/>
    <w:rsid w:val="00221461"/>
    <w:rsid w:val="00221831"/>
    <w:rsid w:val="00223734"/>
    <w:rsid w:val="00224537"/>
    <w:rsid w:val="00235956"/>
    <w:rsid w:val="002363DC"/>
    <w:rsid w:val="00242860"/>
    <w:rsid w:val="00243E5E"/>
    <w:rsid w:val="002467A6"/>
    <w:rsid w:val="00247C9A"/>
    <w:rsid w:val="00247D8E"/>
    <w:rsid w:val="0025160C"/>
    <w:rsid w:val="002535D0"/>
    <w:rsid w:val="002539B3"/>
    <w:rsid w:val="0025420B"/>
    <w:rsid w:val="00256336"/>
    <w:rsid w:val="00257C3E"/>
    <w:rsid w:val="002602C2"/>
    <w:rsid w:val="00260DF6"/>
    <w:rsid w:val="002666C9"/>
    <w:rsid w:val="00270136"/>
    <w:rsid w:val="00270FD7"/>
    <w:rsid w:val="00271C47"/>
    <w:rsid w:val="00274F5B"/>
    <w:rsid w:val="00280836"/>
    <w:rsid w:val="00282E1A"/>
    <w:rsid w:val="002840F1"/>
    <w:rsid w:val="00285922"/>
    <w:rsid w:val="0029113B"/>
    <w:rsid w:val="002934C0"/>
    <w:rsid w:val="00293E1F"/>
    <w:rsid w:val="0029764C"/>
    <w:rsid w:val="002A1B50"/>
    <w:rsid w:val="002A6A2F"/>
    <w:rsid w:val="002B0E91"/>
    <w:rsid w:val="002B132C"/>
    <w:rsid w:val="002B284F"/>
    <w:rsid w:val="002B3F23"/>
    <w:rsid w:val="002B4EB5"/>
    <w:rsid w:val="002B570C"/>
    <w:rsid w:val="002B5AF5"/>
    <w:rsid w:val="002B6779"/>
    <w:rsid w:val="002B71C0"/>
    <w:rsid w:val="002B7A34"/>
    <w:rsid w:val="002C31AD"/>
    <w:rsid w:val="002C407A"/>
    <w:rsid w:val="002C7385"/>
    <w:rsid w:val="002C7846"/>
    <w:rsid w:val="002D1B92"/>
    <w:rsid w:val="002D2DBB"/>
    <w:rsid w:val="002D37D8"/>
    <w:rsid w:val="002D54A6"/>
    <w:rsid w:val="002E3779"/>
    <w:rsid w:val="002E4C95"/>
    <w:rsid w:val="002E5BF9"/>
    <w:rsid w:val="002E6A7A"/>
    <w:rsid w:val="002E7694"/>
    <w:rsid w:val="002F0252"/>
    <w:rsid w:val="002F15E4"/>
    <w:rsid w:val="002F1E49"/>
    <w:rsid w:val="002F2CD3"/>
    <w:rsid w:val="002F4E9C"/>
    <w:rsid w:val="002F6E15"/>
    <w:rsid w:val="002F7AAC"/>
    <w:rsid w:val="0030286C"/>
    <w:rsid w:val="00302F4E"/>
    <w:rsid w:val="00305E4A"/>
    <w:rsid w:val="0030661A"/>
    <w:rsid w:val="003105F8"/>
    <w:rsid w:val="0031256C"/>
    <w:rsid w:val="003146E7"/>
    <w:rsid w:val="00314D6C"/>
    <w:rsid w:val="00316D2A"/>
    <w:rsid w:val="0032172A"/>
    <w:rsid w:val="00322A7C"/>
    <w:rsid w:val="00322EEC"/>
    <w:rsid w:val="00323061"/>
    <w:rsid w:val="00333C3E"/>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4BF2"/>
    <w:rsid w:val="003850C9"/>
    <w:rsid w:val="00390883"/>
    <w:rsid w:val="003922F8"/>
    <w:rsid w:val="003948E5"/>
    <w:rsid w:val="00394D5B"/>
    <w:rsid w:val="00395B24"/>
    <w:rsid w:val="003A0494"/>
    <w:rsid w:val="003A2D38"/>
    <w:rsid w:val="003A74B1"/>
    <w:rsid w:val="003A7ECC"/>
    <w:rsid w:val="003B2C72"/>
    <w:rsid w:val="003B58B4"/>
    <w:rsid w:val="003B6842"/>
    <w:rsid w:val="003C1333"/>
    <w:rsid w:val="003C20FF"/>
    <w:rsid w:val="003C550A"/>
    <w:rsid w:val="003C6055"/>
    <w:rsid w:val="003D2650"/>
    <w:rsid w:val="003D560C"/>
    <w:rsid w:val="003D5C00"/>
    <w:rsid w:val="003E3154"/>
    <w:rsid w:val="003E4EC4"/>
    <w:rsid w:val="003E5874"/>
    <w:rsid w:val="003E72D3"/>
    <w:rsid w:val="003F193E"/>
    <w:rsid w:val="003F242C"/>
    <w:rsid w:val="003F34F1"/>
    <w:rsid w:val="003F5C3A"/>
    <w:rsid w:val="0040025E"/>
    <w:rsid w:val="00400910"/>
    <w:rsid w:val="004031D8"/>
    <w:rsid w:val="004033CE"/>
    <w:rsid w:val="004036F4"/>
    <w:rsid w:val="004104B6"/>
    <w:rsid w:val="00410B14"/>
    <w:rsid w:val="00411AE8"/>
    <w:rsid w:val="00413B74"/>
    <w:rsid w:val="00430553"/>
    <w:rsid w:val="0043297D"/>
    <w:rsid w:val="004342F3"/>
    <w:rsid w:val="00435C5F"/>
    <w:rsid w:val="00436155"/>
    <w:rsid w:val="00436460"/>
    <w:rsid w:val="0044072F"/>
    <w:rsid w:val="00441E98"/>
    <w:rsid w:val="00450F3A"/>
    <w:rsid w:val="004532F7"/>
    <w:rsid w:val="00461922"/>
    <w:rsid w:val="004639AF"/>
    <w:rsid w:val="00464D51"/>
    <w:rsid w:val="00465C3C"/>
    <w:rsid w:val="0046647D"/>
    <w:rsid w:val="00472027"/>
    <w:rsid w:val="00477D49"/>
    <w:rsid w:val="004804CF"/>
    <w:rsid w:val="00483314"/>
    <w:rsid w:val="00483680"/>
    <w:rsid w:val="00484962"/>
    <w:rsid w:val="00484F6D"/>
    <w:rsid w:val="00484FB7"/>
    <w:rsid w:val="0048554D"/>
    <w:rsid w:val="004860A1"/>
    <w:rsid w:val="0049338A"/>
    <w:rsid w:val="00493552"/>
    <w:rsid w:val="0049417F"/>
    <w:rsid w:val="00496D41"/>
    <w:rsid w:val="004A5B21"/>
    <w:rsid w:val="004A6386"/>
    <w:rsid w:val="004A6602"/>
    <w:rsid w:val="004B3EFA"/>
    <w:rsid w:val="004C2A87"/>
    <w:rsid w:val="004C410E"/>
    <w:rsid w:val="004C4D7B"/>
    <w:rsid w:val="004C4ED3"/>
    <w:rsid w:val="004C667B"/>
    <w:rsid w:val="004C6A6D"/>
    <w:rsid w:val="004C6B75"/>
    <w:rsid w:val="004C7ECD"/>
    <w:rsid w:val="004D19CF"/>
    <w:rsid w:val="004D2EA5"/>
    <w:rsid w:val="004D32A6"/>
    <w:rsid w:val="004D53E5"/>
    <w:rsid w:val="004D7950"/>
    <w:rsid w:val="004E6DC4"/>
    <w:rsid w:val="004F21C1"/>
    <w:rsid w:val="00501A12"/>
    <w:rsid w:val="0050309C"/>
    <w:rsid w:val="00503D99"/>
    <w:rsid w:val="00504786"/>
    <w:rsid w:val="00505455"/>
    <w:rsid w:val="005059BD"/>
    <w:rsid w:val="0051327C"/>
    <w:rsid w:val="0051346D"/>
    <w:rsid w:val="00513A07"/>
    <w:rsid w:val="00513EAE"/>
    <w:rsid w:val="0051434F"/>
    <w:rsid w:val="00514654"/>
    <w:rsid w:val="00516806"/>
    <w:rsid w:val="0052098C"/>
    <w:rsid w:val="00525A49"/>
    <w:rsid w:val="005262D1"/>
    <w:rsid w:val="00530876"/>
    <w:rsid w:val="00535613"/>
    <w:rsid w:val="005359EB"/>
    <w:rsid w:val="00536335"/>
    <w:rsid w:val="00537996"/>
    <w:rsid w:val="0054254A"/>
    <w:rsid w:val="00543B49"/>
    <w:rsid w:val="00544822"/>
    <w:rsid w:val="0054500B"/>
    <w:rsid w:val="005466B5"/>
    <w:rsid w:val="00554314"/>
    <w:rsid w:val="00562829"/>
    <w:rsid w:val="005629B3"/>
    <w:rsid w:val="00565F2E"/>
    <w:rsid w:val="0057128A"/>
    <w:rsid w:val="005724F6"/>
    <w:rsid w:val="00573AC4"/>
    <w:rsid w:val="00573C6B"/>
    <w:rsid w:val="005801FC"/>
    <w:rsid w:val="00585BA9"/>
    <w:rsid w:val="00586A68"/>
    <w:rsid w:val="00587359"/>
    <w:rsid w:val="00595016"/>
    <w:rsid w:val="00597AAE"/>
    <w:rsid w:val="005A222C"/>
    <w:rsid w:val="005A4DF8"/>
    <w:rsid w:val="005A78C8"/>
    <w:rsid w:val="005B1426"/>
    <w:rsid w:val="005B3654"/>
    <w:rsid w:val="005C0A8E"/>
    <w:rsid w:val="005C1767"/>
    <w:rsid w:val="005C185C"/>
    <w:rsid w:val="005C3CD4"/>
    <w:rsid w:val="005C42EF"/>
    <w:rsid w:val="005C668E"/>
    <w:rsid w:val="005D579E"/>
    <w:rsid w:val="005D62DE"/>
    <w:rsid w:val="005E02F5"/>
    <w:rsid w:val="005E0510"/>
    <w:rsid w:val="005E176E"/>
    <w:rsid w:val="005E218E"/>
    <w:rsid w:val="005E35A0"/>
    <w:rsid w:val="005E37C0"/>
    <w:rsid w:val="005F0D1B"/>
    <w:rsid w:val="005F1865"/>
    <w:rsid w:val="005F4011"/>
    <w:rsid w:val="006007BD"/>
    <w:rsid w:val="006013C8"/>
    <w:rsid w:val="0060270D"/>
    <w:rsid w:val="00604342"/>
    <w:rsid w:val="00604611"/>
    <w:rsid w:val="00605C5E"/>
    <w:rsid w:val="00611586"/>
    <w:rsid w:val="00612D26"/>
    <w:rsid w:val="00615855"/>
    <w:rsid w:val="00620DA8"/>
    <w:rsid w:val="00621887"/>
    <w:rsid w:val="00624520"/>
    <w:rsid w:val="006248B7"/>
    <w:rsid w:val="006271F5"/>
    <w:rsid w:val="00632300"/>
    <w:rsid w:val="00632BB7"/>
    <w:rsid w:val="00635B36"/>
    <w:rsid w:val="00636871"/>
    <w:rsid w:val="00637A90"/>
    <w:rsid w:val="00640EE1"/>
    <w:rsid w:val="00640F4E"/>
    <w:rsid w:val="006433BB"/>
    <w:rsid w:val="00643DE0"/>
    <w:rsid w:val="0064437D"/>
    <w:rsid w:val="00644E85"/>
    <w:rsid w:val="0065092A"/>
    <w:rsid w:val="006516D8"/>
    <w:rsid w:val="00652C52"/>
    <w:rsid w:val="006558A2"/>
    <w:rsid w:val="0066063F"/>
    <w:rsid w:val="00660C4F"/>
    <w:rsid w:val="00662BB0"/>
    <w:rsid w:val="00663878"/>
    <w:rsid w:val="00667773"/>
    <w:rsid w:val="00670743"/>
    <w:rsid w:val="00670EDA"/>
    <w:rsid w:val="00670F5C"/>
    <w:rsid w:val="00680A85"/>
    <w:rsid w:val="00681ADF"/>
    <w:rsid w:val="00690EE2"/>
    <w:rsid w:val="006925DC"/>
    <w:rsid w:val="00693854"/>
    <w:rsid w:val="00694BEB"/>
    <w:rsid w:val="00695CFE"/>
    <w:rsid w:val="006968C0"/>
    <w:rsid w:val="006A0E20"/>
    <w:rsid w:val="006A24E3"/>
    <w:rsid w:val="006A4E76"/>
    <w:rsid w:val="006A5695"/>
    <w:rsid w:val="006B0439"/>
    <w:rsid w:val="006B3904"/>
    <w:rsid w:val="006B5B7D"/>
    <w:rsid w:val="006C07E5"/>
    <w:rsid w:val="006C5B46"/>
    <w:rsid w:val="006C6E39"/>
    <w:rsid w:val="006D0ECF"/>
    <w:rsid w:val="006D3D5B"/>
    <w:rsid w:val="006D4C92"/>
    <w:rsid w:val="006D4EB6"/>
    <w:rsid w:val="006D6F6A"/>
    <w:rsid w:val="006D7FBC"/>
    <w:rsid w:val="006E35BF"/>
    <w:rsid w:val="006E3896"/>
    <w:rsid w:val="006E5685"/>
    <w:rsid w:val="006E60A0"/>
    <w:rsid w:val="006E7850"/>
    <w:rsid w:val="006F19D8"/>
    <w:rsid w:val="006F1E74"/>
    <w:rsid w:val="006F46D6"/>
    <w:rsid w:val="006F4BBB"/>
    <w:rsid w:val="007028D9"/>
    <w:rsid w:val="0070323F"/>
    <w:rsid w:val="00704F4C"/>
    <w:rsid w:val="00706106"/>
    <w:rsid w:val="00707218"/>
    <w:rsid w:val="00710D04"/>
    <w:rsid w:val="00712B1D"/>
    <w:rsid w:val="00715751"/>
    <w:rsid w:val="007171BA"/>
    <w:rsid w:val="00717616"/>
    <w:rsid w:val="00723AC9"/>
    <w:rsid w:val="007325D9"/>
    <w:rsid w:val="0073413F"/>
    <w:rsid w:val="0073583B"/>
    <w:rsid w:val="007360CA"/>
    <w:rsid w:val="0074667B"/>
    <w:rsid w:val="007470BD"/>
    <w:rsid w:val="00756DA8"/>
    <w:rsid w:val="00760EC0"/>
    <w:rsid w:val="0076494C"/>
    <w:rsid w:val="007711BD"/>
    <w:rsid w:val="007761A6"/>
    <w:rsid w:val="0078003A"/>
    <w:rsid w:val="00780771"/>
    <w:rsid w:val="00791F28"/>
    <w:rsid w:val="007929CF"/>
    <w:rsid w:val="00797BA8"/>
    <w:rsid w:val="007A081D"/>
    <w:rsid w:val="007A2E0A"/>
    <w:rsid w:val="007A49E7"/>
    <w:rsid w:val="007A6399"/>
    <w:rsid w:val="007A6F28"/>
    <w:rsid w:val="007B03C6"/>
    <w:rsid w:val="007B0DB1"/>
    <w:rsid w:val="007B5673"/>
    <w:rsid w:val="007B582E"/>
    <w:rsid w:val="007B7238"/>
    <w:rsid w:val="007B76FF"/>
    <w:rsid w:val="007C3BF6"/>
    <w:rsid w:val="007C67B3"/>
    <w:rsid w:val="007C7016"/>
    <w:rsid w:val="007D0CFD"/>
    <w:rsid w:val="007D0FD2"/>
    <w:rsid w:val="007D2EF8"/>
    <w:rsid w:val="007D43F6"/>
    <w:rsid w:val="007D561F"/>
    <w:rsid w:val="007D7FD2"/>
    <w:rsid w:val="007E13D9"/>
    <w:rsid w:val="007E2AEC"/>
    <w:rsid w:val="007E417C"/>
    <w:rsid w:val="007E41BE"/>
    <w:rsid w:val="007E4DB6"/>
    <w:rsid w:val="007E6103"/>
    <w:rsid w:val="007E6733"/>
    <w:rsid w:val="007E7CD4"/>
    <w:rsid w:val="007F12AC"/>
    <w:rsid w:val="007F4501"/>
    <w:rsid w:val="007F60DF"/>
    <w:rsid w:val="00801800"/>
    <w:rsid w:val="00801861"/>
    <w:rsid w:val="00801B5B"/>
    <w:rsid w:val="00804B21"/>
    <w:rsid w:val="00805A30"/>
    <w:rsid w:val="00806A88"/>
    <w:rsid w:val="008160C5"/>
    <w:rsid w:val="008216E7"/>
    <w:rsid w:val="00825BE6"/>
    <w:rsid w:val="008276B4"/>
    <w:rsid w:val="00827C83"/>
    <w:rsid w:val="00831927"/>
    <w:rsid w:val="00836A40"/>
    <w:rsid w:val="00837288"/>
    <w:rsid w:val="00841460"/>
    <w:rsid w:val="00841BD3"/>
    <w:rsid w:val="0084273D"/>
    <w:rsid w:val="00844E3F"/>
    <w:rsid w:val="00845A83"/>
    <w:rsid w:val="00846BB9"/>
    <w:rsid w:val="008573D4"/>
    <w:rsid w:val="008649D5"/>
    <w:rsid w:val="008650C1"/>
    <w:rsid w:val="00867DA1"/>
    <w:rsid w:val="00867E15"/>
    <w:rsid w:val="008712BB"/>
    <w:rsid w:val="008830E7"/>
    <w:rsid w:val="00883A9D"/>
    <w:rsid w:val="00883FC6"/>
    <w:rsid w:val="00890CEB"/>
    <w:rsid w:val="00890EDE"/>
    <w:rsid w:val="00892B38"/>
    <w:rsid w:val="008A1741"/>
    <w:rsid w:val="008A2484"/>
    <w:rsid w:val="008A52F3"/>
    <w:rsid w:val="008B667D"/>
    <w:rsid w:val="008B6D0B"/>
    <w:rsid w:val="008C26D9"/>
    <w:rsid w:val="008C6D50"/>
    <w:rsid w:val="008C7167"/>
    <w:rsid w:val="008C7503"/>
    <w:rsid w:val="008D1617"/>
    <w:rsid w:val="008D330F"/>
    <w:rsid w:val="008D48C1"/>
    <w:rsid w:val="008E1899"/>
    <w:rsid w:val="008E6315"/>
    <w:rsid w:val="008E6C3C"/>
    <w:rsid w:val="008F0480"/>
    <w:rsid w:val="008F07FC"/>
    <w:rsid w:val="008F11E0"/>
    <w:rsid w:val="008F2E84"/>
    <w:rsid w:val="008F3AC6"/>
    <w:rsid w:val="008F3EA7"/>
    <w:rsid w:val="008F78BC"/>
    <w:rsid w:val="008F7B63"/>
    <w:rsid w:val="008F7D6A"/>
    <w:rsid w:val="00901C86"/>
    <w:rsid w:val="00903603"/>
    <w:rsid w:val="009054CB"/>
    <w:rsid w:val="00906D41"/>
    <w:rsid w:val="00911F8D"/>
    <w:rsid w:val="00912F0B"/>
    <w:rsid w:val="00912F94"/>
    <w:rsid w:val="009133A6"/>
    <w:rsid w:val="009171BC"/>
    <w:rsid w:val="009204FE"/>
    <w:rsid w:val="00923AB4"/>
    <w:rsid w:val="0092497E"/>
    <w:rsid w:val="009258A8"/>
    <w:rsid w:val="0092590B"/>
    <w:rsid w:val="00925BF3"/>
    <w:rsid w:val="00925E60"/>
    <w:rsid w:val="009264B3"/>
    <w:rsid w:val="00931E4C"/>
    <w:rsid w:val="009365E0"/>
    <w:rsid w:val="00942BA2"/>
    <w:rsid w:val="009432B7"/>
    <w:rsid w:val="00944C86"/>
    <w:rsid w:val="0094535B"/>
    <w:rsid w:val="00947C02"/>
    <w:rsid w:val="00950BE6"/>
    <w:rsid w:val="00957DE8"/>
    <w:rsid w:val="00960ECB"/>
    <w:rsid w:val="0096134E"/>
    <w:rsid w:val="009615D6"/>
    <w:rsid w:val="00967855"/>
    <w:rsid w:val="00971CD1"/>
    <w:rsid w:val="00974709"/>
    <w:rsid w:val="00976104"/>
    <w:rsid w:val="009801AE"/>
    <w:rsid w:val="00980736"/>
    <w:rsid w:val="00981A39"/>
    <w:rsid w:val="00982D56"/>
    <w:rsid w:val="00983DBF"/>
    <w:rsid w:val="00984E97"/>
    <w:rsid w:val="00987097"/>
    <w:rsid w:val="00991123"/>
    <w:rsid w:val="00991CAB"/>
    <w:rsid w:val="00995C05"/>
    <w:rsid w:val="009965F9"/>
    <w:rsid w:val="009A3A9C"/>
    <w:rsid w:val="009B046C"/>
    <w:rsid w:val="009B13FA"/>
    <w:rsid w:val="009B1E2D"/>
    <w:rsid w:val="009C3FE1"/>
    <w:rsid w:val="009C59FB"/>
    <w:rsid w:val="009C61F9"/>
    <w:rsid w:val="009C6F3B"/>
    <w:rsid w:val="009D1467"/>
    <w:rsid w:val="009D328D"/>
    <w:rsid w:val="009D4624"/>
    <w:rsid w:val="009D7C93"/>
    <w:rsid w:val="009E4FA6"/>
    <w:rsid w:val="009E7D93"/>
    <w:rsid w:val="009F3C34"/>
    <w:rsid w:val="009F462C"/>
    <w:rsid w:val="009F5C33"/>
    <w:rsid w:val="00A026F0"/>
    <w:rsid w:val="00A03EAC"/>
    <w:rsid w:val="00A042A5"/>
    <w:rsid w:val="00A04DBB"/>
    <w:rsid w:val="00A07EA0"/>
    <w:rsid w:val="00A11CA6"/>
    <w:rsid w:val="00A143D6"/>
    <w:rsid w:val="00A17421"/>
    <w:rsid w:val="00A20C49"/>
    <w:rsid w:val="00A228F3"/>
    <w:rsid w:val="00A22932"/>
    <w:rsid w:val="00A24279"/>
    <w:rsid w:val="00A2643B"/>
    <w:rsid w:val="00A269CA"/>
    <w:rsid w:val="00A336EE"/>
    <w:rsid w:val="00A33F46"/>
    <w:rsid w:val="00A3427E"/>
    <w:rsid w:val="00A359AC"/>
    <w:rsid w:val="00A4032E"/>
    <w:rsid w:val="00A40F83"/>
    <w:rsid w:val="00A410FB"/>
    <w:rsid w:val="00A41413"/>
    <w:rsid w:val="00A41D7F"/>
    <w:rsid w:val="00A431E6"/>
    <w:rsid w:val="00A436E8"/>
    <w:rsid w:val="00A4551B"/>
    <w:rsid w:val="00A45FB1"/>
    <w:rsid w:val="00A46A0F"/>
    <w:rsid w:val="00A46CCC"/>
    <w:rsid w:val="00A47996"/>
    <w:rsid w:val="00A51CFE"/>
    <w:rsid w:val="00A5204D"/>
    <w:rsid w:val="00A5580D"/>
    <w:rsid w:val="00A56C06"/>
    <w:rsid w:val="00A56E77"/>
    <w:rsid w:val="00A61605"/>
    <w:rsid w:val="00A655F2"/>
    <w:rsid w:val="00A65EA7"/>
    <w:rsid w:val="00A65F97"/>
    <w:rsid w:val="00A73697"/>
    <w:rsid w:val="00A73B04"/>
    <w:rsid w:val="00A742BD"/>
    <w:rsid w:val="00A76C13"/>
    <w:rsid w:val="00A77B43"/>
    <w:rsid w:val="00A84FD0"/>
    <w:rsid w:val="00A8548B"/>
    <w:rsid w:val="00A869FE"/>
    <w:rsid w:val="00A916C4"/>
    <w:rsid w:val="00A92E79"/>
    <w:rsid w:val="00A950B6"/>
    <w:rsid w:val="00A95D45"/>
    <w:rsid w:val="00AA3EA8"/>
    <w:rsid w:val="00AA55EC"/>
    <w:rsid w:val="00AB41C1"/>
    <w:rsid w:val="00AB48CE"/>
    <w:rsid w:val="00AB4CF2"/>
    <w:rsid w:val="00AB6CCA"/>
    <w:rsid w:val="00AC223F"/>
    <w:rsid w:val="00AC33B1"/>
    <w:rsid w:val="00AD08D2"/>
    <w:rsid w:val="00AD12A8"/>
    <w:rsid w:val="00AD2019"/>
    <w:rsid w:val="00AD45E9"/>
    <w:rsid w:val="00AD52B6"/>
    <w:rsid w:val="00AE023F"/>
    <w:rsid w:val="00AE3B20"/>
    <w:rsid w:val="00AF0EC0"/>
    <w:rsid w:val="00AF222A"/>
    <w:rsid w:val="00AF3577"/>
    <w:rsid w:val="00AF35F9"/>
    <w:rsid w:val="00AF49EC"/>
    <w:rsid w:val="00B0424C"/>
    <w:rsid w:val="00B05C7D"/>
    <w:rsid w:val="00B1293D"/>
    <w:rsid w:val="00B15D57"/>
    <w:rsid w:val="00B16347"/>
    <w:rsid w:val="00B17D6E"/>
    <w:rsid w:val="00B220C7"/>
    <w:rsid w:val="00B2435E"/>
    <w:rsid w:val="00B25961"/>
    <w:rsid w:val="00B346C3"/>
    <w:rsid w:val="00B4005C"/>
    <w:rsid w:val="00B4027F"/>
    <w:rsid w:val="00B4227E"/>
    <w:rsid w:val="00B429B3"/>
    <w:rsid w:val="00B4471C"/>
    <w:rsid w:val="00B44D36"/>
    <w:rsid w:val="00B451A6"/>
    <w:rsid w:val="00B56D6E"/>
    <w:rsid w:val="00B63AFC"/>
    <w:rsid w:val="00B64347"/>
    <w:rsid w:val="00B65DC6"/>
    <w:rsid w:val="00B67AC2"/>
    <w:rsid w:val="00B722DE"/>
    <w:rsid w:val="00B72745"/>
    <w:rsid w:val="00B751E3"/>
    <w:rsid w:val="00B75BA6"/>
    <w:rsid w:val="00B76C44"/>
    <w:rsid w:val="00B8184A"/>
    <w:rsid w:val="00B82283"/>
    <w:rsid w:val="00B828D8"/>
    <w:rsid w:val="00B83F87"/>
    <w:rsid w:val="00B85B52"/>
    <w:rsid w:val="00B87CDC"/>
    <w:rsid w:val="00B910C1"/>
    <w:rsid w:val="00B93857"/>
    <w:rsid w:val="00BA2CA4"/>
    <w:rsid w:val="00BA2EFA"/>
    <w:rsid w:val="00BA3BA6"/>
    <w:rsid w:val="00BA3DBC"/>
    <w:rsid w:val="00BA707A"/>
    <w:rsid w:val="00BB08CC"/>
    <w:rsid w:val="00BB1AFB"/>
    <w:rsid w:val="00BB27AE"/>
    <w:rsid w:val="00BB2DA2"/>
    <w:rsid w:val="00BB56DC"/>
    <w:rsid w:val="00BC377C"/>
    <w:rsid w:val="00BC75EF"/>
    <w:rsid w:val="00BE183D"/>
    <w:rsid w:val="00BF20B9"/>
    <w:rsid w:val="00BF24C2"/>
    <w:rsid w:val="00BF2922"/>
    <w:rsid w:val="00BF4A00"/>
    <w:rsid w:val="00BF50A1"/>
    <w:rsid w:val="00BF5D7A"/>
    <w:rsid w:val="00C01C2E"/>
    <w:rsid w:val="00C02D33"/>
    <w:rsid w:val="00C04B53"/>
    <w:rsid w:val="00C1232C"/>
    <w:rsid w:val="00C149A9"/>
    <w:rsid w:val="00C20D6F"/>
    <w:rsid w:val="00C2444E"/>
    <w:rsid w:val="00C27C6B"/>
    <w:rsid w:val="00C30A60"/>
    <w:rsid w:val="00C33D7D"/>
    <w:rsid w:val="00C3594D"/>
    <w:rsid w:val="00C36442"/>
    <w:rsid w:val="00C400CE"/>
    <w:rsid w:val="00C410FD"/>
    <w:rsid w:val="00C457DE"/>
    <w:rsid w:val="00C47DD3"/>
    <w:rsid w:val="00C5316F"/>
    <w:rsid w:val="00C53562"/>
    <w:rsid w:val="00C539FB"/>
    <w:rsid w:val="00C66AA3"/>
    <w:rsid w:val="00C66E57"/>
    <w:rsid w:val="00C70FA8"/>
    <w:rsid w:val="00C724D7"/>
    <w:rsid w:val="00C74150"/>
    <w:rsid w:val="00C75594"/>
    <w:rsid w:val="00C83DE7"/>
    <w:rsid w:val="00C85982"/>
    <w:rsid w:val="00C94A1A"/>
    <w:rsid w:val="00CA0466"/>
    <w:rsid w:val="00CA0A13"/>
    <w:rsid w:val="00CA246D"/>
    <w:rsid w:val="00CA3E9B"/>
    <w:rsid w:val="00CA50D9"/>
    <w:rsid w:val="00CA754A"/>
    <w:rsid w:val="00CB3054"/>
    <w:rsid w:val="00CB5636"/>
    <w:rsid w:val="00CB5F30"/>
    <w:rsid w:val="00CC089A"/>
    <w:rsid w:val="00CC3EE5"/>
    <w:rsid w:val="00CC4A8B"/>
    <w:rsid w:val="00CC6E47"/>
    <w:rsid w:val="00CC7DD1"/>
    <w:rsid w:val="00CD1346"/>
    <w:rsid w:val="00CD2A11"/>
    <w:rsid w:val="00CD5468"/>
    <w:rsid w:val="00CE0269"/>
    <w:rsid w:val="00CE425C"/>
    <w:rsid w:val="00CE58AC"/>
    <w:rsid w:val="00CE66FA"/>
    <w:rsid w:val="00CE76E2"/>
    <w:rsid w:val="00CF25BF"/>
    <w:rsid w:val="00CF5A80"/>
    <w:rsid w:val="00D00F82"/>
    <w:rsid w:val="00D011F9"/>
    <w:rsid w:val="00D045EE"/>
    <w:rsid w:val="00D05091"/>
    <w:rsid w:val="00D05481"/>
    <w:rsid w:val="00D05A30"/>
    <w:rsid w:val="00D10CA6"/>
    <w:rsid w:val="00D10F21"/>
    <w:rsid w:val="00D134CF"/>
    <w:rsid w:val="00D154AF"/>
    <w:rsid w:val="00D1573B"/>
    <w:rsid w:val="00D16B31"/>
    <w:rsid w:val="00D24806"/>
    <w:rsid w:val="00D25CC8"/>
    <w:rsid w:val="00D34040"/>
    <w:rsid w:val="00D34E69"/>
    <w:rsid w:val="00D35866"/>
    <w:rsid w:val="00D36C78"/>
    <w:rsid w:val="00D375EE"/>
    <w:rsid w:val="00D40BA1"/>
    <w:rsid w:val="00D501FA"/>
    <w:rsid w:val="00D5051F"/>
    <w:rsid w:val="00D51ABB"/>
    <w:rsid w:val="00D524E2"/>
    <w:rsid w:val="00D55AE8"/>
    <w:rsid w:val="00D56056"/>
    <w:rsid w:val="00D6085F"/>
    <w:rsid w:val="00D62699"/>
    <w:rsid w:val="00D742D0"/>
    <w:rsid w:val="00D778E9"/>
    <w:rsid w:val="00D812BF"/>
    <w:rsid w:val="00D81ED2"/>
    <w:rsid w:val="00D82620"/>
    <w:rsid w:val="00D852B6"/>
    <w:rsid w:val="00D85707"/>
    <w:rsid w:val="00D913F1"/>
    <w:rsid w:val="00D960EB"/>
    <w:rsid w:val="00D9725F"/>
    <w:rsid w:val="00DA01B1"/>
    <w:rsid w:val="00DA11A2"/>
    <w:rsid w:val="00DA14ED"/>
    <w:rsid w:val="00DA26D6"/>
    <w:rsid w:val="00DA45C9"/>
    <w:rsid w:val="00DB2EF1"/>
    <w:rsid w:val="00DB3DE1"/>
    <w:rsid w:val="00DB5DA0"/>
    <w:rsid w:val="00DB716C"/>
    <w:rsid w:val="00DC5C85"/>
    <w:rsid w:val="00DC7C5D"/>
    <w:rsid w:val="00DD4236"/>
    <w:rsid w:val="00DD44F1"/>
    <w:rsid w:val="00DD6957"/>
    <w:rsid w:val="00DD6E7A"/>
    <w:rsid w:val="00DE3067"/>
    <w:rsid w:val="00DE4A12"/>
    <w:rsid w:val="00DF3EEE"/>
    <w:rsid w:val="00DF72CA"/>
    <w:rsid w:val="00DF75E1"/>
    <w:rsid w:val="00E027BC"/>
    <w:rsid w:val="00E045BE"/>
    <w:rsid w:val="00E07CA3"/>
    <w:rsid w:val="00E10F0D"/>
    <w:rsid w:val="00E13FF9"/>
    <w:rsid w:val="00E14EA5"/>
    <w:rsid w:val="00E2070E"/>
    <w:rsid w:val="00E21133"/>
    <w:rsid w:val="00E2327E"/>
    <w:rsid w:val="00E23577"/>
    <w:rsid w:val="00E235DA"/>
    <w:rsid w:val="00E23D81"/>
    <w:rsid w:val="00E266EF"/>
    <w:rsid w:val="00E27016"/>
    <w:rsid w:val="00E3112D"/>
    <w:rsid w:val="00E326A8"/>
    <w:rsid w:val="00E3748C"/>
    <w:rsid w:val="00E4326F"/>
    <w:rsid w:val="00E442B6"/>
    <w:rsid w:val="00E47428"/>
    <w:rsid w:val="00E54849"/>
    <w:rsid w:val="00E55279"/>
    <w:rsid w:val="00E56C8E"/>
    <w:rsid w:val="00E56F81"/>
    <w:rsid w:val="00E5716B"/>
    <w:rsid w:val="00E57F1F"/>
    <w:rsid w:val="00E66B9F"/>
    <w:rsid w:val="00E70A6A"/>
    <w:rsid w:val="00E710D6"/>
    <w:rsid w:val="00E73DA4"/>
    <w:rsid w:val="00E76270"/>
    <w:rsid w:val="00E76E45"/>
    <w:rsid w:val="00E777C9"/>
    <w:rsid w:val="00E81DA6"/>
    <w:rsid w:val="00E82A73"/>
    <w:rsid w:val="00E8308F"/>
    <w:rsid w:val="00E84212"/>
    <w:rsid w:val="00E9086C"/>
    <w:rsid w:val="00E90AAA"/>
    <w:rsid w:val="00E91A0F"/>
    <w:rsid w:val="00E94A71"/>
    <w:rsid w:val="00E94CBF"/>
    <w:rsid w:val="00EA03CE"/>
    <w:rsid w:val="00EA0B72"/>
    <w:rsid w:val="00EA227D"/>
    <w:rsid w:val="00EA23E5"/>
    <w:rsid w:val="00EA4E2E"/>
    <w:rsid w:val="00EA7F05"/>
    <w:rsid w:val="00EB2417"/>
    <w:rsid w:val="00EB2CCB"/>
    <w:rsid w:val="00EB7A25"/>
    <w:rsid w:val="00EB7B65"/>
    <w:rsid w:val="00EC0F3E"/>
    <w:rsid w:val="00EC3DA6"/>
    <w:rsid w:val="00EC57A7"/>
    <w:rsid w:val="00ED0817"/>
    <w:rsid w:val="00ED67AC"/>
    <w:rsid w:val="00ED7DD9"/>
    <w:rsid w:val="00EE445B"/>
    <w:rsid w:val="00EE5649"/>
    <w:rsid w:val="00EF21E3"/>
    <w:rsid w:val="00EF3113"/>
    <w:rsid w:val="00EF3F84"/>
    <w:rsid w:val="00F007E1"/>
    <w:rsid w:val="00F100CE"/>
    <w:rsid w:val="00F110DF"/>
    <w:rsid w:val="00F13643"/>
    <w:rsid w:val="00F176AC"/>
    <w:rsid w:val="00F26F28"/>
    <w:rsid w:val="00F27714"/>
    <w:rsid w:val="00F3276E"/>
    <w:rsid w:val="00F33AC4"/>
    <w:rsid w:val="00F33D3C"/>
    <w:rsid w:val="00F37A91"/>
    <w:rsid w:val="00F408A0"/>
    <w:rsid w:val="00F45CF5"/>
    <w:rsid w:val="00F464AC"/>
    <w:rsid w:val="00F47DB0"/>
    <w:rsid w:val="00F50C3F"/>
    <w:rsid w:val="00F50E34"/>
    <w:rsid w:val="00F51AFB"/>
    <w:rsid w:val="00F53EF7"/>
    <w:rsid w:val="00F54BF2"/>
    <w:rsid w:val="00F64C72"/>
    <w:rsid w:val="00F6691D"/>
    <w:rsid w:val="00F67AAA"/>
    <w:rsid w:val="00F71BE0"/>
    <w:rsid w:val="00F73C82"/>
    <w:rsid w:val="00F75973"/>
    <w:rsid w:val="00F75AFC"/>
    <w:rsid w:val="00F7672E"/>
    <w:rsid w:val="00F7725A"/>
    <w:rsid w:val="00F775AC"/>
    <w:rsid w:val="00F8244E"/>
    <w:rsid w:val="00F84DAA"/>
    <w:rsid w:val="00F8792F"/>
    <w:rsid w:val="00F9214D"/>
    <w:rsid w:val="00F92181"/>
    <w:rsid w:val="00F92355"/>
    <w:rsid w:val="00F92997"/>
    <w:rsid w:val="00F93963"/>
    <w:rsid w:val="00F94291"/>
    <w:rsid w:val="00F94B07"/>
    <w:rsid w:val="00FA298A"/>
    <w:rsid w:val="00FA48FE"/>
    <w:rsid w:val="00FA5B66"/>
    <w:rsid w:val="00FB0B9C"/>
    <w:rsid w:val="00FB30EB"/>
    <w:rsid w:val="00FB7982"/>
    <w:rsid w:val="00FC0734"/>
    <w:rsid w:val="00FC0FC5"/>
    <w:rsid w:val="00FC28DA"/>
    <w:rsid w:val="00FC410F"/>
    <w:rsid w:val="00FC588F"/>
    <w:rsid w:val="00FC6879"/>
    <w:rsid w:val="00FC72BA"/>
    <w:rsid w:val="00FD43C2"/>
    <w:rsid w:val="00FD57CC"/>
    <w:rsid w:val="00FD594D"/>
    <w:rsid w:val="00FE1B30"/>
    <w:rsid w:val="00FE51B9"/>
    <w:rsid w:val="00FE7B44"/>
    <w:rsid w:val="00FF1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40099E"/>
  <w15:docId w15:val="{396717BB-2BB2-4DCC-9CB6-5D8512F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AF0EC0"/>
    <w:rPr>
      <w:sz w:val="24"/>
      <w:lang w:eastAsia="en-US"/>
    </w:rPr>
  </w:style>
  <w:style w:type="character" w:customStyle="1" w:styleId="jade-incoming-citation">
    <w:name w:val="jade-incoming-citation"/>
    <w:basedOn w:val="DefaultParagraphFont"/>
    <w:rsid w:val="008650C1"/>
  </w:style>
  <w:style w:type="character" w:customStyle="1" w:styleId="Heading1Char">
    <w:name w:val="Heading 1 Char"/>
    <w:basedOn w:val="DefaultParagraphFont"/>
    <w:link w:val="Heading1"/>
    <w:rsid w:val="002F0252"/>
    <w:rPr>
      <w:b/>
      <w:caps/>
      <w:kern w:val="28"/>
      <w:sz w:val="24"/>
      <w:lang w:eastAsia="en-US"/>
    </w:rPr>
  </w:style>
  <w:style w:type="character" w:customStyle="1" w:styleId="Heading2Char">
    <w:name w:val="Heading 2 Char"/>
    <w:basedOn w:val="DefaultParagraphFont"/>
    <w:link w:val="Heading2"/>
    <w:rsid w:val="002F0252"/>
    <w:rPr>
      <w:b/>
      <w:sz w:val="24"/>
      <w:szCs w:val="24"/>
      <w:lang w:eastAsia="en-US"/>
    </w:rPr>
  </w:style>
  <w:style w:type="character" w:customStyle="1" w:styleId="CommentTextChar">
    <w:name w:val="Comment Text Char"/>
    <w:basedOn w:val="DefaultParagraphFont"/>
    <w:link w:val="CommentText"/>
    <w:semiHidden/>
    <w:rsid w:val="00D5051F"/>
    <w:rPr>
      <w:lang w:eastAsia="en-US"/>
    </w:rPr>
  </w:style>
  <w:style w:type="paragraph" w:customStyle="1" w:styleId="base-text-paragraph">
    <w:name w:val="base-text-paragraph"/>
    <w:basedOn w:val="Normal"/>
    <w:link w:val="base-text-paragraphChar"/>
    <w:qFormat/>
    <w:rsid w:val="003105F8"/>
    <w:pPr>
      <w:numPr>
        <w:ilvl w:val="1"/>
        <w:numId w:val="39"/>
      </w:numPr>
      <w:spacing w:before="120" w:after="120" w:line="240" w:lineRule="auto"/>
      <w:jc w:val="left"/>
    </w:pPr>
    <w:rPr>
      <w:rFonts w:eastAsia="Times New Roman"/>
      <w:sz w:val="22"/>
      <w:lang w:eastAsia="en-AU"/>
    </w:rPr>
  </w:style>
  <w:style w:type="character" w:customStyle="1" w:styleId="base-text-paragraphChar">
    <w:name w:val="base-text-paragraph Char"/>
    <w:basedOn w:val="DefaultParagraphFont"/>
    <w:link w:val="base-text-paragraph"/>
    <w:rsid w:val="003105F8"/>
    <w:rPr>
      <w:rFonts w:eastAsia="Times New Roman"/>
      <w:sz w:val="22"/>
    </w:rPr>
  </w:style>
  <w:style w:type="paragraph" w:customStyle="1" w:styleId="ChapterHeading">
    <w:name w:val="Chapter Heading"/>
    <w:next w:val="Heading2"/>
    <w:rsid w:val="003105F8"/>
    <w:pPr>
      <w:numPr>
        <w:numId w:val="38"/>
      </w:numPr>
      <w:pBdr>
        <w:top w:val="single" w:sz="4" w:space="1" w:color="auto"/>
        <w:bottom w:val="single" w:sz="4" w:space="1" w:color="auto"/>
      </w:pBdr>
      <w:spacing w:before="240" w:after="360" w:line="260" w:lineRule="atLeast"/>
    </w:pPr>
    <w:rPr>
      <w:rFonts w:ascii="Helvetica" w:eastAsia="Times New Roman" w:hAnsi="Helvetica"/>
      <w:b/>
      <w:i/>
      <w:sz w:val="38"/>
    </w:rPr>
  </w:style>
  <w:style w:type="numbering" w:customStyle="1" w:styleId="ChapterList">
    <w:name w:val="ChapterList"/>
    <w:uiPriority w:val="99"/>
    <w:rsid w:val="003105F8"/>
    <w:pPr>
      <w:numPr>
        <w:numId w:val="38"/>
      </w:numPr>
    </w:pPr>
  </w:style>
  <w:style w:type="paragraph" w:customStyle="1" w:styleId="Diagram">
    <w:name w:val="Diagram"/>
    <w:basedOn w:val="Normal"/>
    <w:next w:val="Normal"/>
    <w:rsid w:val="003105F8"/>
    <w:pPr>
      <w:keepNext/>
      <w:numPr>
        <w:ilvl w:val="2"/>
        <w:numId w:val="38"/>
      </w:numPr>
      <w:spacing w:line="240" w:lineRule="auto"/>
      <w:jc w:val="left"/>
    </w:pPr>
    <w:rPr>
      <w:rFonts w:eastAsia="Times New Roman"/>
      <w:b/>
      <w:sz w:val="22"/>
      <w:lang w:eastAsia="en-AU"/>
    </w:rPr>
  </w:style>
  <w:style w:type="paragraph" w:customStyle="1" w:styleId="ExampleHeading">
    <w:name w:val="Example Heading"/>
    <w:basedOn w:val="Normal"/>
    <w:next w:val="Normal"/>
    <w:rsid w:val="003105F8"/>
    <w:pPr>
      <w:keepNext/>
      <w:numPr>
        <w:ilvl w:val="3"/>
        <w:numId w:val="38"/>
      </w:numPr>
      <w:spacing w:before="120" w:after="120" w:line="240" w:lineRule="auto"/>
      <w:jc w:val="left"/>
    </w:pPr>
    <w:rPr>
      <w:rFonts w:eastAsia="Times New Roman"/>
      <w:b/>
      <w:sz w:val="22"/>
      <w:lang w:eastAsia="en-AU"/>
    </w:rPr>
  </w:style>
  <w:style w:type="paragraph" w:customStyle="1" w:styleId="TableHeadingoutsidetable">
    <w:name w:val="Table Heading (outside table)"/>
    <w:basedOn w:val="Heading4"/>
    <w:rsid w:val="003105F8"/>
    <w:pPr>
      <w:numPr>
        <w:ilvl w:val="4"/>
        <w:numId w:val="38"/>
      </w:numPr>
      <w:tabs>
        <w:tab w:val="num" w:pos="360"/>
      </w:tabs>
      <w:spacing w:before="120" w:after="200"/>
      <w:ind w:left="0"/>
    </w:pPr>
    <w:rPr>
      <w:rFonts w:eastAsia="Times New Roman"/>
      <w:i w:val="0"/>
      <w:iCs/>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2195">
      <w:bodyDiv w:val="1"/>
      <w:marLeft w:val="0"/>
      <w:marRight w:val="0"/>
      <w:marTop w:val="0"/>
      <w:marBottom w:val="0"/>
      <w:divBdr>
        <w:top w:val="none" w:sz="0" w:space="0" w:color="auto"/>
        <w:left w:val="none" w:sz="0" w:space="0" w:color="auto"/>
        <w:bottom w:val="none" w:sz="0" w:space="0" w:color="auto"/>
        <w:right w:val="none" w:sz="0" w:space="0" w:color="auto"/>
      </w:divBdr>
    </w:div>
    <w:div w:id="490563551">
      <w:bodyDiv w:val="1"/>
      <w:marLeft w:val="0"/>
      <w:marRight w:val="0"/>
      <w:marTop w:val="0"/>
      <w:marBottom w:val="0"/>
      <w:divBdr>
        <w:top w:val="none" w:sz="0" w:space="0" w:color="auto"/>
        <w:left w:val="none" w:sz="0" w:space="0" w:color="auto"/>
        <w:bottom w:val="none" w:sz="0" w:space="0" w:color="auto"/>
        <w:right w:val="none" w:sz="0" w:space="0" w:color="auto"/>
      </w:divBdr>
    </w:div>
    <w:div w:id="1014648603">
      <w:bodyDiv w:val="1"/>
      <w:marLeft w:val="0"/>
      <w:marRight w:val="0"/>
      <w:marTop w:val="0"/>
      <w:marBottom w:val="0"/>
      <w:divBdr>
        <w:top w:val="none" w:sz="0" w:space="0" w:color="auto"/>
        <w:left w:val="none" w:sz="0" w:space="0" w:color="auto"/>
        <w:bottom w:val="none" w:sz="0" w:space="0" w:color="auto"/>
        <w:right w:val="none" w:sz="0" w:space="0" w:color="auto"/>
      </w:divBdr>
    </w:div>
    <w:div w:id="1021861798">
      <w:bodyDiv w:val="1"/>
      <w:marLeft w:val="0"/>
      <w:marRight w:val="0"/>
      <w:marTop w:val="0"/>
      <w:marBottom w:val="0"/>
      <w:divBdr>
        <w:top w:val="none" w:sz="0" w:space="0" w:color="auto"/>
        <w:left w:val="none" w:sz="0" w:space="0" w:color="auto"/>
        <w:bottom w:val="none" w:sz="0" w:space="0" w:color="auto"/>
        <w:right w:val="none" w:sz="0" w:space="0" w:color="auto"/>
      </w:divBdr>
      <w:divsChild>
        <w:div w:id="1614897029">
          <w:marLeft w:val="120"/>
          <w:marRight w:val="0"/>
          <w:marTop w:val="120"/>
          <w:marBottom w:val="240"/>
          <w:divBdr>
            <w:top w:val="none" w:sz="0" w:space="0" w:color="auto"/>
            <w:left w:val="none" w:sz="0" w:space="0" w:color="auto"/>
            <w:bottom w:val="none" w:sz="0" w:space="0" w:color="auto"/>
            <w:right w:val="none" w:sz="0" w:space="0" w:color="auto"/>
          </w:divBdr>
          <w:divsChild>
            <w:div w:id="1186556531">
              <w:marLeft w:val="240"/>
              <w:marRight w:val="96"/>
              <w:marTop w:val="240"/>
              <w:marBottom w:val="720"/>
              <w:divBdr>
                <w:top w:val="none" w:sz="0" w:space="0" w:color="auto"/>
                <w:left w:val="none" w:sz="0" w:space="0" w:color="auto"/>
                <w:bottom w:val="none" w:sz="0" w:space="0" w:color="auto"/>
                <w:right w:val="none" w:sz="0" w:space="0" w:color="auto"/>
              </w:divBdr>
              <w:divsChild>
                <w:div w:id="1500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3066">
      <w:bodyDiv w:val="1"/>
      <w:marLeft w:val="0"/>
      <w:marRight w:val="0"/>
      <w:marTop w:val="0"/>
      <w:marBottom w:val="0"/>
      <w:divBdr>
        <w:top w:val="none" w:sz="0" w:space="0" w:color="auto"/>
        <w:left w:val="none" w:sz="0" w:space="0" w:color="auto"/>
        <w:bottom w:val="none" w:sz="0" w:space="0" w:color="auto"/>
        <w:right w:val="none" w:sz="0" w:space="0" w:color="auto"/>
      </w:divBdr>
    </w:div>
    <w:div w:id="1717851196">
      <w:bodyDiv w:val="1"/>
      <w:marLeft w:val="0"/>
      <w:marRight w:val="0"/>
      <w:marTop w:val="0"/>
      <w:marBottom w:val="0"/>
      <w:divBdr>
        <w:top w:val="none" w:sz="0" w:space="0" w:color="auto"/>
        <w:left w:val="none" w:sz="0" w:space="0" w:color="auto"/>
        <w:bottom w:val="none" w:sz="0" w:space="0" w:color="auto"/>
        <w:right w:val="none" w:sz="0" w:space="0" w:color="auto"/>
      </w:divBdr>
    </w:div>
    <w:div w:id="1728600830">
      <w:bodyDiv w:val="1"/>
      <w:marLeft w:val="0"/>
      <w:marRight w:val="0"/>
      <w:marTop w:val="0"/>
      <w:marBottom w:val="0"/>
      <w:divBdr>
        <w:top w:val="none" w:sz="0" w:space="0" w:color="auto"/>
        <w:left w:val="none" w:sz="0" w:space="0" w:color="auto"/>
        <w:bottom w:val="none" w:sz="0" w:space="0" w:color="auto"/>
        <w:right w:val="none" w:sz="0" w:space="0" w:color="auto"/>
      </w:divBdr>
    </w:div>
    <w:div w:id="1873033790">
      <w:bodyDiv w:val="1"/>
      <w:marLeft w:val="0"/>
      <w:marRight w:val="0"/>
      <w:marTop w:val="0"/>
      <w:marBottom w:val="0"/>
      <w:divBdr>
        <w:top w:val="none" w:sz="0" w:space="0" w:color="auto"/>
        <w:left w:val="none" w:sz="0" w:space="0" w:color="auto"/>
        <w:bottom w:val="none" w:sz="0" w:space="0" w:color="auto"/>
        <w:right w:val="none" w:sz="0" w:space="0" w:color="auto"/>
      </w:divBdr>
    </w:div>
    <w:div w:id="20482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048945C78424BA52E51CA6689B73A"/>
        <w:category>
          <w:name w:val="General"/>
          <w:gallery w:val="placeholder"/>
        </w:category>
        <w:types>
          <w:type w:val="bbPlcHdr"/>
        </w:types>
        <w:behaviors>
          <w:behavior w:val="content"/>
        </w:behaviors>
        <w:guid w:val="{330CCF46-D9B6-44DA-B699-67063296FEB6}"/>
      </w:docPartPr>
      <w:docPartBody>
        <w:p w:rsidR="00EB174E" w:rsidRDefault="00A44160">
          <w:pPr>
            <w:pStyle w:val="17E048945C78424BA52E51CA6689B73A"/>
          </w:pPr>
          <w:r>
            <w:rPr>
              <w:rStyle w:val="PlaceholderText"/>
            </w:rPr>
            <w:t>MNC Text</w:t>
          </w:r>
        </w:p>
      </w:docPartBody>
    </w:docPart>
    <w:docPart>
      <w:docPartPr>
        <w:name w:val="DC2EC66D8B6A4E03A73D187274C5551E"/>
        <w:category>
          <w:name w:val="General"/>
          <w:gallery w:val="placeholder"/>
        </w:category>
        <w:types>
          <w:type w:val="bbPlcHdr"/>
        </w:types>
        <w:behaviors>
          <w:behavior w:val="content"/>
        </w:behaviors>
        <w:guid w:val="{A2FE4BE9-66F0-4E39-A5EB-84A1B3BEC8FB}"/>
      </w:docPartPr>
      <w:docPartBody>
        <w:p w:rsidR="00EB174E" w:rsidRDefault="00A44160">
          <w:pPr>
            <w:pStyle w:val="DC2EC66D8B6A4E03A73D187274C5551E"/>
          </w:pPr>
          <w:r w:rsidRPr="005C44BE">
            <w:rPr>
              <w:rStyle w:val="PlaceholderText"/>
            </w:rPr>
            <w:t>Click or tap here to enter text.</w:t>
          </w:r>
        </w:p>
      </w:docPartBody>
    </w:docPart>
    <w:docPart>
      <w:docPartPr>
        <w:name w:val="331DDBF5339B4091A196609628E27AA1"/>
        <w:category>
          <w:name w:val="General"/>
          <w:gallery w:val="placeholder"/>
        </w:category>
        <w:types>
          <w:type w:val="bbPlcHdr"/>
        </w:types>
        <w:behaviors>
          <w:behavior w:val="content"/>
        </w:behaviors>
        <w:guid w:val="{432C71E1-F4E6-4E0F-B2AC-5C1F62D57B52}"/>
      </w:docPartPr>
      <w:docPartBody>
        <w:p w:rsidR="00EB174E" w:rsidRDefault="00A44160">
          <w:pPr>
            <w:pStyle w:val="331DDBF5339B4091A196609628E27AA1"/>
          </w:pPr>
          <w:r w:rsidRPr="005C44BE">
            <w:rPr>
              <w:rStyle w:val="PlaceholderText"/>
            </w:rPr>
            <w:t>Click or tap here to enter text.</w:t>
          </w:r>
        </w:p>
      </w:docPartBody>
    </w:docPart>
    <w:docPart>
      <w:docPartPr>
        <w:name w:val="82910F80DE1746E69A789D1E9141F945"/>
        <w:category>
          <w:name w:val="General"/>
          <w:gallery w:val="placeholder"/>
        </w:category>
        <w:types>
          <w:type w:val="bbPlcHdr"/>
        </w:types>
        <w:behaviors>
          <w:behavior w:val="content"/>
        </w:behaviors>
        <w:guid w:val="{45F6FF27-A6DB-426F-94D6-BEA01D49186C}"/>
      </w:docPartPr>
      <w:docPartBody>
        <w:p w:rsidR="00EB174E" w:rsidRDefault="00A44160">
          <w:pPr>
            <w:pStyle w:val="82910F80DE1746E69A789D1E9141F945"/>
          </w:pPr>
          <w:r w:rsidRPr="005C44BE">
            <w:rPr>
              <w:rStyle w:val="PlaceholderText"/>
            </w:rPr>
            <w:t>Click or tap here to enter text.</w:t>
          </w:r>
        </w:p>
      </w:docPartBody>
    </w:docPart>
    <w:docPart>
      <w:docPartPr>
        <w:name w:val="988DC8C8F2EB48D696A227CB9DE1ECA9"/>
        <w:category>
          <w:name w:val="General"/>
          <w:gallery w:val="placeholder"/>
        </w:category>
        <w:types>
          <w:type w:val="bbPlcHdr"/>
        </w:types>
        <w:behaviors>
          <w:behavior w:val="content"/>
        </w:behaviors>
        <w:guid w:val="{9FC6D7A5-AA54-48E3-8BDB-54FF1D43A1EC}"/>
      </w:docPartPr>
      <w:docPartBody>
        <w:p w:rsidR="00EB174E" w:rsidRDefault="00A44160">
          <w:pPr>
            <w:pStyle w:val="988DC8C8F2EB48D696A227CB9DE1ECA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60"/>
    <w:rsid w:val="00084E91"/>
    <w:rsid w:val="001400FC"/>
    <w:rsid w:val="0030230B"/>
    <w:rsid w:val="0031000B"/>
    <w:rsid w:val="003B17C7"/>
    <w:rsid w:val="003D06B8"/>
    <w:rsid w:val="003D58A3"/>
    <w:rsid w:val="004A42BD"/>
    <w:rsid w:val="0050560F"/>
    <w:rsid w:val="00525756"/>
    <w:rsid w:val="005E6D3F"/>
    <w:rsid w:val="005F5256"/>
    <w:rsid w:val="00704843"/>
    <w:rsid w:val="00772F13"/>
    <w:rsid w:val="007A127C"/>
    <w:rsid w:val="00822683"/>
    <w:rsid w:val="00896AFD"/>
    <w:rsid w:val="00906956"/>
    <w:rsid w:val="00A44160"/>
    <w:rsid w:val="00AB44B0"/>
    <w:rsid w:val="00B45141"/>
    <w:rsid w:val="00C72B72"/>
    <w:rsid w:val="00C84FB5"/>
    <w:rsid w:val="00CB6ECD"/>
    <w:rsid w:val="00E3553E"/>
    <w:rsid w:val="00EB174E"/>
    <w:rsid w:val="00EF6511"/>
    <w:rsid w:val="00F00632"/>
    <w:rsid w:val="00FF7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E048945C78424BA52E51CA6689B73A">
    <w:name w:val="17E048945C78424BA52E51CA6689B73A"/>
  </w:style>
  <w:style w:type="paragraph" w:customStyle="1" w:styleId="DC2EC66D8B6A4E03A73D187274C5551E">
    <w:name w:val="DC2EC66D8B6A4E03A73D187274C5551E"/>
  </w:style>
  <w:style w:type="paragraph" w:customStyle="1" w:styleId="331DDBF5339B4091A196609628E27AA1">
    <w:name w:val="331DDBF5339B4091A196609628E27AA1"/>
  </w:style>
  <w:style w:type="paragraph" w:customStyle="1" w:styleId="82910F80DE1746E69A789D1E9141F945">
    <w:name w:val="82910F80DE1746E69A789D1E9141F945"/>
  </w:style>
  <w:style w:type="paragraph" w:customStyle="1" w:styleId="988DC8C8F2EB48D696A227CB9DE1ECA9">
    <w:name w:val="988DC8C8F2EB48D696A227CB9DE1E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Bioaction Pty Ltd v Ogborne, in the matter of Bioaction Pty Ltd [2022] FCA 436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40ECFF2-7B52-403F-9F1E-809E3B67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30</Pages>
  <Words>11552</Words>
  <Characters>57403</Characters>
  <Application>Microsoft Office Word</Application>
  <DocSecurity>0</DocSecurity>
  <Lines>1594</Lines>
  <Paragraphs>650</Paragraphs>
  <ScaleCrop>false</ScaleCrop>
  <HeadingPairs>
    <vt:vector size="2" baseType="variant">
      <vt:variant>
        <vt:lpstr>Title</vt:lpstr>
      </vt:variant>
      <vt:variant>
        <vt:i4>1</vt:i4>
      </vt:variant>
    </vt:vector>
  </HeadingPairs>
  <TitlesOfParts>
    <vt:vector size="1" baseType="lpstr">
      <vt:lpstr>Bioaction Pty Ltd v Ogborne, in the matter of Bioaction Pty Ltd [2022] FCA 436 </vt:lpstr>
    </vt:vector>
  </TitlesOfParts>
  <Company>Federal Court of Australia</Company>
  <LinksUpToDate>false</LinksUpToDate>
  <CharactersWithSpaces>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Bioaction Pty Ltd v Ogborne, in the matter of Bioaction Pty Ltd [2022] FCA 436</dc:title>
  <dc:creator>Federal Court of Australia</dc:creator>
  <dc:description>v1.3</dc:description>
  <cp:lastModifiedBy>Federal Court of Australia</cp:lastModifiedBy>
  <cp:revision>4</cp:revision>
  <cp:lastPrinted>2022-04-25T22:55:00Z</cp:lastPrinted>
  <dcterms:created xsi:type="dcterms:W3CDTF">2022-04-26T04:54:00Z</dcterms:created>
  <dcterms:modified xsi:type="dcterms:W3CDTF">2022-04-26T05:16:00Z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