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1ACC" w14:textId="5DECC42D" w:rsidR="00395B24" w:rsidRDefault="007C3488" w:rsidP="00A22932">
      <w:pPr>
        <w:pStyle w:val="CourtTitle"/>
      </w:pPr>
      <w:r>
        <w:rPr>
          <w:caps w:val="0"/>
        </w:rPr>
        <w:t>FEDERAL COURT OF AUSTRALIA</w:t>
      </w:r>
    </w:p>
    <w:p w14:paraId="2779C45D" w14:textId="77777777" w:rsidR="004D7950" w:rsidRDefault="004D7950">
      <w:pPr>
        <w:pStyle w:val="NormalHeadings"/>
        <w:jc w:val="center"/>
        <w:rPr>
          <w:sz w:val="32"/>
        </w:rPr>
      </w:pPr>
    </w:p>
    <w:bookmarkStart w:id="0" w:name="MNC"/>
    <w:p w14:paraId="056EE8DF" w14:textId="49997155" w:rsidR="00374CC4" w:rsidRDefault="005E569E" w:rsidP="001A2B40">
      <w:pPr>
        <w:pStyle w:val="MNC"/>
      </w:pPr>
      <w:sdt>
        <w:sdtPr>
          <w:alias w:val="MNC"/>
          <w:tag w:val="MNC"/>
          <w:id w:val="343289786"/>
          <w:lock w:val="sdtLocked"/>
          <w:placeholder>
            <w:docPart w:val="E97FE54C44D94367B3E0C4499B99E433"/>
          </w:placeholder>
          <w:dataBinding w:prefixMappings="xmlns:ns0='http://schemas.globalmacros.com/FCA'" w:xpath="/ns0:root[1]/ns0:Name[1]" w:storeItemID="{687E7CCB-4AA5-44E7-B148-17BA2B6F57C0}"/>
          <w:text w:multiLine="1"/>
        </w:sdtPr>
        <w:sdtEndPr/>
        <w:sdtContent>
          <w:r w:rsidR="002C2972">
            <w:t xml:space="preserve">Australian Competition and Consumer Commission v Mazda Australia Pty Ltd (No 3) [2024] FCA </w:t>
          </w:r>
          <w:r w:rsidR="0000259A">
            <w:t>83</w:t>
          </w:r>
          <w:r w:rsidR="002C2972">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7F244E4D" w14:textId="77777777" w:rsidTr="009E4EB7">
        <w:tc>
          <w:tcPr>
            <w:tcW w:w="3084" w:type="dxa"/>
            <w:shd w:val="clear" w:color="auto" w:fill="auto"/>
          </w:tcPr>
          <w:p w14:paraId="0A7696F5" w14:textId="77777777" w:rsidR="00395B24" w:rsidRDefault="002C7385" w:rsidP="00663878">
            <w:pPr>
              <w:pStyle w:val="Normal1linespace"/>
              <w:widowControl w:val="0"/>
              <w:jc w:val="left"/>
            </w:pPr>
            <w:r>
              <w:t>File number(s):</w:t>
            </w:r>
          </w:p>
        </w:tc>
        <w:tc>
          <w:tcPr>
            <w:tcW w:w="5989" w:type="dxa"/>
            <w:shd w:val="clear" w:color="auto" w:fill="auto"/>
          </w:tcPr>
          <w:p w14:paraId="0289E509" w14:textId="2F3B802D" w:rsidR="00395B24" w:rsidRPr="002B721E" w:rsidRDefault="009D2373" w:rsidP="002B721E">
            <w:pPr>
              <w:pStyle w:val="Normal1linespace"/>
              <w:jc w:val="left"/>
            </w:pPr>
            <w:fldSimple w:instr=" REF  FileNo  \* MERGEFORMAT " w:fldLock="1">
              <w:r w:rsidR="002B721E" w:rsidRPr="002B721E">
                <w:t>VID 1169 of 2019</w:t>
              </w:r>
            </w:fldSimple>
          </w:p>
        </w:tc>
      </w:tr>
      <w:tr w:rsidR="00395B24" w14:paraId="56E05D70" w14:textId="77777777" w:rsidTr="009E4EB7">
        <w:tc>
          <w:tcPr>
            <w:tcW w:w="3084" w:type="dxa"/>
            <w:shd w:val="clear" w:color="auto" w:fill="auto"/>
          </w:tcPr>
          <w:p w14:paraId="2EDCDD7B" w14:textId="77777777" w:rsidR="00395B24" w:rsidRDefault="00395B24" w:rsidP="00663878">
            <w:pPr>
              <w:pStyle w:val="Normal1linespace"/>
              <w:widowControl w:val="0"/>
              <w:jc w:val="left"/>
            </w:pPr>
          </w:p>
        </w:tc>
        <w:tc>
          <w:tcPr>
            <w:tcW w:w="5954" w:type="dxa"/>
            <w:shd w:val="clear" w:color="auto" w:fill="auto"/>
          </w:tcPr>
          <w:p w14:paraId="6A298BAD" w14:textId="77777777" w:rsidR="00395B24" w:rsidRDefault="00395B24" w:rsidP="00663878">
            <w:pPr>
              <w:pStyle w:val="Normal1linespace"/>
              <w:widowControl w:val="0"/>
              <w:jc w:val="left"/>
            </w:pPr>
          </w:p>
        </w:tc>
      </w:tr>
      <w:tr w:rsidR="00395B24" w14:paraId="048F6878" w14:textId="77777777" w:rsidTr="009E4EB7">
        <w:tc>
          <w:tcPr>
            <w:tcW w:w="3084" w:type="dxa"/>
            <w:shd w:val="clear" w:color="auto" w:fill="auto"/>
          </w:tcPr>
          <w:p w14:paraId="786D799C" w14:textId="77777777" w:rsidR="00395B24" w:rsidRDefault="002C7385" w:rsidP="00663878">
            <w:pPr>
              <w:pStyle w:val="Normal1linespace"/>
              <w:widowControl w:val="0"/>
              <w:jc w:val="left"/>
            </w:pPr>
            <w:r>
              <w:t>Judg</w:t>
            </w:r>
            <w:r w:rsidR="005724F6">
              <w:t>ment of</w:t>
            </w:r>
            <w:r>
              <w:t>:</w:t>
            </w:r>
          </w:p>
        </w:tc>
        <w:tc>
          <w:tcPr>
            <w:tcW w:w="5954" w:type="dxa"/>
            <w:shd w:val="clear" w:color="auto" w:fill="auto"/>
          </w:tcPr>
          <w:p w14:paraId="1ADF5367" w14:textId="69F4B4EA" w:rsidR="00395B24" w:rsidRDefault="002C7385" w:rsidP="00663878">
            <w:pPr>
              <w:pStyle w:val="Normal1linespace"/>
              <w:widowControl w:val="0"/>
              <w:jc w:val="left"/>
              <w:rPr>
                <w:b/>
              </w:rPr>
            </w:pPr>
            <w:r w:rsidRPr="002B721E">
              <w:rPr>
                <w:b/>
              </w:rPr>
              <w:fldChar w:fldCharType="begin" w:fldLock="1"/>
            </w:r>
            <w:r w:rsidRPr="002B721E">
              <w:rPr>
                <w:b/>
              </w:rPr>
              <w:instrText xml:space="preserve"> REF  Judge  \* MERGEFORMAT </w:instrText>
            </w:r>
            <w:r w:rsidRPr="002B721E">
              <w:rPr>
                <w:b/>
              </w:rPr>
              <w:fldChar w:fldCharType="separate"/>
            </w:r>
            <w:r w:rsidR="002B721E" w:rsidRPr="002B721E">
              <w:rPr>
                <w:b/>
                <w:caps/>
                <w:szCs w:val="24"/>
              </w:rPr>
              <w:t>O’CALLAGHAN J</w:t>
            </w:r>
            <w:r w:rsidRPr="002B721E">
              <w:rPr>
                <w:b/>
              </w:rPr>
              <w:fldChar w:fldCharType="end"/>
            </w:r>
          </w:p>
        </w:tc>
      </w:tr>
      <w:tr w:rsidR="00395B24" w14:paraId="441367CD" w14:textId="77777777" w:rsidTr="009E4EB7">
        <w:tc>
          <w:tcPr>
            <w:tcW w:w="3084" w:type="dxa"/>
            <w:shd w:val="clear" w:color="auto" w:fill="auto"/>
          </w:tcPr>
          <w:p w14:paraId="0CA7731A" w14:textId="77777777" w:rsidR="00395B24" w:rsidRDefault="00395B24" w:rsidP="00663878">
            <w:pPr>
              <w:pStyle w:val="Normal1linespace"/>
              <w:widowControl w:val="0"/>
              <w:jc w:val="left"/>
            </w:pPr>
          </w:p>
        </w:tc>
        <w:tc>
          <w:tcPr>
            <w:tcW w:w="5954" w:type="dxa"/>
            <w:shd w:val="clear" w:color="auto" w:fill="auto"/>
          </w:tcPr>
          <w:p w14:paraId="0EF76612" w14:textId="77777777" w:rsidR="00395B24" w:rsidRDefault="00395B24" w:rsidP="00663878">
            <w:pPr>
              <w:pStyle w:val="Normal1linespace"/>
              <w:widowControl w:val="0"/>
              <w:jc w:val="left"/>
            </w:pPr>
          </w:p>
        </w:tc>
      </w:tr>
      <w:tr w:rsidR="00395B24" w14:paraId="12E68EA1" w14:textId="77777777" w:rsidTr="009E4EB7">
        <w:tc>
          <w:tcPr>
            <w:tcW w:w="3084" w:type="dxa"/>
            <w:shd w:val="clear" w:color="auto" w:fill="auto"/>
          </w:tcPr>
          <w:p w14:paraId="37820435" w14:textId="77777777" w:rsidR="00395B24" w:rsidRDefault="002C7385" w:rsidP="00663878">
            <w:pPr>
              <w:pStyle w:val="Normal1linespace"/>
              <w:widowControl w:val="0"/>
              <w:jc w:val="left"/>
            </w:pPr>
            <w:r>
              <w:t>Date of judgment:</w:t>
            </w:r>
          </w:p>
        </w:tc>
        <w:tc>
          <w:tcPr>
            <w:tcW w:w="5954" w:type="dxa"/>
            <w:shd w:val="clear" w:color="auto" w:fill="auto"/>
          </w:tcPr>
          <w:p w14:paraId="11E82BD7" w14:textId="12753BDC" w:rsidR="00395B24" w:rsidRPr="00715625" w:rsidRDefault="00FB037C" w:rsidP="00663878">
            <w:pPr>
              <w:pStyle w:val="Normal1linespace"/>
              <w:widowControl w:val="0"/>
              <w:jc w:val="left"/>
            </w:pPr>
            <w:bookmarkStart w:id="1" w:name="JudgmentDate"/>
            <w:r w:rsidRPr="00715625">
              <w:t>14 February 2024</w:t>
            </w:r>
            <w:bookmarkEnd w:id="1"/>
          </w:p>
        </w:tc>
      </w:tr>
      <w:tr w:rsidR="00395B24" w14:paraId="37DA4376" w14:textId="77777777" w:rsidTr="009E4EB7">
        <w:tc>
          <w:tcPr>
            <w:tcW w:w="3084" w:type="dxa"/>
            <w:shd w:val="clear" w:color="auto" w:fill="auto"/>
          </w:tcPr>
          <w:p w14:paraId="31FA80D1" w14:textId="77777777" w:rsidR="00395B24" w:rsidRDefault="00395B24" w:rsidP="00663878">
            <w:pPr>
              <w:pStyle w:val="Normal1linespace"/>
              <w:widowControl w:val="0"/>
              <w:jc w:val="left"/>
            </w:pPr>
          </w:p>
        </w:tc>
        <w:tc>
          <w:tcPr>
            <w:tcW w:w="5954" w:type="dxa"/>
            <w:shd w:val="clear" w:color="auto" w:fill="auto"/>
          </w:tcPr>
          <w:p w14:paraId="722CB2F5" w14:textId="77777777" w:rsidR="00395B24" w:rsidRDefault="00395B24" w:rsidP="00663878">
            <w:pPr>
              <w:pStyle w:val="Normal1linespace"/>
              <w:widowControl w:val="0"/>
              <w:jc w:val="left"/>
            </w:pPr>
          </w:p>
        </w:tc>
      </w:tr>
      <w:tr w:rsidR="00395B24" w14:paraId="6345FCEB" w14:textId="77777777" w:rsidTr="009E4EB7">
        <w:tc>
          <w:tcPr>
            <w:tcW w:w="3084" w:type="dxa"/>
            <w:shd w:val="clear" w:color="auto" w:fill="auto"/>
          </w:tcPr>
          <w:p w14:paraId="4B5AD36B" w14:textId="77777777" w:rsidR="00395B24" w:rsidRDefault="002C7385" w:rsidP="00663878">
            <w:pPr>
              <w:pStyle w:val="Normal1linespace"/>
              <w:widowControl w:val="0"/>
              <w:jc w:val="left"/>
            </w:pPr>
            <w:r>
              <w:t>Catchwords:</w:t>
            </w:r>
          </w:p>
        </w:tc>
        <w:tc>
          <w:tcPr>
            <w:tcW w:w="5954" w:type="dxa"/>
            <w:shd w:val="clear" w:color="auto" w:fill="auto"/>
          </w:tcPr>
          <w:p w14:paraId="766D89A2" w14:textId="5BFA3162" w:rsidR="00395B24" w:rsidRDefault="002B721E" w:rsidP="00663878">
            <w:pPr>
              <w:pStyle w:val="Normal1linespace"/>
              <w:widowControl w:val="0"/>
              <w:jc w:val="left"/>
            </w:pPr>
            <w:bookmarkStart w:id="2" w:name="Catchwords"/>
            <w:r w:rsidRPr="002B721E">
              <w:rPr>
                <w:b/>
                <w:bCs/>
              </w:rPr>
              <w:t>CONSUMER LAW</w:t>
            </w:r>
            <w:r>
              <w:t xml:space="preserve"> –</w:t>
            </w:r>
            <w:r w:rsidR="00B44F3B">
              <w:t xml:space="preserve"> </w:t>
            </w:r>
            <w:r w:rsidR="00D90BC2">
              <w:t>imposition of</w:t>
            </w:r>
            <w:r>
              <w:t xml:space="preserve"> civil penalties</w:t>
            </w:r>
            <w:r w:rsidR="007D0CF1">
              <w:t xml:space="preserve"> </w:t>
            </w:r>
            <w:r w:rsidR="00C87629">
              <w:t xml:space="preserve">following findings and declarations of breach of </w:t>
            </w:r>
            <w:r w:rsidR="001642FE">
              <w:t xml:space="preserve">s 29(1)(m) of </w:t>
            </w:r>
            <w:r w:rsidR="00AB1BF1">
              <w:t xml:space="preserve">Australian Consumer Law by respondent </w:t>
            </w:r>
            <w:r w:rsidR="009A326C">
              <w:t xml:space="preserve">in </w:t>
            </w:r>
            <w:r w:rsidR="000C12B2" w:rsidRPr="000C12B2">
              <w:rPr>
                <w:i/>
                <w:iCs/>
              </w:rPr>
              <w:t>Australian Competition and Consumer Commission v Mazda Australia Pty Ltd</w:t>
            </w:r>
            <w:r w:rsidR="000C12B2" w:rsidRPr="000C12B2">
              <w:t xml:space="preserve"> [2021] FCA 1493</w:t>
            </w:r>
            <w:r w:rsidR="000C12B2">
              <w:t xml:space="preserve">; </w:t>
            </w:r>
            <w:r w:rsidR="000C12B2" w:rsidRPr="000C12B2">
              <w:t xml:space="preserve">(2021) 158 ACSR 31 </w:t>
            </w:r>
            <w:r w:rsidR="000C12B2">
              <w:t>and</w:t>
            </w:r>
            <w:r w:rsidR="000C12B2" w:rsidRPr="000C12B2">
              <w:t xml:space="preserve"> </w:t>
            </w:r>
            <w:r w:rsidR="000C12B2" w:rsidRPr="000C12B2">
              <w:rPr>
                <w:i/>
                <w:iCs/>
              </w:rPr>
              <w:t>Australian Competition and Consumer Commission v Mazda Australia Pty Ltd (No 2)</w:t>
            </w:r>
            <w:r w:rsidR="000C12B2" w:rsidRPr="000C12B2">
              <w:t xml:space="preserve"> [2022] FCA 250 </w:t>
            </w:r>
            <w:r w:rsidR="009A326C">
              <w:t>–</w:t>
            </w:r>
            <w:r w:rsidR="00AB1BF1">
              <w:t xml:space="preserve"> </w:t>
            </w:r>
            <w:r w:rsidR="009A326C">
              <w:t xml:space="preserve">total penalty imposed of $11.5 million </w:t>
            </w:r>
            <w:r w:rsidR="000C12B2">
              <w:t>– additional ancillary relief also granted</w:t>
            </w:r>
            <w:r w:rsidR="002C7385">
              <w:t xml:space="preserve"> </w:t>
            </w:r>
            <w:bookmarkEnd w:id="2"/>
          </w:p>
        </w:tc>
      </w:tr>
      <w:tr w:rsidR="00395B24" w14:paraId="6B8F88CE" w14:textId="77777777" w:rsidTr="009E4EB7">
        <w:tc>
          <w:tcPr>
            <w:tcW w:w="3084" w:type="dxa"/>
            <w:shd w:val="clear" w:color="auto" w:fill="auto"/>
          </w:tcPr>
          <w:p w14:paraId="0F04A0F6" w14:textId="77777777" w:rsidR="00395B24" w:rsidRDefault="00395B24" w:rsidP="00663878">
            <w:pPr>
              <w:pStyle w:val="Normal1linespace"/>
              <w:widowControl w:val="0"/>
              <w:jc w:val="left"/>
            </w:pPr>
          </w:p>
        </w:tc>
        <w:tc>
          <w:tcPr>
            <w:tcW w:w="5954" w:type="dxa"/>
            <w:shd w:val="clear" w:color="auto" w:fill="auto"/>
          </w:tcPr>
          <w:p w14:paraId="3F9FABD3" w14:textId="77777777" w:rsidR="00395B24" w:rsidRDefault="00395B24" w:rsidP="00663878">
            <w:pPr>
              <w:pStyle w:val="Normal1linespace"/>
              <w:widowControl w:val="0"/>
              <w:jc w:val="left"/>
            </w:pPr>
          </w:p>
        </w:tc>
      </w:tr>
      <w:tr w:rsidR="00395B24" w14:paraId="5CC7F922" w14:textId="77777777" w:rsidTr="009E4EB7">
        <w:tc>
          <w:tcPr>
            <w:tcW w:w="3084" w:type="dxa"/>
            <w:shd w:val="clear" w:color="auto" w:fill="auto"/>
          </w:tcPr>
          <w:p w14:paraId="7C8027CA" w14:textId="77777777" w:rsidR="00395B24" w:rsidRDefault="002C7385" w:rsidP="00663878">
            <w:pPr>
              <w:pStyle w:val="Normal1linespace"/>
              <w:widowControl w:val="0"/>
              <w:jc w:val="left"/>
            </w:pPr>
            <w:r>
              <w:t>Legislation:</w:t>
            </w:r>
          </w:p>
        </w:tc>
        <w:tc>
          <w:tcPr>
            <w:tcW w:w="5954" w:type="dxa"/>
            <w:shd w:val="clear" w:color="auto" w:fill="auto"/>
          </w:tcPr>
          <w:p w14:paraId="5B837262" w14:textId="1C00AB2A" w:rsidR="00416014" w:rsidRPr="00416014" w:rsidRDefault="00416014" w:rsidP="00416014">
            <w:pPr>
              <w:pStyle w:val="CasesLegislationAppealFrom"/>
              <w:spacing w:after="60"/>
            </w:pPr>
            <w:bookmarkStart w:id="3" w:name="Legislation"/>
            <w:r w:rsidRPr="0046414B">
              <w:rPr>
                <w:i/>
                <w:iCs/>
              </w:rPr>
              <w:t xml:space="preserve">Competition and Consumer Act 2010 </w:t>
            </w:r>
            <w:r w:rsidRPr="0046414B">
              <w:t>(</w:t>
            </w:r>
            <w:proofErr w:type="spellStart"/>
            <w:r w:rsidRPr="0046414B">
              <w:t>Cth</w:t>
            </w:r>
            <w:proofErr w:type="spellEnd"/>
            <w:r w:rsidRPr="0046414B">
              <w:t>)</w:t>
            </w:r>
            <w:r w:rsidR="00C25353">
              <w:t xml:space="preserve"> Schedule 2 ss</w:t>
            </w:r>
            <w:r w:rsidR="00FE7A97">
              <w:t xml:space="preserve"> </w:t>
            </w:r>
            <w:r w:rsidR="00E36472">
              <w:t xml:space="preserve">18(1), </w:t>
            </w:r>
            <w:r w:rsidR="00FE7A97">
              <w:t xml:space="preserve">29(1)(m), </w:t>
            </w:r>
            <w:r w:rsidR="002F6831" w:rsidRPr="00066F37">
              <w:t>224</w:t>
            </w:r>
            <w:r w:rsidR="002F6831">
              <w:t xml:space="preserve">, </w:t>
            </w:r>
            <w:r w:rsidR="002F6831" w:rsidRPr="00066F37">
              <w:t>224(1)(a)(ii)</w:t>
            </w:r>
            <w:r w:rsidR="002F6831">
              <w:t xml:space="preserve">, </w:t>
            </w:r>
            <w:r w:rsidR="002F6831" w:rsidRPr="00066F37">
              <w:t>224(2)</w:t>
            </w:r>
            <w:r w:rsidR="002F6831">
              <w:t xml:space="preserve">, </w:t>
            </w:r>
            <w:r w:rsidR="008F585C" w:rsidRPr="00066F37">
              <w:t>224(3A)</w:t>
            </w:r>
            <w:r w:rsidR="008F585C">
              <w:t xml:space="preserve">, </w:t>
            </w:r>
            <w:r w:rsidR="008F585C" w:rsidRPr="00066F37">
              <w:t>232(1)(a)</w:t>
            </w:r>
            <w:r w:rsidR="008F585C">
              <w:t xml:space="preserve">, </w:t>
            </w:r>
            <w:r w:rsidR="008F585C" w:rsidRPr="00066F37">
              <w:t>239</w:t>
            </w:r>
            <w:r w:rsidR="00B47BDA">
              <w:t xml:space="preserve">, </w:t>
            </w:r>
            <w:r w:rsidR="00B47BDA" w:rsidRPr="00066F37">
              <w:t>246(1)</w:t>
            </w:r>
            <w:r w:rsidR="00B47BDA">
              <w:t xml:space="preserve">, </w:t>
            </w:r>
            <w:r w:rsidR="00B47BDA" w:rsidRPr="00066F37">
              <w:t>246(2)(c)</w:t>
            </w:r>
            <w:r w:rsidR="00B47BDA">
              <w:t xml:space="preserve">, </w:t>
            </w:r>
            <w:r w:rsidR="00B47BDA" w:rsidRPr="00066F37">
              <w:t>247</w:t>
            </w:r>
            <w:r w:rsidR="005150BF">
              <w:t>, 295</w:t>
            </w:r>
            <w:r w:rsidR="008C4501">
              <w:t>, Part 3-1, Part 3-2, Part 5-</w:t>
            </w:r>
            <w:r w:rsidR="00FC5AB3">
              <w:t>2, Part 5-4</w:t>
            </w:r>
            <w:bookmarkEnd w:id="3"/>
          </w:p>
        </w:tc>
      </w:tr>
      <w:tr w:rsidR="00395B24" w14:paraId="4910144B" w14:textId="77777777" w:rsidTr="009E4EB7">
        <w:tc>
          <w:tcPr>
            <w:tcW w:w="3084" w:type="dxa"/>
            <w:shd w:val="clear" w:color="auto" w:fill="auto"/>
          </w:tcPr>
          <w:p w14:paraId="7EAD7DE4" w14:textId="77777777" w:rsidR="00395B24" w:rsidRDefault="00395B24" w:rsidP="00663878">
            <w:pPr>
              <w:pStyle w:val="Normal1linespace"/>
              <w:widowControl w:val="0"/>
              <w:jc w:val="left"/>
            </w:pPr>
          </w:p>
        </w:tc>
        <w:tc>
          <w:tcPr>
            <w:tcW w:w="5954" w:type="dxa"/>
            <w:shd w:val="clear" w:color="auto" w:fill="auto"/>
          </w:tcPr>
          <w:p w14:paraId="60C38D49" w14:textId="77777777" w:rsidR="00395B24" w:rsidRDefault="00395B24" w:rsidP="00663878">
            <w:pPr>
              <w:pStyle w:val="Normal1linespace"/>
              <w:widowControl w:val="0"/>
              <w:jc w:val="left"/>
            </w:pPr>
          </w:p>
        </w:tc>
      </w:tr>
      <w:tr w:rsidR="00395B24" w14:paraId="444FFA39" w14:textId="77777777" w:rsidTr="009E4EB7">
        <w:tc>
          <w:tcPr>
            <w:tcW w:w="3084" w:type="dxa"/>
            <w:shd w:val="clear" w:color="auto" w:fill="auto"/>
          </w:tcPr>
          <w:p w14:paraId="08E754DF" w14:textId="77777777" w:rsidR="00395B24" w:rsidRDefault="002C7385" w:rsidP="00663878">
            <w:pPr>
              <w:pStyle w:val="Normal1linespace"/>
              <w:widowControl w:val="0"/>
              <w:jc w:val="left"/>
            </w:pPr>
            <w:r>
              <w:t>Cases cited:</w:t>
            </w:r>
          </w:p>
        </w:tc>
        <w:tc>
          <w:tcPr>
            <w:tcW w:w="5954" w:type="dxa"/>
            <w:shd w:val="clear" w:color="auto" w:fill="auto"/>
          </w:tcPr>
          <w:p w14:paraId="084E1E29" w14:textId="3DCE67C0" w:rsidR="00416014" w:rsidRPr="00416014" w:rsidRDefault="00416014" w:rsidP="00416014">
            <w:pPr>
              <w:pStyle w:val="CasesLegislationAppealFrom"/>
              <w:spacing w:after="60"/>
            </w:pPr>
            <w:bookmarkStart w:id="4" w:name="Cases_Cited"/>
            <w:r w:rsidRPr="0046414B">
              <w:rPr>
                <w:i/>
                <w:iCs/>
              </w:rPr>
              <w:t>Australian Competition and Consumer Commission v Mazda Australia Pty Ltd</w:t>
            </w:r>
            <w:r w:rsidRPr="0046414B">
              <w:t xml:space="preserve"> [2023] FCAFC 45</w:t>
            </w:r>
          </w:p>
          <w:p w14:paraId="37E7BBF9" w14:textId="77777777" w:rsidR="00416014" w:rsidRPr="00416014" w:rsidRDefault="00416014" w:rsidP="00416014">
            <w:pPr>
              <w:pStyle w:val="CasesLegislationAppealFrom"/>
              <w:spacing w:after="60"/>
            </w:pPr>
            <w:r w:rsidRPr="0046414B">
              <w:rPr>
                <w:i/>
                <w:iCs/>
              </w:rPr>
              <w:t>Australian Competition and Consumer Commission v ABB Transmission and Distribution Ltd (No 2)</w:t>
            </w:r>
            <w:r w:rsidRPr="0046414B">
              <w:t xml:space="preserve"> [2002] FCA 559; (2002) 190 ALR 169</w:t>
            </w:r>
          </w:p>
          <w:p w14:paraId="50231852" w14:textId="77777777" w:rsidR="00416014" w:rsidRPr="00416014" w:rsidRDefault="00416014" w:rsidP="00416014">
            <w:pPr>
              <w:pStyle w:val="CasesLegislationAppealFrom"/>
              <w:spacing w:after="60"/>
            </w:pPr>
            <w:r w:rsidRPr="0046414B">
              <w:rPr>
                <w:i/>
                <w:iCs/>
              </w:rPr>
              <w:t xml:space="preserve">Australian Competition and Consumer Commission v Acquire Learning &amp; Careers Pty Ltd </w:t>
            </w:r>
            <w:r w:rsidRPr="0046414B">
              <w:t>[2017] FCA 602; [2017] ATPR 42-543</w:t>
            </w:r>
          </w:p>
          <w:p w14:paraId="6D68EBF6" w14:textId="77777777" w:rsidR="00416014" w:rsidRPr="00416014" w:rsidRDefault="00416014" w:rsidP="00416014">
            <w:pPr>
              <w:pStyle w:val="CasesLegislationAppealFrom"/>
              <w:spacing w:after="60"/>
            </w:pPr>
            <w:r w:rsidRPr="0046414B">
              <w:rPr>
                <w:i/>
                <w:iCs/>
              </w:rPr>
              <w:t xml:space="preserve">Australian Competition and Consumer Commission v </w:t>
            </w:r>
            <w:proofErr w:type="spellStart"/>
            <w:r w:rsidRPr="0046414B">
              <w:rPr>
                <w:i/>
                <w:iCs/>
              </w:rPr>
              <w:t>Clinica</w:t>
            </w:r>
            <w:proofErr w:type="spellEnd"/>
            <w:r w:rsidRPr="0046414B">
              <w:rPr>
                <w:i/>
                <w:iCs/>
              </w:rPr>
              <w:t xml:space="preserve"> Internationale Pty Ltd (No 2</w:t>
            </w:r>
            <w:r w:rsidRPr="0046414B">
              <w:t>) [2016] FCA 62</w:t>
            </w:r>
          </w:p>
          <w:p w14:paraId="6D3124F7" w14:textId="77777777" w:rsidR="00416014" w:rsidRPr="00416014" w:rsidRDefault="00416014" w:rsidP="00416014">
            <w:pPr>
              <w:pStyle w:val="CasesLegislationAppealFrom"/>
              <w:spacing w:after="60"/>
            </w:pPr>
            <w:r w:rsidRPr="0046414B">
              <w:rPr>
                <w:i/>
                <w:iCs/>
              </w:rPr>
              <w:t xml:space="preserve">Australian Competition and Consumer Commission v Dell Australia Pty Ltd (No 2) </w:t>
            </w:r>
            <w:r w:rsidRPr="0046414B">
              <w:t>[2023] FCA 983</w:t>
            </w:r>
          </w:p>
          <w:p w14:paraId="11640774" w14:textId="77777777" w:rsidR="00416014" w:rsidRPr="00416014" w:rsidRDefault="00416014" w:rsidP="00C25353">
            <w:pPr>
              <w:pStyle w:val="CasesLegislationAppealFrom"/>
              <w:spacing w:after="60"/>
            </w:pPr>
            <w:r w:rsidRPr="0046414B">
              <w:rPr>
                <w:i/>
                <w:iCs/>
              </w:rPr>
              <w:t>Australian Competition and Consumer Commission v Dodo Services Pty Ltd</w:t>
            </w:r>
            <w:r w:rsidRPr="0046414B">
              <w:t xml:space="preserve"> [2021] FCA 589</w:t>
            </w:r>
          </w:p>
          <w:p w14:paraId="457E9A06" w14:textId="77777777" w:rsidR="00416014" w:rsidRPr="00416014" w:rsidRDefault="00416014" w:rsidP="00C25353">
            <w:pPr>
              <w:pStyle w:val="CasesLegislationAppealFrom"/>
              <w:spacing w:after="60"/>
            </w:pPr>
            <w:r w:rsidRPr="0046414B">
              <w:rPr>
                <w:i/>
                <w:iCs/>
              </w:rPr>
              <w:t xml:space="preserve">Australian Competition and Consumer Commission v Ford Motor Company of Australia Ltd </w:t>
            </w:r>
            <w:r w:rsidRPr="0046414B">
              <w:t>[2018] FCA 703; (2018) 360 ALR 124</w:t>
            </w:r>
          </w:p>
          <w:p w14:paraId="24E7AA74" w14:textId="664C1628" w:rsidR="00416014" w:rsidRPr="00416014" w:rsidRDefault="00416014" w:rsidP="00C25353">
            <w:pPr>
              <w:pStyle w:val="CasesLegislationAppealFrom"/>
              <w:spacing w:after="60"/>
            </w:pPr>
            <w:r w:rsidRPr="0046414B">
              <w:rPr>
                <w:i/>
                <w:iCs/>
              </w:rPr>
              <w:t>Australian Competition and Consumer Commission v GlaxoSmithKline Consumer Healthcare Australia Pty Ltd (No 2)</w:t>
            </w:r>
            <w:r w:rsidRPr="0046414B">
              <w:t xml:space="preserve"> [2020] FCA 724</w:t>
            </w:r>
          </w:p>
          <w:p w14:paraId="62FDA608" w14:textId="77777777" w:rsidR="00A5432C" w:rsidRDefault="00416014" w:rsidP="00416014">
            <w:pPr>
              <w:pStyle w:val="CasesLegislationAppealFrom"/>
              <w:spacing w:after="60"/>
            </w:pPr>
            <w:r w:rsidRPr="0046414B">
              <w:rPr>
                <w:i/>
                <w:iCs/>
              </w:rPr>
              <w:lastRenderedPageBreak/>
              <w:t xml:space="preserve">Australian Competition and Consumer Commission v Mazda Australia Pty Ltd </w:t>
            </w:r>
            <w:r w:rsidRPr="0046414B">
              <w:t>[2021] FCA 1493; (2021) 158 ACSR 31</w:t>
            </w:r>
          </w:p>
          <w:p w14:paraId="6682E88C" w14:textId="6EF9E68A" w:rsidR="00416014" w:rsidRPr="00C25353" w:rsidRDefault="00416014" w:rsidP="00416014">
            <w:pPr>
              <w:pStyle w:val="CasesLegislationAppealFrom"/>
              <w:spacing w:after="60"/>
            </w:pPr>
            <w:r w:rsidRPr="0046414B">
              <w:rPr>
                <w:i/>
                <w:iCs/>
              </w:rPr>
              <w:t xml:space="preserve">Australian Competition and Consumer Commission v Mazda Australia Pty Ltd (No 2) </w:t>
            </w:r>
            <w:r w:rsidRPr="0046414B">
              <w:t>[2022] FCA 250</w:t>
            </w:r>
          </w:p>
          <w:p w14:paraId="47203CD8" w14:textId="77777777" w:rsidR="00416014" w:rsidRPr="00416014" w:rsidRDefault="00416014" w:rsidP="00416014">
            <w:pPr>
              <w:pStyle w:val="CasesLegislationAppealFrom"/>
              <w:spacing w:after="60"/>
            </w:pPr>
            <w:r w:rsidRPr="0046414B">
              <w:rPr>
                <w:i/>
                <w:iCs/>
              </w:rPr>
              <w:t xml:space="preserve">Australian Competition and Consumer Commission v </w:t>
            </w:r>
            <w:proofErr w:type="spellStart"/>
            <w:r w:rsidRPr="0046414B">
              <w:rPr>
                <w:i/>
                <w:iCs/>
              </w:rPr>
              <w:t>Oakmoore</w:t>
            </w:r>
            <w:proofErr w:type="spellEnd"/>
            <w:r w:rsidRPr="0046414B">
              <w:rPr>
                <w:i/>
                <w:iCs/>
              </w:rPr>
              <w:t xml:space="preserve"> Pty Ltd (No 2)</w:t>
            </w:r>
            <w:r w:rsidRPr="0046414B">
              <w:t xml:space="preserve"> [2018] FCA 1170</w:t>
            </w:r>
          </w:p>
          <w:p w14:paraId="3ACAF938" w14:textId="77777777" w:rsidR="00416014" w:rsidRPr="00416014" w:rsidRDefault="00416014" w:rsidP="00C25353">
            <w:pPr>
              <w:pStyle w:val="CasesLegislationAppealFrom"/>
              <w:spacing w:after="60"/>
            </w:pPr>
            <w:r w:rsidRPr="0046414B">
              <w:rPr>
                <w:i/>
                <w:iCs/>
              </w:rPr>
              <w:t xml:space="preserve">Australian Competition and Consumer Commission v Woolworths Limited </w:t>
            </w:r>
            <w:r w:rsidRPr="0046414B">
              <w:t>[2016] FCA 44; [2016] ATPR 42-521</w:t>
            </w:r>
          </w:p>
          <w:p w14:paraId="17C7AF84" w14:textId="77777777" w:rsidR="00416014" w:rsidRPr="00416014" w:rsidRDefault="00416014" w:rsidP="00C25353">
            <w:pPr>
              <w:pStyle w:val="CasesLegislationAppealFrom"/>
              <w:spacing w:after="60"/>
            </w:pPr>
            <w:r w:rsidRPr="0046414B">
              <w:rPr>
                <w:i/>
                <w:iCs/>
              </w:rPr>
              <w:t xml:space="preserve">Australian Competition and Consumer Commission v Z-Tek Computer Pty Ltd </w:t>
            </w:r>
            <w:r w:rsidRPr="0046414B">
              <w:t>(1997) 78 FCR 197</w:t>
            </w:r>
          </w:p>
          <w:p w14:paraId="62A50A15" w14:textId="77777777" w:rsidR="00416014" w:rsidRPr="00416014" w:rsidRDefault="00416014" w:rsidP="00C25353">
            <w:pPr>
              <w:pStyle w:val="CasesLegislationAppealFrom"/>
              <w:spacing w:after="60"/>
            </w:pPr>
            <w:r w:rsidRPr="0046414B">
              <w:rPr>
                <w:i/>
                <w:iCs/>
              </w:rPr>
              <w:t>Australian Securities and Investments Commission v Wooldridge</w:t>
            </w:r>
            <w:r w:rsidRPr="0046414B">
              <w:t xml:space="preserve"> [2019] FCAFC 172</w:t>
            </w:r>
          </w:p>
          <w:p w14:paraId="7080AB22" w14:textId="3B2BF3F1" w:rsidR="00416014" w:rsidRPr="00416014" w:rsidRDefault="00416014" w:rsidP="00C25353">
            <w:pPr>
              <w:pStyle w:val="CasesLegislationAppealFrom"/>
              <w:spacing w:after="60"/>
            </w:pPr>
            <w:r w:rsidRPr="0046414B">
              <w:rPr>
                <w:i/>
                <w:iCs/>
              </w:rPr>
              <w:t>Flight Centre Ltd v Australian Competition and Consumer Commission (No 2)</w:t>
            </w:r>
            <w:r w:rsidRPr="0046414B">
              <w:t xml:space="preserve"> (2018) 260 FCR 68</w:t>
            </w:r>
          </w:p>
          <w:p w14:paraId="13321996" w14:textId="37723D44" w:rsidR="00416014" w:rsidRPr="00416014" w:rsidRDefault="00416014" w:rsidP="00C25353">
            <w:pPr>
              <w:pStyle w:val="CasesLegislationAppealFrom"/>
              <w:spacing w:after="60"/>
            </w:pPr>
            <w:r w:rsidRPr="0046414B">
              <w:rPr>
                <w:i/>
                <w:iCs/>
              </w:rPr>
              <w:t>NW Frozen Foods Pty Ltd v Australian Competition and Consumer Commission</w:t>
            </w:r>
            <w:r w:rsidRPr="0046414B">
              <w:t xml:space="preserve"> (1996) 71 FCR 285</w:t>
            </w:r>
          </w:p>
          <w:p w14:paraId="040C4811" w14:textId="77777777" w:rsidR="00416014" w:rsidRPr="00416014" w:rsidRDefault="00416014" w:rsidP="00C25353">
            <w:pPr>
              <w:pStyle w:val="CasesLegislationAppealFrom"/>
              <w:spacing w:after="60"/>
            </w:pPr>
            <w:r w:rsidRPr="0046414B">
              <w:rPr>
                <w:i/>
                <w:iCs/>
              </w:rPr>
              <w:t>Singtel Optus Pty Ltd v Australian Competition and Consumer Commission</w:t>
            </w:r>
            <w:r w:rsidRPr="0046414B">
              <w:t xml:space="preserve"> [2012] FCAFC 20; (2012) 287 ALR 249</w:t>
            </w:r>
          </w:p>
          <w:p w14:paraId="66356CF8" w14:textId="77777777" w:rsidR="00416014" w:rsidRPr="00416014" w:rsidRDefault="00416014" w:rsidP="00C25353">
            <w:pPr>
              <w:pStyle w:val="CasesLegislationAppealFrom"/>
              <w:spacing w:after="60"/>
            </w:pPr>
            <w:r w:rsidRPr="0046414B">
              <w:rPr>
                <w:i/>
                <w:iCs/>
              </w:rPr>
              <w:t>Trade Practices Commission v CSR Ltd</w:t>
            </w:r>
            <w:r w:rsidRPr="0046414B">
              <w:t xml:space="preserve"> [1990] FCA 762; (1991) 13 ATPR 41-076</w:t>
            </w:r>
          </w:p>
          <w:p w14:paraId="2DAF9766" w14:textId="283CA28B" w:rsidR="00416014" w:rsidRPr="00416014" w:rsidRDefault="00416014" w:rsidP="00416014">
            <w:pPr>
              <w:pStyle w:val="CasesLegislationAppealFrom"/>
              <w:spacing w:after="60"/>
            </w:pPr>
            <w:r w:rsidRPr="0046414B">
              <w:rPr>
                <w:i/>
                <w:iCs/>
              </w:rPr>
              <w:t xml:space="preserve">Volkswagen </w:t>
            </w:r>
            <w:proofErr w:type="spellStart"/>
            <w:r w:rsidRPr="0046414B">
              <w:rPr>
                <w:i/>
                <w:iCs/>
              </w:rPr>
              <w:t>Aktiengesellschaft</w:t>
            </w:r>
            <w:proofErr w:type="spellEnd"/>
            <w:r w:rsidRPr="0046414B">
              <w:rPr>
                <w:i/>
                <w:iCs/>
              </w:rPr>
              <w:t xml:space="preserve"> v Australian Competition and Consumer Commission </w:t>
            </w:r>
            <w:r w:rsidRPr="0046414B">
              <w:t>(2021) 284 FCR 24</w:t>
            </w:r>
            <w:bookmarkEnd w:id="4"/>
          </w:p>
        </w:tc>
      </w:tr>
      <w:tr w:rsidR="002B721E" w14:paraId="6B09989B" w14:textId="77777777" w:rsidTr="009E4EB7">
        <w:tc>
          <w:tcPr>
            <w:tcW w:w="3084" w:type="dxa"/>
            <w:shd w:val="clear" w:color="auto" w:fill="auto"/>
          </w:tcPr>
          <w:p w14:paraId="6CB5FA68" w14:textId="77777777" w:rsidR="002B721E" w:rsidRDefault="002B721E" w:rsidP="002F7154">
            <w:pPr>
              <w:pStyle w:val="Normal1linespace"/>
              <w:widowControl w:val="0"/>
            </w:pPr>
          </w:p>
        </w:tc>
        <w:tc>
          <w:tcPr>
            <w:tcW w:w="5954" w:type="dxa"/>
            <w:shd w:val="clear" w:color="auto" w:fill="auto"/>
          </w:tcPr>
          <w:p w14:paraId="1C5459E6" w14:textId="77777777" w:rsidR="002B721E" w:rsidRDefault="002B721E" w:rsidP="002F7154">
            <w:pPr>
              <w:pStyle w:val="Normal1linespace"/>
              <w:widowControl w:val="0"/>
              <w:jc w:val="left"/>
            </w:pPr>
          </w:p>
        </w:tc>
      </w:tr>
      <w:tr w:rsidR="002B721E" w14:paraId="79C77E00" w14:textId="77777777" w:rsidTr="009E4EB7">
        <w:tc>
          <w:tcPr>
            <w:tcW w:w="3084" w:type="dxa"/>
            <w:shd w:val="clear" w:color="auto" w:fill="auto"/>
          </w:tcPr>
          <w:p w14:paraId="6A305A28" w14:textId="77777777" w:rsidR="002B721E" w:rsidRDefault="002B721E" w:rsidP="00501A12">
            <w:pPr>
              <w:pStyle w:val="Normal1linespace"/>
              <w:widowControl w:val="0"/>
            </w:pPr>
            <w:r>
              <w:t>Division:</w:t>
            </w:r>
          </w:p>
        </w:tc>
        <w:tc>
          <w:tcPr>
            <w:tcW w:w="5954" w:type="dxa"/>
            <w:shd w:val="clear" w:color="auto" w:fill="auto"/>
          </w:tcPr>
          <w:p w14:paraId="5BFFA771" w14:textId="3BF17E30" w:rsidR="002B721E" w:rsidRPr="00F17599" w:rsidRDefault="002B721E" w:rsidP="00501A12">
            <w:pPr>
              <w:pStyle w:val="Normal1linespace"/>
              <w:widowControl w:val="0"/>
              <w:jc w:val="left"/>
            </w:pPr>
            <w:r>
              <w:t>General Division</w:t>
            </w:r>
          </w:p>
        </w:tc>
      </w:tr>
      <w:tr w:rsidR="002B721E" w14:paraId="7BC9CA5E" w14:textId="77777777" w:rsidTr="009E4EB7">
        <w:tc>
          <w:tcPr>
            <w:tcW w:w="3084" w:type="dxa"/>
            <w:shd w:val="clear" w:color="auto" w:fill="auto"/>
          </w:tcPr>
          <w:p w14:paraId="7539D20A" w14:textId="77777777" w:rsidR="002B721E" w:rsidRDefault="002B721E" w:rsidP="00501A12">
            <w:pPr>
              <w:pStyle w:val="Normal1linespace"/>
              <w:widowControl w:val="0"/>
            </w:pPr>
            <w:bookmarkStart w:id="5" w:name="Registry_rows" w:colFirst="0" w:colLast="1"/>
          </w:p>
        </w:tc>
        <w:tc>
          <w:tcPr>
            <w:tcW w:w="5954" w:type="dxa"/>
            <w:shd w:val="clear" w:color="auto" w:fill="auto"/>
          </w:tcPr>
          <w:p w14:paraId="463BB634" w14:textId="77777777" w:rsidR="002B721E" w:rsidRDefault="002B721E" w:rsidP="00501A12">
            <w:pPr>
              <w:pStyle w:val="Normal1linespace"/>
              <w:widowControl w:val="0"/>
              <w:jc w:val="left"/>
            </w:pPr>
          </w:p>
        </w:tc>
      </w:tr>
      <w:tr w:rsidR="002B721E" w14:paraId="75C915EF" w14:textId="77777777" w:rsidTr="009E4EB7">
        <w:tc>
          <w:tcPr>
            <w:tcW w:w="3084" w:type="dxa"/>
            <w:shd w:val="clear" w:color="auto" w:fill="auto"/>
          </w:tcPr>
          <w:p w14:paraId="0765846B" w14:textId="77777777" w:rsidR="002B721E" w:rsidRDefault="002B721E" w:rsidP="00501A12">
            <w:pPr>
              <w:pStyle w:val="Normal1linespace"/>
              <w:widowControl w:val="0"/>
            </w:pPr>
            <w:r>
              <w:t>Registry:</w:t>
            </w:r>
          </w:p>
        </w:tc>
        <w:tc>
          <w:tcPr>
            <w:tcW w:w="5954" w:type="dxa"/>
            <w:shd w:val="clear" w:color="auto" w:fill="auto"/>
          </w:tcPr>
          <w:p w14:paraId="5C95B18B" w14:textId="46C04CAE" w:rsidR="002B721E" w:rsidRPr="00F17599" w:rsidRDefault="002B721E" w:rsidP="00501A12">
            <w:pPr>
              <w:pStyle w:val="Normal1linespace"/>
              <w:widowControl w:val="0"/>
              <w:jc w:val="left"/>
            </w:pPr>
            <w:r>
              <w:t>Victoria</w:t>
            </w:r>
          </w:p>
        </w:tc>
      </w:tr>
      <w:tr w:rsidR="002B721E" w14:paraId="34F5B5EF" w14:textId="77777777" w:rsidTr="009E4EB7">
        <w:tc>
          <w:tcPr>
            <w:tcW w:w="3084" w:type="dxa"/>
            <w:shd w:val="clear" w:color="auto" w:fill="auto"/>
          </w:tcPr>
          <w:p w14:paraId="146163CE" w14:textId="77777777" w:rsidR="002B721E" w:rsidRDefault="002B721E" w:rsidP="00501A12">
            <w:pPr>
              <w:pStyle w:val="Normal1linespace"/>
              <w:widowControl w:val="0"/>
            </w:pPr>
            <w:bookmarkStart w:id="6" w:name="NPARow" w:colFirst="0" w:colLast="1"/>
            <w:bookmarkEnd w:id="5"/>
          </w:p>
        </w:tc>
        <w:tc>
          <w:tcPr>
            <w:tcW w:w="5954" w:type="dxa"/>
            <w:shd w:val="clear" w:color="auto" w:fill="auto"/>
          </w:tcPr>
          <w:p w14:paraId="773E8809" w14:textId="77777777" w:rsidR="002B721E" w:rsidRPr="00F17599" w:rsidRDefault="002B721E" w:rsidP="00501A12">
            <w:pPr>
              <w:pStyle w:val="Normal1linespace"/>
              <w:widowControl w:val="0"/>
              <w:jc w:val="left"/>
              <w:rPr>
                <w:b/>
              </w:rPr>
            </w:pPr>
          </w:p>
        </w:tc>
      </w:tr>
      <w:tr w:rsidR="002B721E" w14:paraId="7339B5A0" w14:textId="77777777" w:rsidTr="009E4EB7">
        <w:tc>
          <w:tcPr>
            <w:tcW w:w="3084" w:type="dxa"/>
            <w:shd w:val="clear" w:color="auto" w:fill="auto"/>
          </w:tcPr>
          <w:p w14:paraId="5151649F" w14:textId="77777777" w:rsidR="002B721E" w:rsidRDefault="002B721E" w:rsidP="00501A12">
            <w:pPr>
              <w:pStyle w:val="Normal1linespace"/>
              <w:widowControl w:val="0"/>
            </w:pPr>
            <w:r>
              <w:t>National Practice Area:</w:t>
            </w:r>
          </w:p>
        </w:tc>
        <w:tc>
          <w:tcPr>
            <w:tcW w:w="5954" w:type="dxa"/>
            <w:shd w:val="clear" w:color="auto" w:fill="auto"/>
          </w:tcPr>
          <w:p w14:paraId="3A8DF696" w14:textId="7B3309F7" w:rsidR="002B721E" w:rsidRPr="00F17599" w:rsidRDefault="002B721E" w:rsidP="00171DBB">
            <w:pPr>
              <w:pStyle w:val="Normal1linespace"/>
              <w:widowControl w:val="0"/>
              <w:jc w:val="left"/>
              <w:rPr>
                <w:b/>
              </w:rPr>
            </w:pPr>
            <w:r>
              <w:t>Commercial and Corporations</w:t>
            </w:r>
          </w:p>
        </w:tc>
      </w:tr>
      <w:tr w:rsidR="002B721E" w14:paraId="32D2A7ED" w14:textId="77777777" w:rsidTr="009E4EB7">
        <w:tc>
          <w:tcPr>
            <w:tcW w:w="3084" w:type="dxa"/>
            <w:shd w:val="clear" w:color="auto" w:fill="auto"/>
          </w:tcPr>
          <w:p w14:paraId="07F9B2DD" w14:textId="77777777" w:rsidR="002B721E" w:rsidRDefault="002B721E" w:rsidP="00501A12">
            <w:pPr>
              <w:pStyle w:val="Normal1linespace"/>
              <w:widowControl w:val="0"/>
            </w:pPr>
            <w:bookmarkStart w:id="7" w:name="SubAreaRow" w:colFirst="0" w:colLast="1"/>
            <w:bookmarkEnd w:id="6"/>
          </w:p>
        </w:tc>
        <w:tc>
          <w:tcPr>
            <w:tcW w:w="5954" w:type="dxa"/>
            <w:shd w:val="clear" w:color="auto" w:fill="auto"/>
          </w:tcPr>
          <w:p w14:paraId="114F85F4" w14:textId="77777777" w:rsidR="002B721E" w:rsidRDefault="002B721E" w:rsidP="00171DBB">
            <w:pPr>
              <w:pStyle w:val="Normal1linespace"/>
              <w:widowControl w:val="0"/>
              <w:jc w:val="left"/>
            </w:pPr>
          </w:p>
        </w:tc>
      </w:tr>
      <w:tr w:rsidR="002B721E" w14:paraId="64563814" w14:textId="77777777" w:rsidTr="009E4EB7">
        <w:tc>
          <w:tcPr>
            <w:tcW w:w="3084" w:type="dxa"/>
            <w:shd w:val="clear" w:color="auto" w:fill="auto"/>
          </w:tcPr>
          <w:p w14:paraId="5680F11C" w14:textId="77777777" w:rsidR="002B721E" w:rsidRDefault="002B721E" w:rsidP="00501A12">
            <w:pPr>
              <w:pStyle w:val="Normal1linespace"/>
              <w:widowControl w:val="0"/>
            </w:pPr>
            <w:r>
              <w:t>Sub-area:</w:t>
            </w:r>
          </w:p>
        </w:tc>
        <w:tc>
          <w:tcPr>
            <w:tcW w:w="5954" w:type="dxa"/>
            <w:shd w:val="clear" w:color="auto" w:fill="auto"/>
          </w:tcPr>
          <w:p w14:paraId="2BAE99FD" w14:textId="07DB3221" w:rsidR="002B721E" w:rsidRPr="00837288" w:rsidRDefault="002B721E" w:rsidP="00435936">
            <w:pPr>
              <w:pStyle w:val="Normal1linespace"/>
              <w:widowControl w:val="0"/>
              <w:jc w:val="left"/>
            </w:pPr>
            <w:r w:rsidRPr="002B721E">
              <w:rPr>
                <w:lang w:val="en-US"/>
              </w:rPr>
              <w:t>Regulator and Consumer</w:t>
            </w:r>
            <w:r>
              <w:t xml:space="preserve"> Protection</w:t>
            </w:r>
          </w:p>
        </w:tc>
      </w:tr>
      <w:bookmarkEnd w:id="7"/>
      <w:tr w:rsidR="002B721E" w14:paraId="424DC672" w14:textId="77777777" w:rsidTr="009E4EB7">
        <w:tc>
          <w:tcPr>
            <w:tcW w:w="3084" w:type="dxa"/>
            <w:shd w:val="clear" w:color="auto" w:fill="auto"/>
          </w:tcPr>
          <w:p w14:paraId="28B1EC2E" w14:textId="77777777" w:rsidR="002B721E" w:rsidRDefault="002B721E" w:rsidP="00501A12">
            <w:pPr>
              <w:pStyle w:val="Normal1linespace"/>
              <w:widowControl w:val="0"/>
            </w:pPr>
          </w:p>
        </w:tc>
        <w:tc>
          <w:tcPr>
            <w:tcW w:w="5954" w:type="dxa"/>
            <w:shd w:val="clear" w:color="auto" w:fill="auto"/>
          </w:tcPr>
          <w:p w14:paraId="4CBE79A6" w14:textId="77777777" w:rsidR="002B721E" w:rsidRDefault="002B721E" w:rsidP="00501A12">
            <w:pPr>
              <w:pStyle w:val="Normal1linespace"/>
              <w:widowControl w:val="0"/>
              <w:jc w:val="left"/>
            </w:pPr>
          </w:p>
        </w:tc>
      </w:tr>
      <w:tr w:rsidR="002B721E" w14:paraId="6BBAFE61" w14:textId="77777777" w:rsidTr="009E4EB7">
        <w:tc>
          <w:tcPr>
            <w:tcW w:w="3084" w:type="dxa"/>
            <w:shd w:val="clear" w:color="auto" w:fill="auto"/>
          </w:tcPr>
          <w:p w14:paraId="3CC2E7E5" w14:textId="77777777" w:rsidR="002B721E" w:rsidRDefault="002B721E" w:rsidP="00501A12">
            <w:pPr>
              <w:pStyle w:val="Normal1linespace"/>
              <w:widowControl w:val="0"/>
            </w:pPr>
            <w:r>
              <w:t>Number of paragraphs:</w:t>
            </w:r>
          </w:p>
        </w:tc>
        <w:tc>
          <w:tcPr>
            <w:tcW w:w="5954" w:type="dxa"/>
            <w:shd w:val="clear" w:color="auto" w:fill="auto"/>
          </w:tcPr>
          <w:p w14:paraId="1C4705EC" w14:textId="1810F1DF" w:rsidR="002B721E" w:rsidRDefault="00B60324" w:rsidP="00501A12">
            <w:pPr>
              <w:pStyle w:val="Normal1linespace"/>
              <w:widowControl w:val="0"/>
              <w:jc w:val="left"/>
            </w:pPr>
            <w:bookmarkStart w:id="8" w:name="PlaceCategoryParagraphs"/>
            <w:r>
              <w:t>113</w:t>
            </w:r>
            <w:bookmarkEnd w:id="8"/>
          </w:p>
        </w:tc>
      </w:tr>
      <w:tr w:rsidR="002B721E" w14:paraId="0467BDE5" w14:textId="77777777" w:rsidTr="009E4EB7">
        <w:tc>
          <w:tcPr>
            <w:tcW w:w="3084" w:type="dxa"/>
            <w:shd w:val="clear" w:color="auto" w:fill="auto"/>
          </w:tcPr>
          <w:p w14:paraId="211B6775" w14:textId="77777777" w:rsidR="002B721E" w:rsidRDefault="002B721E" w:rsidP="002B721E">
            <w:pPr>
              <w:pStyle w:val="Normal1linespace"/>
              <w:widowControl w:val="0"/>
              <w:jc w:val="left"/>
            </w:pPr>
          </w:p>
        </w:tc>
        <w:tc>
          <w:tcPr>
            <w:tcW w:w="5954" w:type="dxa"/>
            <w:shd w:val="clear" w:color="auto" w:fill="auto"/>
          </w:tcPr>
          <w:p w14:paraId="335CA662" w14:textId="77777777" w:rsidR="002B721E" w:rsidRDefault="002B721E" w:rsidP="002B721E">
            <w:pPr>
              <w:pStyle w:val="Normal1linespace"/>
              <w:widowControl w:val="0"/>
              <w:jc w:val="left"/>
            </w:pPr>
          </w:p>
        </w:tc>
      </w:tr>
      <w:tr w:rsidR="002B721E" w14:paraId="3BDD9E98" w14:textId="77777777" w:rsidTr="009E4EB7">
        <w:tc>
          <w:tcPr>
            <w:tcW w:w="3084" w:type="dxa"/>
            <w:shd w:val="clear" w:color="auto" w:fill="auto"/>
          </w:tcPr>
          <w:p w14:paraId="179241C5" w14:textId="77777777" w:rsidR="002B721E" w:rsidRDefault="002B721E" w:rsidP="002B721E">
            <w:pPr>
              <w:pStyle w:val="Normal1linespace"/>
              <w:widowControl w:val="0"/>
              <w:jc w:val="left"/>
            </w:pPr>
            <w:bookmarkStart w:id="9" w:name="CounselDate" w:colFirst="0" w:colLast="2"/>
            <w:r w:rsidRPr="006A24E3">
              <w:t>Date of hearing:</w:t>
            </w:r>
          </w:p>
        </w:tc>
        <w:tc>
          <w:tcPr>
            <w:tcW w:w="5954" w:type="dxa"/>
            <w:shd w:val="clear" w:color="auto" w:fill="auto"/>
          </w:tcPr>
          <w:p w14:paraId="60F1EB52" w14:textId="29184C89" w:rsidR="002B721E" w:rsidRDefault="002B721E" w:rsidP="002B721E">
            <w:pPr>
              <w:pStyle w:val="Normal1linespace"/>
              <w:widowControl w:val="0"/>
              <w:jc w:val="left"/>
            </w:pPr>
            <w:r>
              <w:t>6</w:t>
            </w:r>
            <w:r w:rsidR="00DF103E">
              <w:t xml:space="preserve"> and </w:t>
            </w:r>
            <w:r>
              <w:t>7 December 2023</w:t>
            </w:r>
          </w:p>
        </w:tc>
      </w:tr>
      <w:tr w:rsidR="002B721E" w14:paraId="19B3E5F5" w14:textId="77777777" w:rsidTr="009E4EB7">
        <w:tc>
          <w:tcPr>
            <w:tcW w:w="3084" w:type="dxa"/>
            <w:shd w:val="clear" w:color="auto" w:fill="auto"/>
          </w:tcPr>
          <w:p w14:paraId="401A13DF" w14:textId="77777777" w:rsidR="002B721E" w:rsidRDefault="002B721E" w:rsidP="002B721E">
            <w:pPr>
              <w:pStyle w:val="Normal1linespace"/>
              <w:widowControl w:val="0"/>
              <w:jc w:val="left"/>
            </w:pPr>
          </w:p>
        </w:tc>
        <w:tc>
          <w:tcPr>
            <w:tcW w:w="5954" w:type="dxa"/>
            <w:shd w:val="clear" w:color="auto" w:fill="auto"/>
          </w:tcPr>
          <w:p w14:paraId="43792602" w14:textId="77777777" w:rsidR="002B721E" w:rsidRDefault="002B721E" w:rsidP="002B721E">
            <w:pPr>
              <w:pStyle w:val="Normal1linespace"/>
              <w:widowControl w:val="0"/>
              <w:jc w:val="left"/>
            </w:pPr>
          </w:p>
        </w:tc>
      </w:tr>
      <w:tr w:rsidR="009E4EB7" w14:paraId="5F72C99E" w14:textId="77777777" w:rsidTr="009E4EB7">
        <w:tc>
          <w:tcPr>
            <w:tcW w:w="3081" w:type="dxa"/>
            <w:shd w:val="clear" w:color="auto" w:fill="auto"/>
          </w:tcPr>
          <w:p w14:paraId="65F7BC24" w14:textId="509E6E4B" w:rsidR="009E4EB7" w:rsidRDefault="009E4EB7" w:rsidP="009E4EB7">
            <w:pPr>
              <w:pStyle w:val="Normal1linespace"/>
              <w:widowControl w:val="0"/>
              <w:jc w:val="left"/>
            </w:pPr>
            <w:bookmarkStart w:id="10" w:name="Counsel" w:colFirst="0" w:colLast="2"/>
            <w:bookmarkEnd w:id="9"/>
            <w:r>
              <w:t>Counsel for the Applicant:</w:t>
            </w:r>
          </w:p>
        </w:tc>
        <w:tc>
          <w:tcPr>
            <w:tcW w:w="5946" w:type="dxa"/>
            <w:shd w:val="clear" w:color="auto" w:fill="auto"/>
          </w:tcPr>
          <w:p w14:paraId="6BF98BBD" w14:textId="373F1D2A" w:rsidR="009E4EB7" w:rsidRDefault="009E4EB7" w:rsidP="009E4EB7">
            <w:pPr>
              <w:pStyle w:val="Normal1linespace"/>
              <w:widowControl w:val="0"/>
              <w:jc w:val="left"/>
            </w:pPr>
            <w:bookmarkStart w:id="11" w:name="AppCounsel"/>
            <w:bookmarkEnd w:id="11"/>
            <w:r>
              <w:t>NP De Young KC with NJ Hickey and AF Garsia</w:t>
            </w:r>
          </w:p>
        </w:tc>
      </w:tr>
      <w:tr w:rsidR="009E4EB7" w14:paraId="1871569F" w14:textId="77777777" w:rsidTr="009E4EB7">
        <w:tc>
          <w:tcPr>
            <w:tcW w:w="3081" w:type="dxa"/>
            <w:shd w:val="clear" w:color="auto" w:fill="auto"/>
          </w:tcPr>
          <w:p w14:paraId="27364D83" w14:textId="77777777" w:rsidR="009E4EB7" w:rsidRDefault="009E4EB7" w:rsidP="009E4EB7">
            <w:pPr>
              <w:pStyle w:val="Normal1linespace"/>
              <w:widowControl w:val="0"/>
              <w:jc w:val="left"/>
            </w:pPr>
          </w:p>
        </w:tc>
        <w:tc>
          <w:tcPr>
            <w:tcW w:w="5946" w:type="dxa"/>
            <w:shd w:val="clear" w:color="auto" w:fill="auto"/>
          </w:tcPr>
          <w:p w14:paraId="69485EFF" w14:textId="77777777" w:rsidR="009E4EB7" w:rsidRDefault="009E4EB7" w:rsidP="009E4EB7">
            <w:pPr>
              <w:pStyle w:val="Normal1linespace"/>
              <w:widowControl w:val="0"/>
              <w:jc w:val="left"/>
            </w:pPr>
          </w:p>
        </w:tc>
      </w:tr>
      <w:tr w:rsidR="009E4EB7" w14:paraId="7679FAAE" w14:textId="77777777" w:rsidTr="009E4EB7">
        <w:tc>
          <w:tcPr>
            <w:tcW w:w="3081" w:type="dxa"/>
            <w:shd w:val="clear" w:color="auto" w:fill="auto"/>
          </w:tcPr>
          <w:p w14:paraId="686302F8" w14:textId="4092E650" w:rsidR="009E4EB7" w:rsidRDefault="009E4EB7" w:rsidP="009E4EB7">
            <w:pPr>
              <w:pStyle w:val="Normal1linespace"/>
              <w:widowControl w:val="0"/>
              <w:jc w:val="left"/>
            </w:pPr>
            <w:r>
              <w:t>Solicitor for the Applicant:</w:t>
            </w:r>
          </w:p>
        </w:tc>
        <w:tc>
          <w:tcPr>
            <w:tcW w:w="5946" w:type="dxa"/>
            <w:shd w:val="clear" w:color="auto" w:fill="auto"/>
          </w:tcPr>
          <w:p w14:paraId="3975C7AD" w14:textId="5E9A63B3" w:rsidR="009E4EB7" w:rsidRDefault="009E4EB7" w:rsidP="009E4EB7">
            <w:pPr>
              <w:pStyle w:val="Normal1linespace"/>
              <w:widowControl w:val="0"/>
              <w:jc w:val="left"/>
            </w:pPr>
            <w:r>
              <w:t>Webb Henderson</w:t>
            </w:r>
          </w:p>
        </w:tc>
      </w:tr>
      <w:tr w:rsidR="009E4EB7" w14:paraId="0A02DFDD" w14:textId="77777777" w:rsidTr="009E4EB7">
        <w:tc>
          <w:tcPr>
            <w:tcW w:w="3081" w:type="dxa"/>
            <w:shd w:val="clear" w:color="auto" w:fill="auto"/>
          </w:tcPr>
          <w:p w14:paraId="17A5A8DF" w14:textId="77777777" w:rsidR="009E4EB7" w:rsidRDefault="009E4EB7" w:rsidP="009E4EB7">
            <w:pPr>
              <w:pStyle w:val="Normal1linespace"/>
              <w:widowControl w:val="0"/>
              <w:jc w:val="left"/>
            </w:pPr>
          </w:p>
        </w:tc>
        <w:tc>
          <w:tcPr>
            <w:tcW w:w="5946" w:type="dxa"/>
            <w:shd w:val="clear" w:color="auto" w:fill="auto"/>
          </w:tcPr>
          <w:p w14:paraId="494C2A62" w14:textId="77777777" w:rsidR="009E4EB7" w:rsidRDefault="009E4EB7" w:rsidP="009E4EB7">
            <w:pPr>
              <w:pStyle w:val="Normal1linespace"/>
              <w:widowControl w:val="0"/>
              <w:jc w:val="left"/>
            </w:pPr>
          </w:p>
        </w:tc>
      </w:tr>
      <w:tr w:rsidR="009E4EB7" w14:paraId="34B114F1" w14:textId="77777777" w:rsidTr="009E4EB7">
        <w:tc>
          <w:tcPr>
            <w:tcW w:w="3081" w:type="dxa"/>
            <w:shd w:val="clear" w:color="auto" w:fill="auto"/>
          </w:tcPr>
          <w:p w14:paraId="3CE6A71E" w14:textId="087D1EEC" w:rsidR="009E4EB7" w:rsidRDefault="009E4EB7" w:rsidP="009E4EB7">
            <w:pPr>
              <w:pStyle w:val="Normal1linespace"/>
              <w:widowControl w:val="0"/>
              <w:jc w:val="left"/>
            </w:pPr>
            <w:r>
              <w:t>Counsel for the Respondent:</w:t>
            </w:r>
          </w:p>
        </w:tc>
        <w:tc>
          <w:tcPr>
            <w:tcW w:w="5946" w:type="dxa"/>
            <w:shd w:val="clear" w:color="auto" w:fill="auto"/>
          </w:tcPr>
          <w:p w14:paraId="77A5F4E6" w14:textId="02B50E9F" w:rsidR="009E4EB7" w:rsidRDefault="009E4EB7" w:rsidP="009E4EB7">
            <w:pPr>
              <w:pStyle w:val="Normal1linespace"/>
              <w:widowControl w:val="0"/>
              <w:jc w:val="left"/>
            </w:pPr>
            <w:r>
              <w:t>MR Scott KC with J Lindgren</w:t>
            </w:r>
          </w:p>
        </w:tc>
      </w:tr>
      <w:tr w:rsidR="009E4EB7" w14:paraId="1875DA52" w14:textId="77777777" w:rsidTr="009E4EB7">
        <w:tc>
          <w:tcPr>
            <w:tcW w:w="3081" w:type="dxa"/>
            <w:shd w:val="clear" w:color="auto" w:fill="auto"/>
          </w:tcPr>
          <w:p w14:paraId="1937571F" w14:textId="77777777" w:rsidR="009E4EB7" w:rsidRDefault="009E4EB7" w:rsidP="009E4EB7">
            <w:pPr>
              <w:pStyle w:val="Normal1linespace"/>
              <w:widowControl w:val="0"/>
              <w:jc w:val="left"/>
            </w:pPr>
          </w:p>
        </w:tc>
        <w:tc>
          <w:tcPr>
            <w:tcW w:w="5946" w:type="dxa"/>
            <w:shd w:val="clear" w:color="auto" w:fill="auto"/>
          </w:tcPr>
          <w:p w14:paraId="7B161022" w14:textId="77777777" w:rsidR="009E4EB7" w:rsidRDefault="009E4EB7" w:rsidP="009E4EB7">
            <w:pPr>
              <w:pStyle w:val="Normal1linespace"/>
              <w:widowControl w:val="0"/>
              <w:jc w:val="left"/>
            </w:pPr>
          </w:p>
        </w:tc>
      </w:tr>
      <w:tr w:rsidR="009E4EB7" w14:paraId="028BB79D" w14:textId="77777777" w:rsidTr="009E4EB7">
        <w:tc>
          <w:tcPr>
            <w:tcW w:w="3081" w:type="dxa"/>
            <w:shd w:val="clear" w:color="auto" w:fill="auto"/>
          </w:tcPr>
          <w:p w14:paraId="3ED699BD" w14:textId="450FC3AC" w:rsidR="009E4EB7" w:rsidRDefault="009E4EB7" w:rsidP="009E4EB7">
            <w:pPr>
              <w:pStyle w:val="Normal1linespace"/>
              <w:widowControl w:val="0"/>
              <w:jc w:val="left"/>
            </w:pPr>
            <w:r>
              <w:t>Solicitor for the Respondent:</w:t>
            </w:r>
          </w:p>
        </w:tc>
        <w:tc>
          <w:tcPr>
            <w:tcW w:w="5946" w:type="dxa"/>
            <w:shd w:val="clear" w:color="auto" w:fill="auto"/>
          </w:tcPr>
          <w:p w14:paraId="49D4C4B9" w14:textId="08D27BD3" w:rsidR="009E4EB7" w:rsidRDefault="009E4EB7" w:rsidP="009E4EB7">
            <w:pPr>
              <w:pStyle w:val="Normal1linespace"/>
              <w:widowControl w:val="0"/>
              <w:jc w:val="left"/>
            </w:pPr>
            <w:r>
              <w:t>Mills Oakley</w:t>
            </w:r>
          </w:p>
        </w:tc>
      </w:tr>
      <w:bookmarkEnd w:id="10"/>
    </w:tbl>
    <w:p w14:paraId="2AED1C1E" w14:textId="77777777" w:rsidR="007470BD" w:rsidRDefault="007470BD">
      <w:pPr>
        <w:pStyle w:val="Normal1linespace"/>
      </w:pPr>
    </w:p>
    <w:p w14:paraId="655C72D4" w14:textId="77777777" w:rsidR="00E94CBF" w:rsidRDefault="00E94CBF">
      <w:pPr>
        <w:pStyle w:val="Normal1linespace"/>
      </w:pPr>
    </w:p>
    <w:p w14:paraId="26AE173E"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7FBE7265"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55CD93AD" w14:textId="77777777" w:rsidTr="00E81DA6">
        <w:tc>
          <w:tcPr>
            <w:tcW w:w="6912" w:type="dxa"/>
            <w:gridSpan w:val="2"/>
          </w:tcPr>
          <w:p w14:paraId="48379AD5" w14:textId="77777777" w:rsidR="00A46CCC" w:rsidRPr="001765E0" w:rsidRDefault="00A46CCC" w:rsidP="00525A49">
            <w:pPr>
              <w:pStyle w:val="NormalHeadings"/>
            </w:pPr>
          </w:p>
        </w:tc>
        <w:tc>
          <w:tcPr>
            <w:tcW w:w="2330" w:type="dxa"/>
          </w:tcPr>
          <w:p w14:paraId="437E0D35" w14:textId="466D3F6B" w:rsidR="00A46CCC" w:rsidRDefault="002B721E" w:rsidP="00F92355">
            <w:pPr>
              <w:pStyle w:val="NormalHeadings"/>
              <w:jc w:val="right"/>
            </w:pPr>
            <w:bookmarkStart w:id="12" w:name="FileNo"/>
            <w:r>
              <w:t>VID 1169 of 2019</w:t>
            </w:r>
            <w:bookmarkEnd w:id="12"/>
          </w:p>
        </w:tc>
      </w:tr>
      <w:tr w:rsidR="00A76C13" w14:paraId="0DD504FB" w14:textId="77777777" w:rsidTr="00F461A4">
        <w:tc>
          <w:tcPr>
            <w:tcW w:w="9242" w:type="dxa"/>
            <w:gridSpan w:val="3"/>
          </w:tcPr>
          <w:p w14:paraId="4AA7437E" w14:textId="650CAEF3" w:rsidR="00A76C13" w:rsidRPr="00A76C13" w:rsidRDefault="002B721E" w:rsidP="002B721E">
            <w:pPr>
              <w:pStyle w:val="NormalHeadings"/>
              <w:jc w:val="left"/>
            </w:pPr>
            <w:bookmarkStart w:id="13" w:name="InTheMatterOf"/>
            <w:r>
              <w:t xml:space="preserve"> </w:t>
            </w:r>
            <w:bookmarkEnd w:id="13"/>
          </w:p>
        </w:tc>
      </w:tr>
      <w:tr w:rsidR="00A46CCC" w14:paraId="6D073BC3" w14:textId="77777777" w:rsidTr="005041F0">
        <w:trPr>
          <w:trHeight w:val="386"/>
        </w:trPr>
        <w:tc>
          <w:tcPr>
            <w:tcW w:w="2376" w:type="dxa"/>
          </w:tcPr>
          <w:p w14:paraId="402CBA3F" w14:textId="77777777" w:rsidR="00A46CCC" w:rsidRDefault="00A46CCC" w:rsidP="005041F0">
            <w:pPr>
              <w:pStyle w:val="NormalHeadings"/>
              <w:jc w:val="left"/>
              <w:rPr>
                <w:caps/>
                <w:szCs w:val="24"/>
              </w:rPr>
            </w:pPr>
            <w:bookmarkStart w:id="14" w:name="Parties"/>
            <w:r>
              <w:rPr>
                <w:caps/>
                <w:szCs w:val="24"/>
              </w:rPr>
              <w:t>BETWEEN:</w:t>
            </w:r>
          </w:p>
        </w:tc>
        <w:tc>
          <w:tcPr>
            <w:tcW w:w="6866" w:type="dxa"/>
            <w:gridSpan w:val="2"/>
          </w:tcPr>
          <w:p w14:paraId="1FF88087" w14:textId="77777777" w:rsidR="002B721E" w:rsidRDefault="002B721E" w:rsidP="002B721E">
            <w:pPr>
              <w:pStyle w:val="NormalHeadings"/>
              <w:jc w:val="left"/>
            </w:pPr>
            <w:bookmarkStart w:id="15" w:name="Applicant"/>
            <w:r>
              <w:t>AUSTRALIAN COMPETITION AND CONSUMER COMMISSION</w:t>
            </w:r>
          </w:p>
          <w:p w14:paraId="6CF8D41A" w14:textId="77777777" w:rsidR="002B721E" w:rsidRDefault="002B721E" w:rsidP="002B721E">
            <w:pPr>
              <w:pStyle w:val="PartyType"/>
            </w:pPr>
            <w:r>
              <w:t>Applicant</w:t>
            </w:r>
          </w:p>
          <w:bookmarkEnd w:id="15"/>
          <w:p w14:paraId="0EF1CB0C" w14:textId="1B678227" w:rsidR="00A46CCC" w:rsidRPr="006555B4" w:rsidRDefault="00A46CCC" w:rsidP="005041F0">
            <w:pPr>
              <w:pStyle w:val="NormalHeadings"/>
              <w:jc w:val="left"/>
            </w:pPr>
          </w:p>
        </w:tc>
      </w:tr>
      <w:tr w:rsidR="00A46CCC" w14:paraId="6B94AD56" w14:textId="77777777" w:rsidTr="005041F0">
        <w:trPr>
          <w:trHeight w:val="386"/>
        </w:trPr>
        <w:tc>
          <w:tcPr>
            <w:tcW w:w="2376" w:type="dxa"/>
          </w:tcPr>
          <w:p w14:paraId="498C8EB7" w14:textId="77777777" w:rsidR="00A46CCC" w:rsidRDefault="00A46CCC" w:rsidP="005041F0">
            <w:pPr>
              <w:pStyle w:val="NormalHeadings"/>
              <w:jc w:val="left"/>
              <w:rPr>
                <w:caps/>
                <w:szCs w:val="24"/>
              </w:rPr>
            </w:pPr>
            <w:r>
              <w:rPr>
                <w:caps/>
                <w:szCs w:val="24"/>
              </w:rPr>
              <w:t>AND:</w:t>
            </w:r>
          </w:p>
        </w:tc>
        <w:tc>
          <w:tcPr>
            <w:tcW w:w="6866" w:type="dxa"/>
            <w:gridSpan w:val="2"/>
          </w:tcPr>
          <w:p w14:paraId="70FC56D3" w14:textId="77777777" w:rsidR="002B721E" w:rsidRDefault="002B721E" w:rsidP="002B721E">
            <w:pPr>
              <w:pStyle w:val="NormalHeadings"/>
              <w:jc w:val="left"/>
            </w:pPr>
            <w:bookmarkStart w:id="16" w:name="Respondent"/>
            <w:r>
              <w:t>MAZDA AUSTRALIA PTY LTD</w:t>
            </w:r>
          </w:p>
          <w:p w14:paraId="445ADBFB" w14:textId="77777777" w:rsidR="002B721E" w:rsidRDefault="002B721E" w:rsidP="002B721E">
            <w:pPr>
              <w:pStyle w:val="PartyType"/>
            </w:pPr>
            <w:r>
              <w:t>Respondent</w:t>
            </w:r>
          </w:p>
          <w:bookmarkEnd w:id="16"/>
          <w:p w14:paraId="304BEB75" w14:textId="1B9BD584" w:rsidR="00A46CCC" w:rsidRPr="006555B4" w:rsidRDefault="00A46CCC" w:rsidP="005041F0">
            <w:pPr>
              <w:pStyle w:val="NormalHeadings"/>
              <w:jc w:val="left"/>
            </w:pPr>
          </w:p>
        </w:tc>
      </w:tr>
    </w:tbl>
    <w:p w14:paraId="41CAA12C"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6A1659E8" w14:textId="77777777">
        <w:tc>
          <w:tcPr>
            <w:tcW w:w="2376" w:type="dxa"/>
          </w:tcPr>
          <w:p w14:paraId="1595E23D"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3214FC0D" w14:textId="6239DF9E" w:rsidR="00395B24" w:rsidRDefault="002B721E">
            <w:pPr>
              <w:pStyle w:val="NormalHeadings"/>
              <w:jc w:val="left"/>
              <w:rPr>
                <w:caps/>
                <w:szCs w:val="24"/>
              </w:rPr>
            </w:pPr>
            <w:bookmarkStart w:id="19" w:name="Judge"/>
            <w:r>
              <w:rPr>
                <w:caps/>
                <w:szCs w:val="24"/>
              </w:rPr>
              <w:t>O’CALLAGHAN J</w:t>
            </w:r>
            <w:bookmarkEnd w:id="19"/>
          </w:p>
        </w:tc>
      </w:tr>
      <w:tr w:rsidR="00395B24" w14:paraId="57DB1A23" w14:textId="77777777">
        <w:tc>
          <w:tcPr>
            <w:tcW w:w="2376" w:type="dxa"/>
          </w:tcPr>
          <w:p w14:paraId="76841BA7" w14:textId="77777777" w:rsidR="00395B24" w:rsidRDefault="002C7385">
            <w:pPr>
              <w:pStyle w:val="NormalHeadings"/>
              <w:spacing w:after="120"/>
              <w:jc w:val="left"/>
              <w:rPr>
                <w:caps/>
                <w:szCs w:val="24"/>
              </w:rPr>
            </w:pPr>
            <w:r>
              <w:rPr>
                <w:caps/>
                <w:szCs w:val="24"/>
              </w:rPr>
              <w:t>DATE OF ORDER:</w:t>
            </w:r>
          </w:p>
        </w:tc>
        <w:tc>
          <w:tcPr>
            <w:tcW w:w="6866" w:type="dxa"/>
          </w:tcPr>
          <w:p w14:paraId="4525D7F8" w14:textId="5B6975D1" w:rsidR="00395B24" w:rsidRDefault="005C4598">
            <w:pPr>
              <w:pStyle w:val="NormalHeadings"/>
              <w:jc w:val="left"/>
              <w:rPr>
                <w:caps/>
                <w:szCs w:val="24"/>
              </w:rPr>
            </w:pPr>
            <w:bookmarkStart w:id="20" w:name="Judgment_Dated"/>
            <w:r w:rsidRPr="00A45369">
              <w:rPr>
                <w:caps/>
                <w:szCs w:val="24"/>
              </w:rPr>
              <w:t>14 february 2024</w:t>
            </w:r>
            <w:r w:rsidR="002B721E">
              <w:rPr>
                <w:caps/>
                <w:szCs w:val="24"/>
              </w:rPr>
              <w:t xml:space="preserve"> </w:t>
            </w:r>
            <w:bookmarkEnd w:id="20"/>
          </w:p>
        </w:tc>
      </w:tr>
    </w:tbl>
    <w:p w14:paraId="0B8690C7" w14:textId="77777777" w:rsidR="00395B24" w:rsidRDefault="00395B24">
      <w:pPr>
        <w:pStyle w:val="NormalHeadings"/>
        <w:rPr>
          <w:b w:val="0"/>
        </w:rPr>
      </w:pPr>
    </w:p>
    <w:p w14:paraId="05E08C31" w14:textId="77777777" w:rsidR="00FB7463" w:rsidRDefault="00811647" w:rsidP="00B4347C">
      <w:pPr>
        <w:pStyle w:val="NormalHeadings"/>
        <w:spacing w:line="360" w:lineRule="auto"/>
        <w:rPr>
          <w:bCs/>
        </w:rPr>
      </w:pPr>
      <w:r>
        <w:rPr>
          <w:bCs/>
        </w:rPr>
        <w:t>OTHER MATTERS:</w:t>
      </w:r>
      <w:r w:rsidR="00B4347C">
        <w:rPr>
          <w:bCs/>
        </w:rPr>
        <w:t xml:space="preserve"> </w:t>
      </w:r>
    </w:p>
    <w:p w14:paraId="35073F87" w14:textId="60325480" w:rsidR="00811647" w:rsidRPr="00B4347C" w:rsidRDefault="00811647" w:rsidP="005E569E">
      <w:pPr>
        <w:pStyle w:val="NoNum"/>
        <w:rPr>
          <w:bCs/>
        </w:rPr>
      </w:pPr>
      <w:r w:rsidRPr="00811647">
        <w:t>The respondent (</w:t>
      </w:r>
      <w:r w:rsidRPr="005E569E">
        <w:rPr>
          <w:b/>
        </w:rPr>
        <w:t>Mazda</w:t>
      </w:r>
      <w:r w:rsidRPr="005E569E">
        <w:rPr>
          <w:bCs/>
        </w:rPr>
        <w:t>)</w:t>
      </w:r>
      <w:r w:rsidRPr="00811647">
        <w:t xml:space="preserve">, by its counsel, unconditionally undertakes to pay to </w:t>
      </w:r>
      <w:r w:rsidR="007F15F1">
        <w:t xml:space="preserve">each of </w:t>
      </w:r>
      <w:r w:rsidRPr="00811647">
        <w:t>the non-party consumers within 14 days</w:t>
      </w:r>
      <w:r w:rsidR="007F15F1">
        <w:t xml:space="preserve"> </w:t>
      </w:r>
      <w:r w:rsidRPr="00811647">
        <w:t xml:space="preserve">the sum of $3,000 in relation to each of the seven vehicles the subject of this proceeding (being a total sum of $21,000).  </w:t>
      </w:r>
    </w:p>
    <w:p w14:paraId="65C9226F" w14:textId="77777777" w:rsidR="0086340B" w:rsidRPr="00811647" w:rsidRDefault="0086340B">
      <w:pPr>
        <w:pStyle w:val="NormalHeadings"/>
        <w:rPr>
          <w:b w:val="0"/>
        </w:rPr>
      </w:pPr>
    </w:p>
    <w:p w14:paraId="18D4E135" w14:textId="463AE03F" w:rsidR="007F60DF" w:rsidRDefault="002C7385" w:rsidP="00243E5E">
      <w:pPr>
        <w:pStyle w:val="NormalHeadings"/>
      </w:pPr>
      <w:r>
        <w:t>THE COURT ORDERS THAT:</w:t>
      </w:r>
    </w:p>
    <w:p w14:paraId="602CFE71" w14:textId="5179D617" w:rsidR="00E96B47" w:rsidRDefault="0019646A" w:rsidP="0046414B">
      <w:pPr>
        <w:pStyle w:val="OrdersHeading2"/>
      </w:pPr>
      <w:r>
        <w:t>Pecuniary penalties</w:t>
      </w:r>
    </w:p>
    <w:p w14:paraId="33FE6AF3" w14:textId="7DC953BB" w:rsidR="00A30DE9" w:rsidRDefault="007C3488" w:rsidP="007C3488">
      <w:pPr>
        <w:pStyle w:val="Order1"/>
        <w:numPr>
          <w:ilvl w:val="0"/>
          <w:numId w:val="0"/>
        </w:numPr>
        <w:tabs>
          <w:tab w:val="left" w:pos="720"/>
        </w:tabs>
        <w:ind w:left="720" w:hanging="720"/>
      </w:pPr>
      <w:bookmarkStart w:id="21" w:name="_Ref158708404"/>
      <w:r>
        <w:t>1.</w:t>
      </w:r>
      <w:r>
        <w:tab/>
      </w:r>
      <w:r w:rsidR="00A30DE9" w:rsidRPr="00A30DE9">
        <w:t xml:space="preserve">Pursuant to section 224(1) of the Australian Consumer Law at Schedule 2 of the </w:t>
      </w:r>
      <w:r w:rsidR="00A30DE9" w:rsidRPr="00A30DE9">
        <w:rPr>
          <w:i/>
          <w:iCs/>
        </w:rPr>
        <w:t>Competition and Consumer Act 2010</w:t>
      </w:r>
      <w:r w:rsidR="00A30DE9" w:rsidRPr="00A30DE9">
        <w:t xml:space="preserve"> (</w:t>
      </w:r>
      <w:proofErr w:type="spellStart"/>
      <w:r w:rsidR="00A30DE9" w:rsidRPr="00A30DE9">
        <w:t>Cth</w:t>
      </w:r>
      <w:proofErr w:type="spellEnd"/>
      <w:r w:rsidR="00A30DE9" w:rsidRPr="00A30DE9">
        <w:t>) (</w:t>
      </w:r>
      <w:r w:rsidR="00A30DE9" w:rsidRPr="00A30DE9">
        <w:rPr>
          <w:b/>
          <w:bCs/>
        </w:rPr>
        <w:t>ACL</w:t>
      </w:r>
      <w:r w:rsidR="00A30DE9" w:rsidRPr="00A30DE9">
        <w:t xml:space="preserve">), </w:t>
      </w:r>
      <w:r w:rsidR="00FB7463">
        <w:t>Mazda</w:t>
      </w:r>
      <w:r w:rsidR="00A30DE9" w:rsidRPr="00A30DE9">
        <w:t xml:space="preserve"> is to pay to the Commonwealth of Australia forthwith the total sum of </w:t>
      </w:r>
      <w:r w:rsidR="00A30DE9">
        <w:t>$11.5</w:t>
      </w:r>
      <w:r w:rsidR="00A30DE9" w:rsidRPr="00A30DE9">
        <w:t xml:space="preserve"> million by way of pecuniary penalty by reason of Mazda</w:t>
      </w:r>
      <w:r w:rsidR="00A30DE9">
        <w:t>’</w:t>
      </w:r>
      <w:r w:rsidR="00A30DE9" w:rsidRPr="00A30DE9">
        <w:t xml:space="preserve">s contraventions of section 29(1)(m) of the ACL as declared by this </w:t>
      </w:r>
      <w:r w:rsidR="00FB037C">
        <w:t>c</w:t>
      </w:r>
      <w:r w:rsidR="00A30DE9" w:rsidRPr="00A30DE9">
        <w:t>ourt on 21 March 2022.</w:t>
      </w:r>
      <w:bookmarkEnd w:id="21"/>
    </w:p>
    <w:p w14:paraId="0D9C2C3C" w14:textId="6F4464C1" w:rsidR="00575C9B" w:rsidRPr="000A28CA" w:rsidRDefault="00575C9B" w:rsidP="0046414B">
      <w:pPr>
        <w:pStyle w:val="OrdersHeading2"/>
      </w:pPr>
      <w:r>
        <w:t>Compliance program</w:t>
      </w:r>
    </w:p>
    <w:p w14:paraId="3C68C836" w14:textId="3EFFFE3E" w:rsidR="00BD042E" w:rsidRDefault="007C3488" w:rsidP="007C3488">
      <w:pPr>
        <w:pStyle w:val="Order1"/>
        <w:numPr>
          <w:ilvl w:val="0"/>
          <w:numId w:val="0"/>
        </w:numPr>
        <w:tabs>
          <w:tab w:val="left" w:pos="720"/>
        </w:tabs>
        <w:ind w:left="720" w:hanging="720"/>
      </w:pPr>
      <w:r>
        <w:t>2.</w:t>
      </w:r>
      <w:r>
        <w:tab/>
      </w:r>
      <w:r w:rsidR="00BD042E">
        <w:t>Pursuant to section 246(2)(b) of the ACL, Mazda at its own expense is to:</w:t>
      </w:r>
    </w:p>
    <w:p w14:paraId="1AD596C3" w14:textId="2F071D68" w:rsidR="00BD042E" w:rsidRDefault="007C3488" w:rsidP="007C3488">
      <w:pPr>
        <w:pStyle w:val="Order2"/>
        <w:numPr>
          <w:ilvl w:val="0"/>
          <w:numId w:val="0"/>
        </w:numPr>
        <w:ind w:left="1440" w:hanging="720"/>
      </w:pPr>
      <w:r>
        <w:t>(a)</w:t>
      </w:r>
      <w:r>
        <w:tab/>
      </w:r>
      <w:r w:rsidR="00BD042E">
        <w:t>within 90 days, implement the Competition and Consumer Compliance Program (</w:t>
      </w:r>
      <w:r w:rsidR="00BD042E" w:rsidRPr="008F2D15">
        <w:rPr>
          <w:b/>
          <w:bCs/>
        </w:rPr>
        <w:t>Compliance Program</w:t>
      </w:r>
      <w:r w:rsidR="00BD042E">
        <w:t xml:space="preserve">) measures in the terms of </w:t>
      </w:r>
      <w:r w:rsidR="00BD042E" w:rsidRPr="0046414B">
        <w:t>Appendix A</w:t>
      </w:r>
      <w:r w:rsidR="00BD042E">
        <w:t xml:space="preserve"> to this order; and</w:t>
      </w:r>
    </w:p>
    <w:p w14:paraId="39D06241" w14:textId="566D0289" w:rsidR="001A6C52" w:rsidRDefault="007C3488" w:rsidP="007C3488">
      <w:pPr>
        <w:pStyle w:val="Order2"/>
        <w:numPr>
          <w:ilvl w:val="0"/>
          <w:numId w:val="0"/>
        </w:numPr>
        <w:ind w:left="1440" w:hanging="720"/>
      </w:pPr>
      <w:r>
        <w:t>(b)</w:t>
      </w:r>
      <w:r>
        <w:tab/>
      </w:r>
      <w:r w:rsidR="00BD042E">
        <w:t xml:space="preserve">maintain the Compliance Program measures referred to in order 4(a) for three years from the date on which they are implemented. </w:t>
      </w:r>
    </w:p>
    <w:p w14:paraId="086C239D" w14:textId="4B1958B5" w:rsidR="00351BB3" w:rsidRDefault="001C42BC" w:rsidP="0046414B">
      <w:pPr>
        <w:pStyle w:val="OrdersHeading2"/>
      </w:pPr>
      <w:r>
        <w:lastRenderedPageBreak/>
        <w:t>Injunctive relief</w:t>
      </w:r>
    </w:p>
    <w:p w14:paraId="3E12D547" w14:textId="1564C883" w:rsidR="00DE7392" w:rsidRDefault="007C3488" w:rsidP="007C3488">
      <w:pPr>
        <w:pStyle w:val="Order1"/>
        <w:numPr>
          <w:ilvl w:val="0"/>
          <w:numId w:val="0"/>
        </w:numPr>
        <w:tabs>
          <w:tab w:val="left" w:pos="720"/>
        </w:tabs>
        <w:ind w:left="720" w:hanging="720"/>
      </w:pPr>
      <w:r>
        <w:t>3.</w:t>
      </w:r>
      <w:r>
        <w:tab/>
      </w:r>
      <w:r w:rsidR="00DE7392">
        <w:t>Pursuant to section 232 of the ACL, Mazda be restrained, whether by itself, its officers, employees, agents or otherwise, for a period of 5 years from the date of the order, from, in trade or commerce, making false or misleading representations in the course of communication with consumers, concerning the existence or effect of consumer guarantees under Part 3-2 of the ACL, and the rights or remedies available under Part 5-4 of the ACL, and whether it had reasonable grounds for forming an opinion that the consumer was not entitled to a refund or replacement vehicle at no cost to them under the consumer guarantee provisions of the ACL when it had no reasonable grounds for forming such an opinion.  (For the avoidance of doubt, the word “agents” in this order does not include any Mazda dealer).</w:t>
      </w:r>
    </w:p>
    <w:p w14:paraId="5910FD6D" w14:textId="0CFA83B3" w:rsidR="001C42BC" w:rsidRDefault="00D41AA5" w:rsidP="0046414B">
      <w:pPr>
        <w:pStyle w:val="OrdersHeading2"/>
      </w:pPr>
      <w:r>
        <w:t>Disclosure order</w:t>
      </w:r>
    </w:p>
    <w:p w14:paraId="23A17DEE" w14:textId="6A64B5DB" w:rsidR="00C65EF8" w:rsidRDefault="007C3488" w:rsidP="007C3488">
      <w:pPr>
        <w:pStyle w:val="Order1"/>
        <w:numPr>
          <w:ilvl w:val="0"/>
          <w:numId w:val="0"/>
        </w:numPr>
        <w:tabs>
          <w:tab w:val="left" w:pos="720"/>
        </w:tabs>
        <w:ind w:left="720" w:hanging="720"/>
      </w:pPr>
      <w:bookmarkStart w:id="22" w:name="_Ref158708420"/>
      <w:r>
        <w:t>4.</w:t>
      </w:r>
      <w:r>
        <w:tab/>
      </w:r>
      <w:r w:rsidR="00C65EF8">
        <w:t xml:space="preserve">Pursuant to section 246(2)(c) of the ACL, Mazda, at its own expense and within 14 days, is to provide a disclosure notice describing in the terms of </w:t>
      </w:r>
      <w:r w:rsidR="00C65EF8" w:rsidRPr="0046414B">
        <w:t xml:space="preserve">Appendix </w:t>
      </w:r>
      <w:r w:rsidR="00D3766A" w:rsidRPr="0046414B">
        <w:t>B</w:t>
      </w:r>
      <w:r w:rsidR="00C65EF8">
        <w:t xml:space="preserve">, the </w:t>
      </w:r>
      <w:r w:rsidR="00990BFE">
        <w:t>c</w:t>
      </w:r>
      <w:r w:rsidR="00C65EF8">
        <w:t xml:space="preserve">ourt’s findings of contravention and the effect of the </w:t>
      </w:r>
      <w:r w:rsidR="00990BFE">
        <w:t>c</w:t>
      </w:r>
      <w:r w:rsidR="00C65EF8">
        <w:t>ourt’s final orders in this proceeding by sending it by email to all Mazda dealers.</w:t>
      </w:r>
      <w:bookmarkEnd w:id="22"/>
    </w:p>
    <w:p w14:paraId="0568CFC8" w14:textId="2B7CB627" w:rsidR="00C65EF8" w:rsidRDefault="007C3488" w:rsidP="007C3488">
      <w:pPr>
        <w:pStyle w:val="Order1"/>
        <w:numPr>
          <w:ilvl w:val="0"/>
          <w:numId w:val="0"/>
        </w:numPr>
        <w:tabs>
          <w:tab w:val="left" w:pos="720"/>
        </w:tabs>
        <w:ind w:left="720" w:hanging="720"/>
      </w:pPr>
      <w:r>
        <w:t>5.</w:t>
      </w:r>
      <w:r>
        <w:tab/>
      </w:r>
      <w:r w:rsidR="00C65EF8">
        <w:t>Within 21 days, Mazda file and serve an affidavit verifying its compliance with order 4.</w:t>
      </w:r>
    </w:p>
    <w:p w14:paraId="4876BCD7" w14:textId="5B62A48B" w:rsidR="009D01A0" w:rsidRDefault="009D01A0" w:rsidP="0046414B">
      <w:pPr>
        <w:pStyle w:val="OrdersHeading2"/>
      </w:pPr>
      <w:r>
        <w:t>Adverse publicity order</w:t>
      </w:r>
    </w:p>
    <w:p w14:paraId="790E90FF" w14:textId="673D0885" w:rsidR="0017028A" w:rsidRDefault="007C3488" w:rsidP="007C3488">
      <w:pPr>
        <w:pStyle w:val="Order1"/>
        <w:numPr>
          <w:ilvl w:val="0"/>
          <w:numId w:val="0"/>
        </w:numPr>
        <w:tabs>
          <w:tab w:val="left" w:pos="720"/>
        </w:tabs>
        <w:ind w:left="720" w:hanging="720"/>
      </w:pPr>
      <w:r>
        <w:t>6.</w:t>
      </w:r>
      <w:r>
        <w:tab/>
      </w:r>
      <w:r w:rsidR="0017028A" w:rsidRPr="0017028A">
        <w:t>Pursuant to section 247 of the ACL, Mazda, at its own expense and within 14 days, publish a notice for a period of 90 days on the Mazda Support page (at</w:t>
      </w:r>
      <w:r w:rsidR="00552AD1">
        <w:t xml:space="preserve"> </w:t>
      </w:r>
      <w:r w:rsidR="0017028A" w:rsidRPr="0017028A">
        <w:t xml:space="preserve">https://www.mazda.com.au/owners/help-and-support/ (under the heading, </w:t>
      </w:r>
      <w:r w:rsidR="0017028A">
        <w:t>“</w:t>
      </w:r>
      <w:r w:rsidR="0017028A" w:rsidRPr="0017028A">
        <w:t>Mazda Recalls</w:t>
      </w:r>
      <w:r w:rsidR="0017028A">
        <w:t>”</w:t>
      </w:r>
      <w:r w:rsidR="0017028A" w:rsidRPr="0017028A">
        <w:t xml:space="preserve">)) of the Mazda website located at https://mazda.com.au/ in the terms of </w:t>
      </w:r>
      <w:r w:rsidR="0017028A" w:rsidRPr="0046414B">
        <w:t xml:space="preserve">Appendix </w:t>
      </w:r>
      <w:r w:rsidR="00D3766A" w:rsidRPr="0046414B">
        <w:t>C</w:t>
      </w:r>
      <w:r w:rsidR="0017028A" w:rsidRPr="0017028A">
        <w:t xml:space="preserve"> to this order. </w:t>
      </w:r>
    </w:p>
    <w:p w14:paraId="6C658F71" w14:textId="4DF6FB3D" w:rsidR="00AB461C" w:rsidRPr="0017028A" w:rsidRDefault="006B6A27" w:rsidP="0046414B">
      <w:pPr>
        <w:pStyle w:val="OrdersHeading2"/>
      </w:pPr>
      <w:r>
        <w:t>Non-party consumer redress</w:t>
      </w:r>
    </w:p>
    <w:p w14:paraId="7E9EA917" w14:textId="3E01D45F" w:rsidR="00C201E2" w:rsidRDefault="007C3488" w:rsidP="007C3488">
      <w:pPr>
        <w:pStyle w:val="Order1"/>
        <w:numPr>
          <w:ilvl w:val="0"/>
          <w:numId w:val="0"/>
        </w:numPr>
        <w:tabs>
          <w:tab w:val="left" w:pos="720"/>
        </w:tabs>
        <w:ind w:left="720" w:hanging="720"/>
      </w:pPr>
      <w:r>
        <w:t>7.</w:t>
      </w:r>
      <w:r>
        <w:tab/>
      </w:r>
      <w:r w:rsidR="00C201E2">
        <w:t>Pursuant to section 239 of the ACL, Mazda is to pay non-party redress as set out below:</w:t>
      </w:r>
    </w:p>
    <w:p w14:paraId="27C9CE1E" w14:textId="0220C3BD" w:rsidR="00C201E2" w:rsidRDefault="007C3488" w:rsidP="007C3488">
      <w:pPr>
        <w:pStyle w:val="Order2"/>
        <w:numPr>
          <w:ilvl w:val="0"/>
          <w:numId w:val="0"/>
        </w:numPr>
        <w:ind w:left="1440" w:hanging="720"/>
      </w:pPr>
      <w:r>
        <w:t>(a)</w:t>
      </w:r>
      <w:r>
        <w:tab/>
      </w:r>
      <w:r w:rsidR="00C201E2">
        <w:t xml:space="preserve">within 14 days, the ACCC is to contact each of the consumers referred to in </w:t>
      </w:r>
      <w:r w:rsidR="00C201E2" w:rsidRPr="0046414B">
        <w:t xml:space="preserve">Appendix </w:t>
      </w:r>
      <w:r w:rsidR="00D3766A" w:rsidRPr="0046414B">
        <w:t>D</w:t>
      </w:r>
      <w:r w:rsidR="00C201E2">
        <w:t xml:space="preserve"> to this order in writing (</w:t>
      </w:r>
      <w:r w:rsidR="00C201E2" w:rsidRPr="004E6CE8">
        <w:rPr>
          <w:b/>
          <w:bCs/>
        </w:rPr>
        <w:t>Relevant Consumers</w:t>
      </w:r>
      <w:r w:rsidR="00C201E2">
        <w:t>):</w:t>
      </w:r>
    </w:p>
    <w:p w14:paraId="03F52AFF" w14:textId="0EEF01B2" w:rsidR="00C201E2" w:rsidRDefault="007C3488" w:rsidP="007C3488">
      <w:pPr>
        <w:pStyle w:val="Order3"/>
        <w:numPr>
          <w:ilvl w:val="0"/>
          <w:numId w:val="0"/>
        </w:numPr>
        <w:tabs>
          <w:tab w:val="left" w:pos="1440"/>
        </w:tabs>
        <w:ind w:left="2160" w:hanging="720"/>
      </w:pPr>
      <w:r>
        <w:t>(</w:t>
      </w:r>
      <w:proofErr w:type="spellStart"/>
      <w:r>
        <w:t>i</w:t>
      </w:r>
      <w:proofErr w:type="spellEnd"/>
      <w:r>
        <w:t>)</w:t>
      </w:r>
      <w:r>
        <w:tab/>
      </w:r>
      <w:r w:rsidR="00C201E2">
        <w:t xml:space="preserve">advising them of the making of these orders and the amount proposed to be paid to them by way of </w:t>
      </w:r>
      <w:proofErr w:type="gramStart"/>
      <w:r w:rsidR="00C201E2">
        <w:t>redress;</w:t>
      </w:r>
      <w:proofErr w:type="gramEnd"/>
    </w:p>
    <w:p w14:paraId="6F7F20CC" w14:textId="67B7BD88" w:rsidR="00C201E2" w:rsidRDefault="007C3488" w:rsidP="007C3488">
      <w:pPr>
        <w:pStyle w:val="Order3"/>
        <w:numPr>
          <w:ilvl w:val="0"/>
          <w:numId w:val="0"/>
        </w:numPr>
        <w:tabs>
          <w:tab w:val="left" w:pos="1440"/>
        </w:tabs>
        <w:ind w:left="2160" w:hanging="720"/>
      </w:pPr>
      <w:r>
        <w:lastRenderedPageBreak/>
        <w:t>(ii)</w:t>
      </w:r>
      <w:r>
        <w:tab/>
      </w:r>
      <w:r w:rsidR="00C201E2">
        <w:t xml:space="preserve">inviting their written acceptance of the redress amount within four weeks of the date of the letter; and </w:t>
      </w:r>
    </w:p>
    <w:p w14:paraId="7B1A19BB" w14:textId="5BEB2A04" w:rsidR="00C201E2" w:rsidRDefault="007C3488" w:rsidP="007C3488">
      <w:pPr>
        <w:pStyle w:val="Order3"/>
        <w:numPr>
          <w:ilvl w:val="0"/>
          <w:numId w:val="0"/>
        </w:numPr>
        <w:tabs>
          <w:tab w:val="left" w:pos="1440"/>
        </w:tabs>
        <w:ind w:left="2160" w:hanging="720"/>
      </w:pPr>
      <w:r>
        <w:t>(iii)</w:t>
      </w:r>
      <w:r>
        <w:tab/>
      </w:r>
      <w:r w:rsidR="00C201E2">
        <w:t xml:space="preserve">seeking their payment account </w:t>
      </w:r>
      <w:proofErr w:type="gramStart"/>
      <w:r w:rsidR="00C201E2">
        <w:t>details;</w:t>
      </w:r>
      <w:proofErr w:type="gramEnd"/>
    </w:p>
    <w:p w14:paraId="335A233B" w14:textId="2367B082" w:rsidR="00C201E2" w:rsidRDefault="007C3488" w:rsidP="007C3488">
      <w:pPr>
        <w:pStyle w:val="Order2"/>
        <w:numPr>
          <w:ilvl w:val="0"/>
          <w:numId w:val="0"/>
        </w:numPr>
        <w:ind w:left="1440" w:hanging="720"/>
      </w:pPr>
      <w:r>
        <w:t>(b)</w:t>
      </w:r>
      <w:r>
        <w:tab/>
      </w:r>
      <w:r w:rsidR="00C201E2">
        <w:t xml:space="preserve">within 7 days of the expiry of the </w:t>
      </w:r>
      <w:proofErr w:type="gramStart"/>
      <w:r w:rsidR="00C201E2">
        <w:t>four week</w:t>
      </w:r>
      <w:proofErr w:type="gramEnd"/>
      <w:r w:rsidR="00C201E2">
        <w:t xml:space="preserve"> period referred to in order 7(a)(ii), the ACCC is to contact Mazda in writing advising which of the Relevant Consumers have communicated their acceptance of the redress pursuant to order 7(a)(ii), and the total amount of redress due to be paid (</w:t>
      </w:r>
      <w:r w:rsidR="00C201E2" w:rsidRPr="00075780">
        <w:rPr>
          <w:b/>
          <w:bCs/>
        </w:rPr>
        <w:t>Funds</w:t>
      </w:r>
      <w:r w:rsidR="00C201E2">
        <w:t>);</w:t>
      </w:r>
    </w:p>
    <w:p w14:paraId="2406517F" w14:textId="6A42E568" w:rsidR="00C201E2" w:rsidRDefault="007C3488" w:rsidP="007C3488">
      <w:pPr>
        <w:pStyle w:val="Order2"/>
        <w:numPr>
          <w:ilvl w:val="0"/>
          <w:numId w:val="0"/>
        </w:numPr>
        <w:ind w:left="1440" w:hanging="720"/>
      </w:pPr>
      <w:r>
        <w:t>(c)</w:t>
      </w:r>
      <w:r>
        <w:tab/>
      </w:r>
      <w:r w:rsidR="00C201E2">
        <w:t xml:space="preserve">within 14 days of the ACCC complying with order 7(b), Mazda is to pay the Funds to the </w:t>
      </w:r>
      <w:proofErr w:type="gramStart"/>
      <w:r w:rsidR="00C201E2">
        <w:t>ACCC;</w:t>
      </w:r>
      <w:proofErr w:type="gramEnd"/>
    </w:p>
    <w:p w14:paraId="21713E6B" w14:textId="7569788E" w:rsidR="00C201E2" w:rsidRDefault="007C3488" w:rsidP="007C3488">
      <w:pPr>
        <w:pStyle w:val="Order2"/>
        <w:numPr>
          <w:ilvl w:val="0"/>
          <w:numId w:val="0"/>
        </w:numPr>
        <w:ind w:left="1440" w:hanging="720"/>
      </w:pPr>
      <w:r>
        <w:t>(d)</w:t>
      </w:r>
      <w:r>
        <w:tab/>
      </w:r>
      <w:r w:rsidR="00C201E2">
        <w:t xml:space="preserve">within 14 days of Mazda complying with order 7(c), the ACCC is to distribute to each of the Relevant Consumers who have communicated their acceptance of the redress the amount of the Funds due to be paid in accordance with Appendix </w:t>
      </w:r>
      <w:r w:rsidR="00236FEB">
        <w:t>D</w:t>
      </w:r>
      <w:r w:rsidR="00C201E2">
        <w:t xml:space="preserve"> to these orders.</w:t>
      </w:r>
    </w:p>
    <w:p w14:paraId="2162BCD2" w14:textId="6AEC1AD8" w:rsidR="00B26D7B" w:rsidRDefault="00B26D7B" w:rsidP="0046414B">
      <w:pPr>
        <w:pStyle w:val="OrdersHeading2"/>
      </w:pPr>
      <w:r>
        <w:t>Costs</w:t>
      </w:r>
    </w:p>
    <w:p w14:paraId="1365176D" w14:textId="5D85E9DC" w:rsidR="00C65EF8" w:rsidRDefault="007C3488" w:rsidP="007C3488">
      <w:pPr>
        <w:pStyle w:val="Order1"/>
        <w:numPr>
          <w:ilvl w:val="0"/>
          <w:numId w:val="0"/>
        </w:numPr>
        <w:tabs>
          <w:tab w:val="left" w:pos="720"/>
        </w:tabs>
        <w:ind w:left="720" w:hanging="720"/>
      </w:pPr>
      <w:r>
        <w:t>8.</w:t>
      </w:r>
      <w:r>
        <w:tab/>
      </w:r>
      <w:r w:rsidR="009A4AA6" w:rsidRPr="009A4AA6">
        <w:t>Mazda pay to the Commonwealth of Australia 70% of the ACCC</w:t>
      </w:r>
      <w:r w:rsidR="009A4AA6">
        <w:t>’</w:t>
      </w:r>
      <w:r w:rsidR="009A4AA6" w:rsidRPr="009A4AA6">
        <w:t>s total costs of the proceeding up to and including the date of making these orders in a lump sum in an amount to be determined by the Registrar and in accordance with such directions as the Registrar considers appropriate, such costs to be payable forthwith after fixing.</w:t>
      </w:r>
    </w:p>
    <w:p w14:paraId="0A5633B4" w14:textId="77777777" w:rsidR="001A6C52" w:rsidRDefault="001A6C52" w:rsidP="001A6C52">
      <w:pPr>
        <w:pStyle w:val="BodyText"/>
      </w:pPr>
    </w:p>
    <w:p w14:paraId="280A3CEF" w14:textId="77777777" w:rsidR="00A431E6" w:rsidRDefault="00A431E6" w:rsidP="001A6C52">
      <w:pPr>
        <w:pStyle w:val="BodyText"/>
      </w:pPr>
    </w:p>
    <w:p w14:paraId="2BD06DAC" w14:textId="2303FE34" w:rsidR="0050309C" w:rsidRDefault="002B721E" w:rsidP="004D53E5">
      <w:pPr>
        <w:pStyle w:val="SingleSpace"/>
      </w:pPr>
      <w:bookmarkStart w:id="23" w:name="OrdersStatement"/>
      <w:r>
        <w:t>Note:</w:t>
      </w:r>
      <w:r>
        <w:tab/>
        <w:t xml:space="preserve">Entry of orders is dealt with in Rule 39.32 of the </w:t>
      </w:r>
      <w:r>
        <w:rPr>
          <w:i/>
        </w:rPr>
        <w:t>Federal Court Rules 2011</w:t>
      </w:r>
      <w:r>
        <w:t>.</w:t>
      </w:r>
      <w:bookmarkEnd w:id="23"/>
    </w:p>
    <w:p w14:paraId="760C38F2" w14:textId="79B51228" w:rsidR="00162C1F" w:rsidRDefault="00162C1F">
      <w:pPr>
        <w:spacing w:line="240" w:lineRule="auto"/>
        <w:jc w:val="left"/>
      </w:pPr>
      <w:r>
        <w:br w:type="page"/>
      </w:r>
    </w:p>
    <w:p w14:paraId="32867720" w14:textId="77777777" w:rsidR="00E23577" w:rsidRDefault="00E23577" w:rsidP="002B0E91">
      <w:pPr>
        <w:pStyle w:val="BodyText"/>
      </w:pPr>
    </w:p>
    <w:p w14:paraId="51AFB66B" w14:textId="70D3F2DC" w:rsidR="00506DE7" w:rsidRDefault="007C3488" w:rsidP="001D336E">
      <w:pPr>
        <w:pStyle w:val="OrdersHeading1"/>
        <w:jc w:val="center"/>
      </w:pPr>
      <w:r>
        <w:rPr>
          <w:caps w:val="0"/>
        </w:rPr>
        <w:t>APPENDIX A</w:t>
      </w:r>
    </w:p>
    <w:p w14:paraId="00E36D1D" w14:textId="77777777" w:rsidR="00204363" w:rsidRPr="00204363" w:rsidRDefault="00204363" w:rsidP="00204363">
      <w:pPr>
        <w:spacing w:line="240" w:lineRule="auto"/>
        <w:jc w:val="center"/>
        <w:rPr>
          <w:rFonts w:ascii="Arial" w:eastAsia="Times New Roman" w:hAnsi="Arial"/>
          <w:b/>
          <w:bCs/>
          <w:sz w:val="22"/>
          <w:szCs w:val="24"/>
        </w:rPr>
      </w:pPr>
      <w:r w:rsidRPr="00204363">
        <w:rPr>
          <w:rFonts w:ascii="Arial" w:eastAsia="Times New Roman" w:hAnsi="Arial"/>
          <w:b/>
          <w:bCs/>
          <w:sz w:val="22"/>
          <w:szCs w:val="24"/>
        </w:rPr>
        <w:t>COMPETITION AND CONSUMER COMPLIANCE PROGRAM</w:t>
      </w:r>
    </w:p>
    <w:p w14:paraId="2FDDA6CF" w14:textId="77777777" w:rsidR="00204363" w:rsidRPr="00204363" w:rsidRDefault="00204363" w:rsidP="00204363">
      <w:pPr>
        <w:spacing w:line="240" w:lineRule="auto"/>
        <w:jc w:val="center"/>
        <w:rPr>
          <w:rFonts w:ascii="Arial" w:eastAsia="Times New Roman" w:hAnsi="Arial"/>
          <w:b/>
          <w:bCs/>
          <w:sz w:val="22"/>
          <w:szCs w:val="24"/>
        </w:rPr>
      </w:pPr>
    </w:p>
    <w:p w14:paraId="655532A8" w14:textId="77777777" w:rsidR="00204363" w:rsidRPr="00204363" w:rsidRDefault="00204363" w:rsidP="00204363">
      <w:pPr>
        <w:spacing w:line="240" w:lineRule="auto"/>
        <w:jc w:val="center"/>
        <w:rPr>
          <w:rFonts w:ascii="Arial" w:eastAsia="Times New Roman" w:hAnsi="Arial"/>
          <w:b/>
          <w:bCs/>
          <w:sz w:val="22"/>
          <w:szCs w:val="24"/>
        </w:rPr>
      </w:pPr>
      <w:r w:rsidRPr="00204363">
        <w:rPr>
          <w:rFonts w:ascii="Arial" w:eastAsia="Times New Roman" w:hAnsi="Arial"/>
          <w:b/>
          <w:bCs/>
          <w:sz w:val="22"/>
          <w:szCs w:val="24"/>
        </w:rPr>
        <w:t>LEVEL 4</w:t>
      </w:r>
    </w:p>
    <w:p w14:paraId="10854C1C" w14:textId="77777777" w:rsidR="00204363" w:rsidRPr="00204363" w:rsidRDefault="00204363" w:rsidP="00204363">
      <w:pPr>
        <w:spacing w:line="240" w:lineRule="auto"/>
        <w:jc w:val="center"/>
        <w:rPr>
          <w:rFonts w:ascii="Arial" w:eastAsia="Times New Roman" w:hAnsi="Arial"/>
          <w:sz w:val="22"/>
          <w:szCs w:val="24"/>
        </w:rPr>
      </w:pPr>
    </w:p>
    <w:p w14:paraId="64C58DB6" w14:textId="77777777" w:rsidR="00204363" w:rsidRPr="00204363" w:rsidRDefault="00204363" w:rsidP="00204363">
      <w:pPr>
        <w:spacing w:line="240" w:lineRule="auto"/>
        <w:rPr>
          <w:rFonts w:ascii="Arial" w:eastAsia="Times New Roman" w:hAnsi="Arial" w:cs="Arial"/>
          <w:sz w:val="22"/>
          <w:szCs w:val="22"/>
        </w:rPr>
      </w:pPr>
      <w:r w:rsidRPr="00204363">
        <w:rPr>
          <w:rFonts w:ascii="Arial" w:eastAsia="Times New Roman" w:hAnsi="Arial"/>
          <w:sz w:val="22"/>
          <w:szCs w:val="24"/>
        </w:rPr>
        <w:t>Mazda Australia Pty Ltd (ACN 004 690 804) (</w:t>
      </w:r>
      <w:r w:rsidRPr="00204363">
        <w:rPr>
          <w:rFonts w:ascii="Arial" w:eastAsia="Times New Roman" w:hAnsi="Arial"/>
          <w:b/>
          <w:bCs/>
          <w:sz w:val="22"/>
          <w:szCs w:val="24"/>
        </w:rPr>
        <w:t>Mazda</w:t>
      </w:r>
      <w:r w:rsidRPr="00204363">
        <w:rPr>
          <w:rFonts w:ascii="Arial" w:eastAsia="Times New Roman" w:hAnsi="Arial"/>
          <w:sz w:val="22"/>
          <w:szCs w:val="24"/>
        </w:rPr>
        <w:t xml:space="preserve">) will implement the following requirements into its competition and consumer </w:t>
      </w:r>
      <w:r w:rsidRPr="00204363">
        <w:rPr>
          <w:rFonts w:ascii="Arial" w:eastAsia="Times New Roman" w:hAnsi="Arial" w:cs="Arial"/>
          <w:sz w:val="22"/>
          <w:szCs w:val="22"/>
        </w:rPr>
        <w:t>compliance program (</w:t>
      </w:r>
      <w:r w:rsidRPr="00204363">
        <w:rPr>
          <w:rFonts w:ascii="Arial" w:eastAsia="Times New Roman" w:hAnsi="Arial" w:cs="Arial"/>
          <w:b/>
          <w:bCs/>
          <w:sz w:val="22"/>
          <w:szCs w:val="22"/>
        </w:rPr>
        <w:t>Compliance Program</w:t>
      </w:r>
      <w:r w:rsidRPr="00204363">
        <w:rPr>
          <w:rFonts w:ascii="Arial" w:eastAsia="Times New Roman" w:hAnsi="Arial" w:cs="Arial"/>
          <w:sz w:val="22"/>
          <w:szCs w:val="22"/>
        </w:rPr>
        <w:t>):</w:t>
      </w:r>
    </w:p>
    <w:p w14:paraId="09DA5A29" w14:textId="77777777" w:rsidR="00204363" w:rsidRPr="00204363" w:rsidRDefault="00204363" w:rsidP="00204363">
      <w:pPr>
        <w:spacing w:line="240" w:lineRule="auto"/>
        <w:rPr>
          <w:rFonts w:ascii="Arial" w:eastAsia="Times New Roman" w:hAnsi="Arial" w:cs="Arial"/>
          <w:b/>
          <w:bCs/>
          <w:sz w:val="22"/>
          <w:szCs w:val="22"/>
          <w:lang w:eastAsia="en-AU"/>
        </w:rPr>
      </w:pPr>
    </w:p>
    <w:p w14:paraId="18C17E9C" w14:textId="77777777" w:rsidR="00204363" w:rsidRPr="00204363" w:rsidRDefault="00204363" w:rsidP="00204363">
      <w:pPr>
        <w:spacing w:line="240" w:lineRule="auto"/>
        <w:ind w:left="1980"/>
        <w:rPr>
          <w:rFonts w:ascii="Arial" w:eastAsia="Times New Roman" w:hAnsi="Arial"/>
          <w:sz w:val="22"/>
          <w:szCs w:val="24"/>
        </w:rPr>
      </w:pPr>
    </w:p>
    <w:p w14:paraId="5222E47D" w14:textId="77777777" w:rsidR="00204363" w:rsidRPr="00204363" w:rsidRDefault="00204363" w:rsidP="00204363">
      <w:pPr>
        <w:spacing w:line="240" w:lineRule="auto"/>
        <w:rPr>
          <w:rFonts w:ascii="Arial" w:eastAsia="Times New Roman" w:hAnsi="Arial"/>
          <w:b/>
          <w:bCs/>
          <w:sz w:val="22"/>
          <w:szCs w:val="24"/>
        </w:rPr>
      </w:pPr>
      <w:r w:rsidRPr="00204363">
        <w:rPr>
          <w:rFonts w:ascii="Arial" w:eastAsia="Times New Roman" w:hAnsi="Arial"/>
          <w:b/>
          <w:bCs/>
          <w:sz w:val="22"/>
          <w:szCs w:val="24"/>
        </w:rPr>
        <w:t>Complaints Handling System</w:t>
      </w:r>
    </w:p>
    <w:p w14:paraId="1FA463A2" w14:textId="77777777" w:rsidR="00204363" w:rsidRPr="00204363" w:rsidRDefault="00204363" w:rsidP="00204363">
      <w:pPr>
        <w:spacing w:line="240" w:lineRule="auto"/>
        <w:ind w:left="900"/>
        <w:rPr>
          <w:rFonts w:ascii="Arial" w:eastAsia="Times New Roman" w:hAnsi="Arial"/>
          <w:sz w:val="22"/>
          <w:szCs w:val="24"/>
        </w:rPr>
      </w:pPr>
    </w:p>
    <w:p w14:paraId="008EF7A0" w14:textId="3FED3E47" w:rsidR="00204363" w:rsidRPr="00204363" w:rsidRDefault="007C3488" w:rsidP="007C3488">
      <w:pPr>
        <w:tabs>
          <w:tab w:val="left" w:pos="360"/>
        </w:tabs>
        <w:spacing w:line="240" w:lineRule="auto"/>
        <w:ind w:left="360" w:hanging="360"/>
        <w:jc w:val="left"/>
        <w:rPr>
          <w:rFonts w:ascii="Arial" w:eastAsia="Times New Roman" w:hAnsi="Arial"/>
          <w:sz w:val="22"/>
          <w:szCs w:val="24"/>
        </w:rPr>
      </w:pPr>
      <w:bookmarkStart w:id="24" w:name="_Ref158708118"/>
      <w:r w:rsidRPr="00204363">
        <w:rPr>
          <w:rFonts w:ascii="Arial" w:eastAsia="Times New Roman" w:hAnsi="Arial"/>
          <w:sz w:val="22"/>
          <w:szCs w:val="24"/>
        </w:rPr>
        <w:t>1.</w:t>
      </w:r>
      <w:r w:rsidRPr="00204363">
        <w:rPr>
          <w:rFonts w:ascii="Arial" w:eastAsia="Times New Roman" w:hAnsi="Arial"/>
          <w:sz w:val="22"/>
          <w:szCs w:val="24"/>
        </w:rPr>
        <w:tab/>
      </w:r>
      <w:r w:rsidR="00204363" w:rsidRPr="00204363">
        <w:rPr>
          <w:rFonts w:ascii="Arial" w:eastAsia="Times New Roman" w:hAnsi="Arial"/>
          <w:sz w:val="22"/>
          <w:szCs w:val="24"/>
        </w:rPr>
        <w:t xml:space="preserve">Within two months </w:t>
      </w:r>
      <w:r w:rsidR="00204363" w:rsidRPr="005A3E90">
        <w:rPr>
          <w:rFonts w:ascii="Arial" w:eastAsia="Times New Roman" w:hAnsi="Arial"/>
          <w:sz w:val="22"/>
          <w:szCs w:val="24"/>
        </w:rPr>
        <w:t>of the</w:t>
      </w:r>
      <w:r w:rsidR="00FE4AF2" w:rsidRPr="005A3E90">
        <w:rPr>
          <w:rFonts w:ascii="Arial" w:eastAsia="Times New Roman" w:hAnsi="Arial"/>
          <w:sz w:val="22"/>
          <w:szCs w:val="24"/>
        </w:rPr>
        <w:t xml:space="preserve"> </w:t>
      </w:r>
      <w:r w:rsidR="00747392" w:rsidRPr="005A3E90">
        <w:rPr>
          <w:rFonts w:ascii="Arial" w:eastAsia="Times New Roman" w:hAnsi="Arial"/>
          <w:sz w:val="22"/>
          <w:szCs w:val="24"/>
        </w:rPr>
        <w:t>orders of the Federal Court of Australia dated 14 February 2024</w:t>
      </w:r>
      <w:r w:rsidR="00204363" w:rsidRPr="00204363">
        <w:rPr>
          <w:rFonts w:ascii="Arial" w:eastAsia="Times New Roman" w:hAnsi="Arial"/>
          <w:sz w:val="22"/>
          <w:szCs w:val="24"/>
        </w:rPr>
        <w:t xml:space="preserve"> </w:t>
      </w:r>
      <w:r w:rsidR="00747392">
        <w:rPr>
          <w:rFonts w:ascii="Arial" w:eastAsia="Times New Roman" w:hAnsi="Arial"/>
          <w:sz w:val="22"/>
          <w:szCs w:val="24"/>
        </w:rPr>
        <w:t>(</w:t>
      </w:r>
      <w:r w:rsidR="00204363" w:rsidRPr="00747392">
        <w:rPr>
          <w:rFonts w:ascii="Arial" w:eastAsia="Times New Roman" w:hAnsi="Arial"/>
          <w:b/>
          <w:bCs/>
          <w:sz w:val="22"/>
          <w:szCs w:val="24"/>
        </w:rPr>
        <w:t>Commencement Date</w:t>
      </w:r>
      <w:r w:rsidR="00747392">
        <w:rPr>
          <w:rFonts w:ascii="Arial" w:eastAsia="Times New Roman" w:hAnsi="Arial"/>
          <w:sz w:val="22"/>
          <w:szCs w:val="24"/>
        </w:rPr>
        <w:t>)</w:t>
      </w:r>
      <w:r w:rsidR="00204363" w:rsidRPr="00204363">
        <w:rPr>
          <w:rFonts w:ascii="Arial" w:eastAsia="Times New Roman" w:hAnsi="Arial"/>
          <w:sz w:val="22"/>
          <w:szCs w:val="24"/>
        </w:rPr>
        <w:t xml:space="preserve">, Mazda will develop and implement procedures for identifying, classifying, </w:t>
      </w:r>
      <w:proofErr w:type="gramStart"/>
      <w:r w:rsidR="00204363" w:rsidRPr="00204363">
        <w:rPr>
          <w:rFonts w:ascii="Arial" w:eastAsia="Times New Roman" w:hAnsi="Arial"/>
          <w:sz w:val="22"/>
          <w:szCs w:val="24"/>
        </w:rPr>
        <w:t>storing</w:t>
      </w:r>
      <w:proofErr w:type="gramEnd"/>
      <w:r w:rsidR="00204363" w:rsidRPr="00204363">
        <w:rPr>
          <w:rFonts w:ascii="Arial" w:eastAsia="Times New Roman" w:hAnsi="Arial"/>
          <w:sz w:val="22"/>
          <w:szCs w:val="24"/>
        </w:rPr>
        <w:t xml:space="preserve"> and responding to competition and consumer law complaints (</w:t>
      </w:r>
      <w:r w:rsidR="00204363" w:rsidRPr="00204363">
        <w:rPr>
          <w:rFonts w:ascii="Arial" w:eastAsia="Times New Roman" w:hAnsi="Arial"/>
          <w:b/>
          <w:sz w:val="22"/>
          <w:szCs w:val="24"/>
        </w:rPr>
        <w:t>Complaints Handling System</w:t>
      </w:r>
      <w:r w:rsidR="00204363" w:rsidRPr="00204363">
        <w:rPr>
          <w:rFonts w:ascii="Arial" w:eastAsia="Times New Roman" w:hAnsi="Arial"/>
          <w:sz w:val="22"/>
          <w:szCs w:val="24"/>
        </w:rPr>
        <w:t>).</w:t>
      </w:r>
      <w:bookmarkEnd w:id="24"/>
    </w:p>
    <w:p w14:paraId="07BE6A54" w14:textId="77777777" w:rsidR="00204363" w:rsidRPr="00204363" w:rsidRDefault="00204363" w:rsidP="00204363">
      <w:pPr>
        <w:spacing w:line="240" w:lineRule="auto"/>
        <w:rPr>
          <w:rFonts w:ascii="Arial" w:eastAsia="Times New Roman" w:hAnsi="Arial"/>
          <w:sz w:val="22"/>
          <w:szCs w:val="24"/>
        </w:rPr>
      </w:pPr>
    </w:p>
    <w:p w14:paraId="2F01CAA5" w14:textId="7E1B987A" w:rsidR="00204363" w:rsidRPr="00204363" w:rsidRDefault="007C3488" w:rsidP="007C3488">
      <w:pPr>
        <w:tabs>
          <w:tab w:val="left" w:pos="360"/>
        </w:tabs>
        <w:spacing w:line="240" w:lineRule="auto"/>
        <w:ind w:left="360" w:hanging="360"/>
        <w:contextualSpacing/>
        <w:jc w:val="left"/>
        <w:rPr>
          <w:rFonts w:ascii="Arial" w:eastAsia="Times New Roman" w:hAnsi="Arial"/>
          <w:sz w:val="22"/>
          <w:szCs w:val="24"/>
        </w:rPr>
      </w:pPr>
      <w:bookmarkStart w:id="25" w:name="_Hlk128581932"/>
      <w:r w:rsidRPr="00204363">
        <w:rPr>
          <w:rFonts w:ascii="Arial" w:eastAsia="Times New Roman" w:hAnsi="Arial"/>
          <w:sz w:val="22"/>
          <w:szCs w:val="24"/>
        </w:rPr>
        <w:t>2.</w:t>
      </w:r>
      <w:r w:rsidRPr="00204363">
        <w:rPr>
          <w:rFonts w:ascii="Arial" w:eastAsia="Times New Roman" w:hAnsi="Arial"/>
          <w:sz w:val="22"/>
          <w:szCs w:val="24"/>
        </w:rPr>
        <w:tab/>
      </w:r>
      <w:r w:rsidR="00204363" w:rsidRPr="00204363">
        <w:rPr>
          <w:rFonts w:ascii="Arial" w:eastAsia="Times New Roman" w:hAnsi="Arial"/>
          <w:sz w:val="22"/>
          <w:szCs w:val="24"/>
        </w:rPr>
        <w:t xml:space="preserve">Mazda will use its best endeavours to ensure the Complaints Handling System is consistent with the Australian/New Zealand Standard </w:t>
      </w:r>
      <w:r w:rsidR="00204363" w:rsidRPr="00204363">
        <w:rPr>
          <w:rFonts w:ascii="Arial" w:eastAsia="Times New Roman" w:hAnsi="Arial"/>
          <w:b/>
          <w:bCs/>
          <w:i/>
          <w:iCs/>
          <w:color w:val="000000"/>
          <w:sz w:val="22"/>
          <w:szCs w:val="24"/>
        </w:rPr>
        <w:t xml:space="preserve">AS/NZS 10002:2022 </w:t>
      </w:r>
      <w:r w:rsidR="00204363" w:rsidRPr="00204363">
        <w:rPr>
          <w:rFonts w:ascii="Arial" w:eastAsia="Times New Roman" w:hAnsi="Arial"/>
          <w:b/>
          <w:bCs/>
          <w:i/>
          <w:iCs/>
          <w:color w:val="000000"/>
          <w:kern w:val="36"/>
          <w:sz w:val="22"/>
          <w:szCs w:val="24"/>
        </w:rPr>
        <w:t xml:space="preserve">Guidelines for complaint management in organizations, </w:t>
      </w:r>
      <w:r w:rsidR="00204363" w:rsidRPr="00204363">
        <w:rPr>
          <w:rFonts w:ascii="Arial" w:eastAsia="Times New Roman" w:hAnsi="Arial"/>
          <w:sz w:val="22"/>
          <w:szCs w:val="24"/>
        </w:rPr>
        <w:t xml:space="preserve">as in force or existing at the Commencement Date, tailored as required to Mazda’s circumstances. </w:t>
      </w:r>
    </w:p>
    <w:bookmarkEnd w:id="25"/>
    <w:p w14:paraId="72C7EEC6" w14:textId="77777777" w:rsidR="00204363" w:rsidRPr="00204363" w:rsidRDefault="00204363" w:rsidP="00204363">
      <w:pPr>
        <w:spacing w:line="240" w:lineRule="auto"/>
        <w:ind w:left="360"/>
        <w:rPr>
          <w:rFonts w:ascii="Arial" w:eastAsia="Times New Roman" w:hAnsi="Arial"/>
          <w:sz w:val="22"/>
          <w:szCs w:val="24"/>
        </w:rPr>
      </w:pPr>
    </w:p>
    <w:p w14:paraId="7B20076B" w14:textId="39549D19" w:rsidR="00204363" w:rsidRPr="00204363" w:rsidRDefault="007C3488" w:rsidP="007C3488">
      <w:pPr>
        <w:tabs>
          <w:tab w:val="left" w:pos="360"/>
        </w:tabs>
        <w:spacing w:line="240" w:lineRule="auto"/>
        <w:ind w:left="360" w:hanging="360"/>
        <w:jc w:val="left"/>
        <w:rPr>
          <w:rFonts w:ascii="Arial" w:eastAsia="Times New Roman" w:hAnsi="Arial"/>
          <w:sz w:val="22"/>
          <w:szCs w:val="24"/>
        </w:rPr>
      </w:pPr>
      <w:r w:rsidRPr="00204363">
        <w:rPr>
          <w:rFonts w:ascii="Arial" w:eastAsia="Times New Roman" w:hAnsi="Arial"/>
          <w:sz w:val="22"/>
          <w:szCs w:val="24"/>
        </w:rPr>
        <w:t>3.</w:t>
      </w:r>
      <w:r w:rsidRPr="00204363">
        <w:rPr>
          <w:rFonts w:ascii="Arial" w:eastAsia="Times New Roman" w:hAnsi="Arial"/>
          <w:sz w:val="22"/>
          <w:szCs w:val="24"/>
        </w:rPr>
        <w:tab/>
      </w:r>
      <w:r w:rsidR="00204363" w:rsidRPr="00204363">
        <w:rPr>
          <w:rFonts w:ascii="Arial" w:eastAsia="Times New Roman" w:hAnsi="Arial"/>
          <w:sz w:val="22"/>
          <w:szCs w:val="24"/>
        </w:rPr>
        <w:t>Mazda will ensure that staff and customers are made aware of the Complaints Handling System.</w:t>
      </w:r>
    </w:p>
    <w:p w14:paraId="16C9823E" w14:textId="77777777" w:rsidR="00204363" w:rsidRPr="00204363" w:rsidRDefault="00204363" w:rsidP="00204363">
      <w:pPr>
        <w:spacing w:line="240" w:lineRule="auto"/>
        <w:rPr>
          <w:rFonts w:ascii="Arial" w:eastAsia="Times New Roman" w:hAnsi="Arial"/>
          <w:sz w:val="22"/>
          <w:szCs w:val="24"/>
        </w:rPr>
      </w:pPr>
    </w:p>
    <w:p w14:paraId="4B964D6E" w14:textId="77777777" w:rsidR="00204363" w:rsidRPr="00204363" w:rsidRDefault="00204363" w:rsidP="00204363">
      <w:pPr>
        <w:spacing w:line="240" w:lineRule="auto"/>
        <w:rPr>
          <w:rFonts w:ascii="Arial" w:eastAsia="Times New Roman" w:hAnsi="Arial"/>
          <w:b/>
          <w:sz w:val="22"/>
          <w:szCs w:val="24"/>
        </w:rPr>
      </w:pPr>
      <w:r w:rsidRPr="00204363">
        <w:rPr>
          <w:rFonts w:ascii="Arial" w:eastAsia="Times New Roman" w:hAnsi="Arial"/>
          <w:b/>
          <w:sz w:val="22"/>
          <w:szCs w:val="24"/>
        </w:rPr>
        <w:t>Whistleblower Protection</w:t>
      </w:r>
    </w:p>
    <w:p w14:paraId="602544AF" w14:textId="77777777" w:rsidR="00204363" w:rsidRPr="00204363" w:rsidRDefault="00204363" w:rsidP="00204363">
      <w:pPr>
        <w:spacing w:line="240" w:lineRule="auto"/>
        <w:rPr>
          <w:rFonts w:ascii="Arial" w:eastAsia="Times New Roman" w:hAnsi="Arial"/>
          <w:sz w:val="22"/>
          <w:szCs w:val="24"/>
        </w:rPr>
      </w:pPr>
    </w:p>
    <w:p w14:paraId="10C8D19B" w14:textId="1B76D84C" w:rsidR="00204363" w:rsidRPr="00204363" w:rsidRDefault="007C3488" w:rsidP="007C3488">
      <w:pPr>
        <w:tabs>
          <w:tab w:val="left" w:pos="360"/>
        </w:tabs>
        <w:spacing w:line="240" w:lineRule="auto"/>
        <w:ind w:left="360" w:hanging="360"/>
        <w:jc w:val="left"/>
        <w:rPr>
          <w:rFonts w:ascii="Arial" w:eastAsia="Times New Roman" w:hAnsi="Arial"/>
          <w:sz w:val="22"/>
          <w:szCs w:val="24"/>
        </w:rPr>
      </w:pPr>
      <w:r w:rsidRPr="00204363">
        <w:rPr>
          <w:rFonts w:ascii="Arial" w:eastAsia="Times New Roman" w:hAnsi="Arial"/>
          <w:sz w:val="22"/>
          <w:szCs w:val="24"/>
        </w:rPr>
        <w:t>4.</w:t>
      </w:r>
      <w:r w:rsidRPr="00204363">
        <w:rPr>
          <w:rFonts w:ascii="Arial" w:eastAsia="Times New Roman" w:hAnsi="Arial"/>
          <w:sz w:val="22"/>
          <w:szCs w:val="24"/>
        </w:rPr>
        <w:tab/>
      </w:r>
      <w:r w:rsidR="00204363" w:rsidRPr="00204363">
        <w:rPr>
          <w:rFonts w:ascii="Arial" w:eastAsia="Times New Roman" w:hAnsi="Arial"/>
          <w:sz w:val="22"/>
          <w:szCs w:val="24"/>
        </w:rPr>
        <w:t xml:space="preserve"> </w:t>
      </w:r>
      <w:bookmarkStart w:id="26" w:name="_Ref158708147"/>
      <w:r w:rsidR="00204363" w:rsidRPr="00204363">
        <w:rPr>
          <w:rFonts w:ascii="Arial" w:eastAsia="Times New Roman" w:hAnsi="Arial"/>
          <w:sz w:val="22"/>
          <w:szCs w:val="24"/>
        </w:rPr>
        <w:t>Mazda will:</w:t>
      </w:r>
      <w:bookmarkEnd w:id="26"/>
    </w:p>
    <w:p w14:paraId="031DED98" w14:textId="77777777" w:rsidR="00204363" w:rsidRPr="00204363" w:rsidRDefault="00204363" w:rsidP="00204363">
      <w:pPr>
        <w:spacing w:line="240" w:lineRule="auto"/>
        <w:ind w:left="360"/>
        <w:rPr>
          <w:rFonts w:ascii="Arial" w:eastAsia="Times New Roman" w:hAnsi="Arial"/>
          <w:sz w:val="22"/>
          <w:szCs w:val="24"/>
        </w:rPr>
      </w:pPr>
    </w:p>
    <w:p w14:paraId="2E30A23B" w14:textId="4E8D3D55" w:rsidR="00204363" w:rsidRPr="00204363" w:rsidRDefault="007C3488" w:rsidP="007C3488">
      <w:pPr>
        <w:tabs>
          <w:tab w:val="left" w:pos="1283"/>
        </w:tabs>
        <w:spacing w:line="240" w:lineRule="auto"/>
        <w:ind w:left="1134" w:hanging="567"/>
        <w:jc w:val="left"/>
        <w:rPr>
          <w:rFonts w:ascii="Arial" w:eastAsia="Times New Roman" w:hAnsi="Arial"/>
          <w:sz w:val="22"/>
          <w:szCs w:val="24"/>
        </w:rPr>
      </w:pPr>
      <w:r w:rsidRPr="00204363">
        <w:rPr>
          <w:rFonts w:ascii="Arial" w:eastAsia="Times New Roman" w:hAnsi="Arial"/>
          <w:sz w:val="22"/>
          <w:szCs w:val="24"/>
        </w:rPr>
        <w:t>4.1.</w:t>
      </w:r>
      <w:r w:rsidRPr="00204363">
        <w:rPr>
          <w:rFonts w:ascii="Arial" w:eastAsia="Times New Roman" w:hAnsi="Arial"/>
          <w:sz w:val="22"/>
          <w:szCs w:val="24"/>
        </w:rPr>
        <w:tab/>
      </w:r>
      <w:r w:rsidR="00204363" w:rsidRPr="00204363">
        <w:rPr>
          <w:rFonts w:ascii="Arial" w:eastAsia="Times New Roman" w:hAnsi="Arial"/>
          <w:sz w:val="22"/>
          <w:szCs w:val="24"/>
        </w:rPr>
        <w:t xml:space="preserve">ensure that it has whistleblower protection mechanisms to protect those coming forward with competition and consumer law complaints. </w:t>
      </w:r>
    </w:p>
    <w:p w14:paraId="1ACC8C40" w14:textId="77777777" w:rsidR="00204363" w:rsidRPr="00204363" w:rsidRDefault="00204363" w:rsidP="00204363">
      <w:pPr>
        <w:spacing w:line="240" w:lineRule="auto"/>
        <w:ind w:left="1134" w:hanging="567"/>
        <w:rPr>
          <w:rFonts w:ascii="Arial" w:eastAsia="Times New Roman" w:hAnsi="Arial"/>
          <w:sz w:val="22"/>
          <w:szCs w:val="24"/>
        </w:rPr>
      </w:pPr>
    </w:p>
    <w:p w14:paraId="33CA4AE5" w14:textId="43448C8C" w:rsidR="00204363" w:rsidRPr="00CB23A6" w:rsidRDefault="007C3488" w:rsidP="007C3488">
      <w:pPr>
        <w:tabs>
          <w:tab w:val="left" w:pos="1283"/>
        </w:tabs>
        <w:spacing w:line="240" w:lineRule="auto"/>
        <w:ind w:left="1134" w:hanging="567"/>
        <w:jc w:val="left"/>
        <w:rPr>
          <w:rFonts w:ascii="Arial" w:eastAsia="Times New Roman" w:hAnsi="Arial"/>
          <w:sz w:val="22"/>
          <w:szCs w:val="24"/>
        </w:rPr>
      </w:pPr>
      <w:bookmarkStart w:id="27" w:name="_Ref150851626"/>
      <w:r w:rsidRPr="00CB23A6">
        <w:rPr>
          <w:rFonts w:ascii="Arial" w:eastAsia="Times New Roman" w:hAnsi="Arial"/>
          <w:sz w:val="22"/>
          <w:szCs w:val="24"/>
        </w:rPr>
        <w:t>4.2.</w:t>
      </w:r>
      <w:r w:rsidRPr="00CB23A6">
        <w:rPr>
          <w:rFonts w:ascii="Arial" w:eastAsia="Times New Roman" w:hAnsi="Arial"/>
          <w:sz w:val="22"/>
          <w:szCs w:val="24"/>
        </w:rPr>
        <w:tab/>
      </w:r>
      <w:r w:rsidR="00204363" w:rsidRPr="00204363">
        <w:rPr>
          <w:rFonts w:ascii="Arial" w:eastAsia="Times New Roman" w:hAnsi="Arial"/>
          <w:sz w:val="22"/>
          <w:szCs w:val="24"/>
        </w:rPr>
        <w:t xml:space="preserve">use its best endeavours to ensure that these mechanisms are consistent with good practice guidance identified in </w:t>
      </w:r>
      <w:r w:rsidR="00204363" w:rsidRPr="00204363">
        <w:rPr>
          <w:rFonts w:ascii="Arial" w:eastAsia="Times New Roman" w:hAnsi="Arial"/>
          <w:b/>
          <w:bCs/>
          <w:i/>
          <w:iCs/>
          <w:sz w:val="22"/>
          <w:szCs w:val="24"/>
        </w:rPr>
        <w:t>ASIC Regulatory Guide 270: Whistleblower policies</w:t>
      </w:r>
      <w:r w:rsidR="00204363" w:rsidRPr="00204363">
        <w:rPr>
          <w:rFonts w:ascii="Arial" w:eastAsia="Times New Roman" w:hAnsi="Arial"/>
          <w:sz w:val="22"/>
          <w:szCs w:val="24"/>
        </w:rPr>
        <w:t>, as in force or existing at the Commencement Date, tailored as required to Mazda’s circumstances.</w:t>
      </w:r>
      <w:bookmarkEnd w:id="27"/>
      <w:r w:rsidR="008D6151" w:rsidRPr="00CB23A6">
        <w:rPr>
          <w:rFonts w:ascii="Arial" w:eastAsia="Times New Roman" w:hAnsi="Arial"/>
          <w:sz w:val="22"/>
          <w:szCs w:val="24"/>
        </w:rPr>
        <w:br/>
      </w:r>
    </w:p>
    <w:p w14:paraId="72A7F8DF" w14:textId="77777777" w:rsidR="00204363" w:rsidRPr="00204363" w:rsidRDefault="00204363" w:rsidP="00204363">
      <w:pPr>
        <w:spacing w:line="240" w:lineRule="auto"/>
        <w:rPr>
          <w:rFonts w:ascii="Arial" w:eastAsia="Times New Roman" w:hAnsi="Arial"/>
          <w:b/>
          <w:bCs/>
          <w:sz w:val="22"/>
          <w:szCs w:val="24"/>
        </w:rPr>
      </w:pPr>
      <w:r w:rsidRPr="00204363">
        <w:rPr>
          <w:rFonts w:ascii="Arial" w:eastAsia="Times New Roman" w:hAnsi="Arial"/>
          <w:b/>
          <w:bCs/>
          <w:sz w:val="22"/>
          <w:szCs w:val="24"/>
        </w:rPr>
        <w:t>Compliance Review</w:t>
      </w:r>
    </w:p>
    <w:p w14:paraId="3103805E" w14:textId="77777777" w:rsidR="00204363" w:rsidRPr="00204363" w:rsidRDefault="00204363" w:rsidP="00204363">
      <w:pPr>
        <w:spacing w:line="240" w:lineRule="auto"/>
        <w:rPr>
          <w:rFonts w:ascii="Arial" w:eastAsia="Times New Roman" w:hAnsi="Arial"/>
          <w:sz w:val="22"/>
          <w:szCs w:val="24"/>
        </w:rPr>
      </w:pPr>
    </w:p>
    <w:p w14:paraId="6E606BA4" w14:textId="400963C0" w:rsidR="00204363" w:rsidRPr="00204363" w:rsidRDefault="007C3488" w:rsidP="007C3488">
      <w:pPr>
        <w:tabs>
          <w:tab w:val="left" w:pos="360"/>
        </w:tabs>
        <w:spacing w:line="240" w:lineRule="auto"/>
        <w:ind w:left="360" w:hanging="360"/>
        <w:jc w:val="left"/>
        <w:rPr>
          <w:rFonts w:ascii="Arial" w:eastAsia="Times New Roman" w:hAnsi="Arial"/>
          <w:sz w:val="22"/>
          <w:szCs w:val="24"/>
        </w:rPr>
      </w:pPr>
      <w:r w:rsidRPr="00204363">
        <w:rPr>
          <w:rFonts w:ascii="Arial" w:eastAsia="Times New Roman" w:hAnsi="Arial"/>
          <w:sz w:val="22"/>
          <w:szCs w:val="24"/>
        </w:rPr>
        <w:t>5.</w:t>
      </w:r>
      <w:r w:rsidRPr="00204363">
        <w:rPr>
          <w:rFonts w:ascii="Arial" w:eastAsia="Times New Roman" w:hAnsi="Arial"/>
          <w:sz w:val="22"/>
          <w:szCs w:val="24"/>
        </w:rPr>
        <w:tab/>
      </w:r>
      <w:r w:rsidR="00204363" w:rsidRPr="00204363">
        <w:rPr>
          <w:rFonts w:ascii="Arial" w:eastAsia="Times New Roman" w:hAnsi="Arial"/>
          <w:sz w:val="22"/>
          <w:szCs w:val="24"/>
        </w:rPr>
        <w:t>Within one year of the Compliance Program coming into effect, Mazda will, at its own expense, cause an annual review of the Compliance Program (</w:t>
      </w:r>
      <w:r w:rsidR="00204363" w:rsidRPr="00204363">
        <w:rPr>
          <w:rFonts w:ascii="Arial" w:eastAsia="Times New Roman" w:hAnsi="Arial"/>
          <w:b/>
          <w:bCs/>
          <w:sz w:val="22"/>
          <w:szCs w:val="24"/>
        </w:rPr>
        <w:t>Review</w:t>
      </w:r>
      <w:r w:rsidR="00204363" w:rsidRPr="00204363">
        <w:rPr>
          <w:rFonts w:ascii="Arial" w:eastAsia="Times New Roman" w:hAnsi="Arial"/>
          <w:sz w:val="22"/>
          <w:szCs w:val="24"/>
        </w:rPr>
        <w:t>) to be carried out in accordance with each of the following requirements:</w:t>
      </w:r>
    </w:p>
    <w:p w14:paraId="040E5616" w14:textId="77777777" w:rsidR="00204363" w:rsidRPr="00204363" w:rsidRDefault="00204363" w:rsidP="00204363">
      <w:pPr>
        <w:spacing w:line="240" w:lineRule="auto"/>
        <w:rPr>
          <w:rFonts w:ascii="Arial" w:eastAsia="Times New Roman" w:hAnsi="Arial"/>
          <w:sz w:val="22"/>
          <w:szCs w:val="24"/>
        </w:rPr>
      </w:pPr>
    </w:p>
    <w:p w14:paraId="350945DC" w14:textId="3A6E99A7" w:rsidR="00204363" w:rsidRPr="00204363" w:rsidRDefault="007C3488" w:rsidP="007C3488">
      <w:pPr>
        <w:tabs>
          <w:tab w:val="left" w:pos="1283"/>
        </w:tabs>
        <w:spacing w:line="240" w:lineRule="auto"/>
        <w:ind w:left="1134" w:hanging="567"/>
        <w:jc w:val="left"/>
        <w:rPr>
          <w:rFonts w:ascii="Arial" w:eastAsia="Times New Roman" w:hAnsi="Arial"/>
          <w:sz w:val="22"/>
          <w:szCs w:val="24"/>
        </w:rPr>
      </w:pPr>
      <w:r w:rsidRPr="00204363">
        <w:rPr>
          <w:rFonts w:ascii="Arial" w:eastAsia="Times New Roman" w:hAnsi="Arial"/>
          <w:sz w:val="22"/>
          <w:szCs w:val="24"/>
        </w:rPr>
        <w:t>5.1.</w:t>
      </w:r>
      <w:r w:rsidRPr="00204363">
        <w:rPr>
          <w:rFonts w:ascii="Arial" w:eastAsia="Times New Roman" w:hAnsi="Arial"/>
          <w:sz w:val="22"/>
          <w:szCs w:val="24"/>
        </w:rPr>
        <w:tab/>
      </w:r>
      <w:r w:rsidR="00204363" w:rsidRPr="00204363">
        <w:rPr>
          <w:rFonts w:ascii="Arial" w:eastAsia="Times New Roman" w:hAnsi="Arial"/>
          <w:b/>
          <w:bCs/>
          <w:sz w:val="22"/>
          <w:szCs w:val="24"/>
        </w:rPr>
        <w:t xml:space="preserve">Scope of Review </w:t>
      </w:r>
      <w:r w:rsidR="00204363" w:rsidRPr="00204363">
        <w:rPr>
          <w:rFonts w:ascii="Arial" w:eastAsia="Times New Roman" w:hAnsi="Arial"/>
          <w:sz w:val="22"/>
          <w:szCs w:val="24"/>
        </w:rPr>
        <w:t>– the Review should be broad and rigorous enough to provide Mazda and the ACCC with:</w:t>
      </w:r>
    </w:p>
    <w:p w14:paraId="3FC9E7C8" w14:textId="77777777" w:rsidR="00204363" w:rsidRPr="00204363" w:rsidRDefault="00204363" w:rsidP="00204363">
      <w:pPr>
        <w:spacing w:line="240" w:lineRule="auto"/>
        <w:ind w:left="792"/>
        <w:rPr>
          <w:rFonts w:ascii="Arial" w:eastAsia="Times New Roman" w:hAnsi="Arial"/>
          <w:sz w:val="22"/>
          <w:szCs w:val="24"/>
        </w:rPr>
      </w:pPr>
    </w:p>
    <w:p w14:paraId="3FCDBBD9" w14:textId="5BFAAA92" w:rsidR="00204363" w:rsidRPr="00204363" w:rsidRDefault="007C3488" w:rsidP="007C3488">
      <w:pPr>
        <w:tabs>
          <w:tab w:val="left" w:pos="2325"/>
        </w:tabs>
        <w:spacing w:line="240" w:lineRule="auto"/>
        <w:ind w:left="2268" w:hanging="850"/>
        <w:jc w:val="left"/>
        <w:rPr>
          <w:rFonts w:ascii="Arial" w:eastAsia="Times New Roman" w:hAnsi="Arial"/>
          <w:sz w:val="22"/>
          <w:szCs w:val="24"/>
        </w:rPr>
      </w:pPr>
      <w:r w:rsidRPr="00204363">
        <w:rPr>
          <w:rFonts w:ascii="Arial" w:eastAsia="Times New Roman" w:hAnsi="Arial"/>
          <w:sz w:val="22"/>
          <w:szCs w:val="24"/>
        </w:rPr>
        <w:t>5.1.1.</w:t>
      </w:r>
      <w:r w:rsidRPr="00204363">
        <w:rPr>
          <w:rFonts w:ascii="Arial" w:eastAsia="Times New Roman" w:hAnsi="Arial"/>
          <w:sz w:val="22"/>
          <w:szCs w:val="24"/>
        </w:rPr>
        <w:tab/>
      </w:r>
      <w:r w:rsidR="00204363" w:rsidRPr="00204363">
        <w:rPr>
          <w:rFonts w:ascii="Arial" w:eastAsia="Times New Roman" w:hAnsi="Arial"/>
          <w:sz w:val="22"/>
          <w:szCs w:val="24"/>
        </w:rPr>
        <w:t xml:space="preserve">a verification that Mazda has in place a Compliance Program that complies with each of the requirements detailed in </w:t>
      </w:r>
      <w:r w:rsidR="00204363" w:rsidRPr="005A3E90">
        <w:rPr>
          <w:rFonts w:ascii="Arial" w:eastAsia="Times New Roman" w:hAnsi="Arial"/>
          <w:sz w:val="22"/>
          <w:szCs w:val="24"/>
        </w:rPr>
        <w:t xml:space="preserve">paragraphs </w:t>
      </w:r>
      <w:r w:rsidR="00863308" w:rsidRPr="005A3E90">
        <w:rPr>
          <w:rFonts w:ascii="Arial" w:eastAsia="Times New Roman" w:hAnsi="Arial"/>
          <w:sz w:val="22"/>
          <w:szCs w:val="24"/>
        </w:rPr>
        <w:fldChar w:fldCharType="begin"/>
      </w:r>
      <w:r w:rsidR="00863308" w:rsidRPr="005A3E90">
        <w:rPr>
          <w:rFonts w:ascii="Arial" w:eastAsia="Times New Roman" w:hAnsi="Arial"/>
          <w:sz w:val="22"/>
          <w:szCs w:val="24"/>
        </w:rPr>
        <w:instrText xml:space="preserve"> REF _Ref158708118 \r \h </w:instrText>
      </w:r>
      <w:r w:rsidR="00575C16" w:rsidRPr="005A3E90">
        <w:rPr>
          <w:rFonts w:ascii="Arial" w:eastAsia="Times New Roman" w:hAnsi="Arial"/>
          <w:sz w:val="22"/>
          <w:szCs w:val="24"/>
        </w:rPr>
        <w:instrText xml:space="preserve"> \* MERGEFORMAT </w:instrText>
      </w:r>
      <w:r w:rsidR="00863308" w:rsidRPr="005A3E90">
        <w:rPr>
          <w:rFonts w:ascii="Arial" w:eastAsia="Times New Roman" w:hAnsi="Arial"/>
          <w:sz w:val="22"/>
          <w:szCs w:val="24"/>
        </w:rPr>
      </w:r>
      <w:r w:rsidR="00863308" w:rsidRPr="005A3E90">
        <w:rPr>
          <w:rFonts w:ascii="Arial" w:eastAsia="Times New Roman" w:hAnsi="Arial"/>
          <w:sz w:val="22"/>
          <w:szCs w:val="24"/>
        </w:rPr>
        <w:fldChar w:fldCharType="separate"/>
      </w:r>
      <w:r w:rsidR="00863308" w:rsidRPr="005A3E90">
        <w:rPr>
          <w:rFonts w:ascii="Arial" w:eastAsia="Times New Roman" w:hAnsi="Arial"/>
          <w:sz w:val="22"/>
          <w:szCs w:val="24"/>
        </w:rPr>
        <w:t>1</w:t>
      </w:r>
      <w:r w:rsidR="00863308" w:rsidRPr="005A3E90">
        <w:rPr>
          <w:rFonts w:ascii="Arial" w:eastAsia="Times New Roman" w:hAnsi="Arial"/>
          <w:sz w:val="22"/>
          <w:szCs w:val="24"/>
        </w:rPr>
        <w:fldChar w:fldCharType="end"/>
      </w:r>
      <w:r w:rsidR="006F629F" w:rsidRPr="005A3E90">
        <w:rPr>
          <w:rFonts w:ascii="Arial" w:eastAsia="Times New Roman" w:hAnsi="Arial"/>
          <w:sz w:val="22"/>
          <w:szCs w:val="24"/>
        </w:rPr>
        <w:t xml:space="preserve"> </w:t>
      </w:r>
      <w:r w:rsidR="00204363" w:rsidRPr="005A3E90">
        <w:rPr>
          <w:rFonts w:ascii="Arial" w:eastAsia="Times New Roman" w:hAnsi="Arial"/>
          <w:sz w:val="22"/>
          <w:szCs w:val="24"/>
        </w:rPr>
        <w:t xml:space="preserve">to </w:t>
      </w:r>
      <w:r w:rsidR="006F629F" w:rsidRPr="005A3E90">
        <w:rPr>
          <w:rFonts w:ascii="Arial" w:eastAsia="Times New Roman" w:hAnsi="Arial"/>
          <w:sz w:val="22"/>
          <w:szCs w:val="24"/>
        </w:rPr>
        <w:fldChar w:fldCharType="begin"/>
      </w:r>
      <w:r w:rsidR="006F629F" w:rsidRPr="005A3E90">
        <w:rPr>
          <w:rFonts w:ascii="Arial" w:eastAsia="Times New Roman" w:hAnsi="Arial"/>
          <w:sz w:val="22"/>
          <w:szCs w:val="24"/>
        </w:rPr>
        <w:instrText xml:space="preserve"> REF _Ref158708147 \r \h </w:instrText>
      </w:r>
      <w:r w:rsidR="00575C16" w:rsidRPr="005A3E90">
        <w:rPr>
          <w:rFonts w:ascii="Arial" w:eastAsia="Times New Roman" w:hAnsi="Arial"/>
          <w:sz w:val="22"/>
          <w:szCs w:val="24"/>
        </w:rPr>
        <w:instrText xml:space="preserve"> \* MERGEFORMAT </w:instrText>
      </w:r>
      <w:r w:rsidR="006F629F" w:rsidRPr="005A3E90">
        <w:rPr>
          <w:rFonts w:ascii="Arial" w:eastAsia="Times New Roman" w:hAnsi="Arial"/>
          <w:sz w:val="22"/>
          <w:szCs w:val="24"/>
        </w:rPr>
      </w:r>
      <w:r w:rsidR="006F629F" w:rsidRPr="005A3E90">
        <w:rPr>
          <w:rFonts w:ascii="Arial" w:eastAsia="Times New Roman" w:hAnsi="Arial"/>
          <w:sz w:val="22"/>
          <w:szCs w:val="24"/>
        </w:rPr>
        <w:fldChar w:fldCharType="separate"/>
      </w:r>
      <w:r w:rsidR="006F629F" w:rsidRPr="005A3E90">
        <w:rPr>
          <w:rFonts w:ascii="Arial" w:eastAsia="Times New Roman" w:hAnsi="Arial"/>
          <w:sz w:val="22"/>
          <w:szCs w:val="24"/>
        </w:rPr>
        <w:t>4</w:t>
      </w:r>
      <w:r w:rsidR="006F629F" w:rsidRPr="005A3E90">
        <w:rPr>
          <w:rFonts w:ascii="Arial" w:eastAsia="Times New Roman" w:hAnsi="Arial"/>
          <w:sz w:val="22"/>
          <w:szCs w:val="24"/>
        </w:rPr>
        <w:fldChar w:fldCharType="end"/>
      </w:r>
      <w:r w:rsidR="006F629F" w:rsidRPr="005A3E90">
        <w:rPr>
          <w:rFonts w:ascii="Arial" w:eastAsia="Times New Roman" w:hAnsi="Arial"/>
          <w:sz w:val="22"/>
          <w:szCs w:val="24"/>
        </w:rPr>
        <w:t xml:space="preserve"> </w:t>
      </w:r>
      <w:r w:rsidR="00204363" w:rsidRPr="005A3E90">
        <w:rPr>
          <w:rFonts w:ascii="Arial" w:eastAsia="Times New Roman" w:hAnsi="Arial"/>
          <w:sz w:val="22"/>
          <w:szCs w:val="24"/>
        </w:rPr>
        <w:t>of this Annexure</w:t>
      </w:r>
      <w:r w:rsidR="00204363" w:rsidRPr="00204363">
        <w:rPr>
          <w:rFonts w:ascii="Arial" w:eastAsia="Times New Roman" w:hAnsi="Arial"/>
          <w:sz w:val="22"/>
          <w:szCs w:val="24"/>
        </w:rPr>
        <w:t xml:space="preserve">; and </w:t>
      </w:r>
    </w:p>
    <w:p w14:paraId="52AC45A7" w14:textId="77777777" w:rsidR="00204363" w:rsidRPr="00204363" w:rsidRDefault="00204363" w:rsidP="00204363">
      <w:pPr>
        <w:spacing w:line="240" w:lineRule="auto"/>
        <w:ind w:left="2268" w:hanging="850"/>
        <w:rPr>
          <w:rFonts w:ascii="Arial" w:eastAsia="Times New Roman" w:hAnsi="Arial"/>
          <w:sz w:val="22"/>
          <w:szCs w:val="24"/>
        </w:rPr>
      </w:pPr>
    </w:p>
    <w:p w14:paraId="35F8FEFF" w14:textId="77964C51" w:rsidR="00204363" w:rsidRPr="00204363" w:rsidRDefault="007C3488" w:rsidP="007C3488">
      <w:pPr>
        <w:tabs>
          <w:tab w:val="left" w:pos="2325"/>
        </w:tabs>
        <w:spacing w:line="240" w:lineRule="auto"/>
        <w:ind w:left="2268" w:hanging="850"/>
        <w:jc w:val="left"/>
        <w:rPr>
          <w:rFonts w:ascii="Arial" w:eastAsia="Times New Roman" w:hAnsi="Arial"/>
          <w:sz w:val="22"/>
          <w:szCs w:val="24"/>
        </w:rPr>
      </w:pPr>
      <w:r w:rsidRPr="00204363">
        <w:rPr>
          <w:rFonts w:ascii="Arial" w:eastAsia="Times New Roman" w:hAnsi="Arial"/>
          <w:sz w:val="22"/>
          <w:szCs w:val="24"/>
        </w:rPr>
        <w:t>5.1.2.</w:t>
      </w:r>
      <w:r w:rsidRPr="00204363">
        <w:rPr>
          <w:rFonts w:ascii="Arial" w:eastAsia="Times New Roman" w:hAnsi="Arial"/>
          <w:sz w:val="22"/>
          <w:szCs w:val="24"/>
        </w:rPr>
        <w:tab/>
      </w:r>
      <w:r w:rsidR="00204363" w:rsidRPr="00204363">
        <w:rPr>
          <w:rFonts w:ascii="Arial" w:eastAsia="Times New Roman" w:hAnsi="Arial"/>
          <w:sz w:val="22"/>
          <w:szCs w:val="24"/>
        </w:rPr>
        <w:t xml:space="preserve">the Compliance Reports detailed at paragraph </w:t>
      </w:r>
      <w:r w:rsidR="00204363" w:rsidRPr="00204363">
        <w:rPr>
          <w:rFonts w:ascii="Arial" w:eastAsia="Times New Roman" w:hAnsi="Arial"/>
          <w:sz w:val="22"/>
          <w:szCs w:val="24"/>
        </w:rPr>
        <w:fldChar w:fldCharType="begin"/>
      </w:r>
      <w:r w:rsidR="00204363" w:rsidRPr="00204363">
        <w:rPr>
          <w:rFonts w:ascii="Arial" w:eastAsia="Times New Roman" w:hAnsi="Arial"/>
          <w:sz w:val="22"/>
          <w:szCs w:val="24"/>
        </w:rPr>
        <w:instrText xml:space="preserve"> REF _Ref150850159 \r \h  \* MERGEFORMAT </w:instrText>
      </w:r>
      <w:r w:rsidR="00204363" w:rsidRPr="00204363">
        <w:rPr>
          <w:rFonts w:ascii="Arial" w:eastAsia="Times New Roman" w:hAnsi="Arial"/>
          <w:sz w:val="22"/>
          <w:szCs w:val="24"/>
        </w:rPr>
      </w:r>
      <w:r w:rsidR="00204363" w:rsidRPr="00204363">
        <w:rPr>
          <w:rFonts w:ascii="Arial" w:eastAsia="Times New Roman" w:hAnsi="Arial"/>
          <w:sz w:val="22"/>
          <w:szCs w:val="24"/>
        </w:rPr>
        <w:fldChar w:fldCharType="separate"/>
      </w:r>
      <w:r w:rsidR="005E3EB9">
        <w:rPr>
          <w:rFonts w:ascii="Arial" w:eastAsia="Times New Roman" w:hAnsi="Arial"/>
          <w:sz w:val="22"/>
          <w:szCs w:val="24"/>
        </w:rPr>
        <w:t>6</w:t>
      </w:r>
      <w:r w:rsidR="00204363" w:rsidRPr="00204363">
        <w:rPr>
          <w:rFonts w:ascii="Arial" w:eastAsia="Times New Roman" w:hAnsi="Arial"/>
          <w:sz w:val="22"/>
          <w:szCs w:val="24"/>
        </w:rPr>
        <w:fldChar w:fldCharType="end"/>
      </w:r>
      <w:r w:rsidR="00204363" w:rsidRPr="00204363">
        <w:rPr>
          <w:rFonts w:ascii="Arial" w:eastAsia="Times New Roman" w:hAnsi="Arial"/>
          <w:sz w:val="22"/>
          <w:szCs w:val="24"/>
        </w:rPr>
        <w:t xml:space="preserve"> </w:t>
      </w:r>
      <w:r w:rsidR="00204363" w:rsidRPr="00204363">
        <w:rPr>
          <w:rFonts w:ascii="Arial" w:eastAsia="Times New Roman" w:hAnsi="Arial"/>
          <w:bCs/>
          <w:sz w:val="22"/>
          <w:szCs w:val="24"/>
        </w:rPr>
        <w:t>of this Annexure</w:t>
      </w:r>
      <w:r w:rsidR="00204363" w:rsidRPr="00204363">
        <w:rPr>
          <w:rFonts w:ascii="Arial" w:eastAsia="Times New Roman" w:hAnsi="Arial"/>
          <w:sz w:val="22"/>
          <w:szCs w:val="24"/>
        </w:rPr>
        <w:t>.</w:t>
      </w:r>
    </w:p>
    <w:p w14:paraId="2C5B429F" w14:textId="77777777" w:rsidR="00204363" w:rsidRPr="00204363" w:rsidRDefault="00204363" w:rsidP="00204363">
      <w:pPr>
        <w:spacing w:line="240" w:lineRule="auto"/>
        <w:ind w:left="900"/>
        <w:rPr>
          <w:rFonts w:ascii="Arial" w:eastAsia="Times New Roman" w:hAnsi="Arial"/>
          <w:sz w:val="22"/>
          <w:szCs w:val="24"/>
        </w:rPr>
      </w:pPr>
    </w:p>
    <w:p w14:paraId="44179A43" w14:textId="164BDE27" w:rsidR="00204363" w:rsidRPr="00204363" w:rsidRDefault="007C3488" w:rsidP="007C3488">
      <w:pPr>
        <w:tabs>
          <w:tab w:val="left" w:pos="1283"/>
        </w:tabs>
        <w:spacing w:line="240" w:lineRule="auto"/>
        <w:ind w:left="1134" w:hanging="567"/>
        <w:contextualSpacing/>
        <w:jc w:val="left"/>
        <w:rPr>
          <w:rFonts w:ascii="Arial" w:eastAsia="Times New Roman" w:hAnsi="Arial"/>
          <w:sz w:val="22"/>
          <w:szCs w:val="24"/>
        </w:rPr>
      </w:pPr>
      <w:r w:rsidRPr="00204363">
        <w:rPr>
          <w:rFonts w:ascii="Arial" w:eastAsia="Times New Roman" w:hAnsi="Arial"/>
          <w:sz w:val="22"/>
          <w:szCs w:val="24"/>
        </w:rPr>
        <w:lastRenderedPageBreak/>
        <w:t>5.2.</w:t>
      </w:r>
      <w:r w:rsidRPr="00204363">
        <w:rPr>
          <w:rFonts w:ascii="Arial" w:eastAsia="Times New Roman" w:hAnsi="Arial"/>
          <w:sz w:val="22"/>
          <w:szCs w:val="24"/>
        </w:rPr>
        <w:tab/>
      </w:r>
      <w:r w:rsidR="00204363" w:rsidRPr="00204363">
        <w:rPr>
          <w:rFonts w:ascii="Arial" w:eastAsia="Times New Roman" w:hAnsi="Arial"/>
          <w:b/>
          <w:bCs/>
          <w:sz w:val="22"/>
          <w:szCs w:val="24"/>
        </w:rPr>
        <w:t>Independence of Review</w:t>
      </w:r>
      <w:r w:rsidR="00204363" w:rsidRPr="00204363">
        <w:rPr>
          <w:rFonts w:ascii="Arial" w:eastAsia="Times New Roman" w:hAnsi="Arial"/>
          <w:sz w:val="22"/>
          <w:szCs w:val="24"/>
        </w:rPr>
        <w:t xml:space="preserve"> – Mazda will ensure that each Review is carried out by a suitably qualified, independent compliance professional with expertise in consumer law (</w:t>
      </w:r>
      <w:r w:rsidR="00204363" w:rsidRPr="00204363">
        <w:rPr>
          <w:rFonts w:ascii="Arial" w:eastAsia="Times New Roman" w:hAnsi="Arial"/>
          <w:b/>
          <w:bCs/>
          <w:sz w:val="22"/>
          <w:szCs w:val="24"/>
        </w:rPr>
        <w:t>Reviewer</w:t>
      </w:r>
      <w:r w:rsidR="00204363" w:rsidRPr="00204363">
        <w:rPr>
          <w:rFonts w:ascii="Arial" w:eastAsia="Times New Roman" w:hAnsi="Arial"/>
          <w:sz w:val="22"/>
          <w:szCs w:val="24"/>
        </w:rPr>
        <w:t>). The Reviewer will qualify as independent on the basis that he or she:</w:t>
      </w:r>
    </w:p>
    <w:p w14:paraId="5885E7A3" w14:textId="77777777" w:rsidR="00204363" w:rsidRPr="00204363" w:rsidRDefault="00204363" w:rsidP="00204363">
      <w:pPr>
        <w:tabs>
          <w:tab w:val="num" w:pos="1418"/>
        </w:tabs>
        <w:autoSpaceDE w:val="0"/>
        <w:autoSpaceDN w:val="0"/>
        <w:adjustRightInd w:val="0"/>
        <w:spacing w:line="240" w:lineRule="auto"/>
        <w:ind w:left="1418" w:hanging="709"/>
        <w:rPr>
          <w:rFonts w:eastAsia="Times New Roman"/>
          <w:b/>
          <w:bCs/>
          <w:szCs w:val="24"/>
          <w:u w:val="single"/>
          <w:lang w:eastAsia="en-AU"/>
        </w:rPr>
      </w:pPr>
    </w:p>
    <w:p w14:paraId="24143640" w14:textId="7C7B03C0" w:rsidR="00204363" w:rsidRPr="00204363" w:rsidRDefault="007C3488" w:rsidP="007C3488">
      <w:pPr>
        <w:tabs>
          <w:tab w:val="left" w:pos="2325"/>
        </w:tabs>
        <w:spacing w:line="240" w:lineRule="auto"/>
        <w:ind w:left="2268" w:hanging="850"/>
        <w:jc w:val="left"/>
        <w:rPr>
          <w:rFonts w:ascii="Arial" w:eastAsia="Times New Roman" w:hAnsi="Arial"/>
          <w:sz w:val="22"/>
          <w:szCs w:val="24"/>
        </w:rPr>
      </w:pPr>
      <w:r w:rsidRPr="00204363">
        <w:rPr>
          <w:rFonts w:ascii="Arial" w:eastAsia="Times New Roman" w:hAnsi="Arial"/>
          <w:sz w:val="22"/>
          <w:szCs w:val="24"/>
        </w:rPr>
        <w:t>5.2.1.</w:t>
      </w:r>
      <w:r w:rsidRPr="00204363">
        <w:rPr>
          <w:rFonts w:ascii="Arial" w:eastAsia="Times New Roman" w:hAnsi="Arial"/>
          <w:sz w:val="22"/>
          <w:szCs w:val="24"/>
        </w:rPr>
        <w:tab/>
      </w:r>
      <w:r w:rsidR="00204363" w:rsidRPr="00204363">
        <w:rPr>
          <w:rFonts w:ascii="Arial" w:eastAsia="Times New Roman" w:hAnsi="Arial"/>
          <w:sz w:val="22"/>
          <w:szCs w:val="24"/>
        </w:rPr>
        <w:t xml:space="preserve">did not design or implement the Compliance </w:t>
      </w:r>
      <w:proofErr w:type="gramStart"/>
      <w:r w:rsidR="00204363" w:rsidRPr="00204363">
        <w:rPr>
          <w:rFonts w:ascii="Arial" w:eastAsia="Times New Roman" w:hAnsi="Arial"/>
          <w:sz w:val="22"/>
          <w:szCs w:val="24"/>
        </w:rPr>
        <w:t>Program;</w:t>
      </w:r>
      <w:proofErr w:type="gramEnd"/>
    </w:p>
    <w:p w14:paraId="36720D84" w14:textId="77777777" w:rsidR="00204363" w:rsidRPr="00204363" w:rsidRDefault="00204363" w:rsidP="00204363">
      <w:pPr>
        <w:spacing w:line="240" w:lineRule="auto"/>
        <w:ind w:left="2268" w:hanging="850"/>
        <w:rPr>
          <w:rFonts w:ascii="Arial" w:eastAsia="Times New Roman" w:hAnsi="Arial"/>
          <w:sz w:val="22"/>
          <w:szCs w:val="24"/>
        </w:rPr>
      </w:pPr>
    </w:p>
    <w:p w14:paraId="507D59BE" w14:textId="726DE1C4" w:rsidR="00204363" w:rsidRPr="00204363" w:rsidRDefault="007C3488" w:rsidP="007C3488">
      <w:pPr>
        <w:tabs>
          <w:tab w:val="left" w:pos="2325"/>
        </w:tabs>
        <w:spacing w:line="240" w:lineRule="auto"/>
        <w:ind w:left="2268" w:hanging="850"/>
        <w:jc w:val="left"/>
        <w:rPr>
          <w:rFonts w:ascii="Arial" w:eastAsia="Times New Roman" w:hAnsi="Arial"/>
          <w:sz w:val="22"/>
          <w:szCs w:val="24"/>
        </w:rPr>
      </w:pPr>
      <w:r w:rsidRPr="00204363">
        <w:rPr>
          <w:rFonts w:ascii="Arial" w:eastAsia="Times New Roman" w:hAnsi="Arial"/>
          <w:sz w:val="22"/>
          <w:szCs w:val="24"/>
        </w:rPr>
        <w:t>5.2.2.</w:t>
      </w:r>
      <w:r w:rsidRPr="00204363">
        <w:rPr>
          <w:rFonts w:ascii="Arial" w:eastAsia="Times New Roman" w:hAnsi="Arial"/>
          <w:sz w:val="22"/>
          <w:szCs w:val="24"/>
        </w:rPr>
        <w:tab/>
      </w:r>
      <w:r w:rsidR="00204363" w:rsidRPr="00204363">
        <w:rPr>
          <w:rFonts w:ascii="Arial" w:eastAsia="Times New Roman" w:hAnsi="Arial"/>
          <w:sz w:val="22"/>
          <w:szCs w:val="24"/>
        </w:rPr>
        <w:t xml:space="preserve">is not a present or past staff member or director of </w:t>
      </w:r>
      <w:proofErr w:type="gramStart"/>
      <w:r w:rsidR="00204363" w:rsidRPr="00204363">
        <w:rPr>
          <w:rFonts w:ascii="Arial" w:eastAsia="Times New Roman" w:hAnsi="Arial"/>
          <w:sz w:val="22"/>
          <w:szCs w:val="24"/>
        </w:rPr>
        <w:t>Mazda;</w:t>
      </w:r>
      <w:proofErr w:type="gramEnd"/>
    </w:p>
    <w:p w14:paraId="73E8B13A" w14:textId="77777777" w:rsidR="00204363" w:rsidRPr="00204363" w:rsidRDefault="00204363" w:rsidP="00204363">
      <w:pPr>
        <w:tabs>
          <w:tab w:val="num" w:pos="2520"/>
        </w:tabs>
        <w:spacing w:line="240" w:lineRule="auto"/>
        <w:ind w:left="2268" w:hanging="850"/>
        <w:rPr>
          <w:rFonts w:ascii="Arial" w:eastAsia="Times New Roman" w:hAnsi="Arial"/>
          <w:sz w:val="22"/>
          <w:szCs w:val="24"/>
        </w:rPr>
      </w:pPr>
    </w:p>
    <w:p w14:paraId="40E3EACB" w14:textId="4DD7FF67" w:rsidR="00204363" w:rsidRPr="00204363" w:rsidRDefault="007C3488" w:rsidP="007C3488">
      <w:pPr>
        <w:tabs>
          <w:tab w:val="left" w:pos="2325"/>
        </w:tabs>
        <w:spacing w:line="240" w:lineRule="auto"/>
        <w:ind w:left="2268" w:hanging="850"/>
        <w:jc w:val="left"/>
        <w:rPr>
          <w:rFonts w:ascii="Arial" w:eastAsia="Times New Roman" w:hAnsi="Arial"/>
          <w:sz w:val="22"/>
          <w:szCs w:val="24"/>
        </w:rPr>
      </w:pPr>
      <w:r w:rsidRPr="00204363">
        <w:rPr>
          <w:rFonts w:ascii="Arial" w:eastAsia="Times New Roman" w:hAnsi="Arial"/>
          <w:sz w:val="22"/>
          <w:szCs w:val="24"/>
        </w:rPr>
        <w:t>5.2.3.</w:t>
      </w:r>
      <w:r w:rsidRPr="00204363">
        <w:rPr>
          <w:rFonts w:ascii="Arial" w:eastAsia="Times New Roman" w:hAnsi="Arial"/>
          <w:sz w:val="22"/>
          <w:szCs w:val="24"/>
        </w:rPr>
        <w:tab/>
      </w:r>
      <w:r w:rsidR="00204363" w:rsidRPr="00204363">
        <w:rPr>
          <w:rFonts w:ascii="Arial" w:eastAsia="Times New Roman" w:hAnsi="Arial"/>
          <w:sz w:val="22"/>
          <w:szCs w:val="24"/>
        </w:rPr>
        <w:t>has not acted and does not act for, and does not consult and has not consulted to, Mazda in any consumer law matters, other than performing Reviews; and</w:t>
      </w:r>
    </w:p>
    <w:p w14:paraId="02B336CE" w14:textId="77777777" w:rsidR="00204363" w:rsidRPr="00204363" w:rsidRDefault="00204363" w:rsidP="00204363">
      <w:pPr>
        <w:spacing w:line="240" w:lineRule="auto"/>
        <w:ind w:left="2268" w:hanging="850"/>
        <w:rPr>
          <w:rFonts w:ascii="Arial" w:eastAsia="Times New Roman" w:hAnsi="Arial"/>
          <w:sz w:val="22"/>
          <w:szCs w:val="24"/>
        </w:rPr>
      </w:pPr>
    </w:p>
    <w:p w14:paraId="304A3422" w14:textId="6D5415DF" w:rsidR="00204363" w:rsidRPr="00204363" w:rsidRDefault="007C3488" w:rsidP="007C3488">
      <w:pPr>
        <w:tabs>
          <w:tab w:val="left" w:pos="2325"/>
        </w:tabs>
        <w:spacing w:line="240" w:lineRule="auto"/>
        <w:ind w:left="2268" w:hanging="850"/>
        <w:jc w:val="left"/>
        <w:rPr>
          <w:rFonts w:ascii="Arial" w:eastAsia="Times New Roman" w:hAnsi="Arial"/>
          <w:sz w:val="22"/>
          <w:szCs w:val="24"/>
        </w:rPr>
      </w:pPr>
      <w:r w:rsidRPr="00204363">
        <w:rPr>
          <w:rFonts w:ascii="Arial" w:eastAsia="Times New Roman" w:hAnsi="Arial"/>
          <w:sz w:val="22"/>
          <w:szCs w:val="24"/>
        </w:rPr>
        <w:t>5.2.4.</w:t>
      </w:r>
      <w:r w:rsidRPr="00204363">
        <w:rPr>
          <w:rFonts w:ascii="Arial" w:eastAsia="Times New Roman" w:hAnsi="Arial"/>
          <w:sz w:val="22"/>
          <w:szCs w:val="24"/>
        </w:rPr>
        <w:tab/>
      </w:r>
      <w:r w:rsidR="00204363" w:rsidRPr="00204363">
        <w:rPr>
          <w:rFonts w:ascii="Arial" w:eastAsia="Times New Roman" w:hAnsi="Arial"/>
          <w:sz w:val="22"/>
          <w:szCs w:val="24"/>
        </w:rPr>
        <w:t>has no significant shareholding or other interests in Mazda.</w:t>
      </w:r>
    </w:p>
    <w:p w14:paraId="29BED825" w14:textId="77777777" w:rsidR="00204363" w:rsidRPr="00204363" w:rsidRDefault="00204363" w:rsidP="00204363">
      <w:pPr>
        <w:spacing w:line="240" w:lineRule="auto"/>
        <w:rPr>
          <w:rFonts w:ascii="Arial" w:eastAsia="Times New Roman" w:hAnsi="Arial"/>
          <w:sz w:val="22"/>
          <w:szCs w:val="24"/>
        </w:rPr>
      </w:pPr>
    </w:p>
    <w:p w14:paraId="1976BB1E" w14:textId="67C0DFBC" w:rsidR="00204363" w:rsidRPr="00204363" w:rsidRDefault="007C3488" w:rsidP="007C3488">
      <w:pPr>
        <w:tabs>
          <w:tab w:val="left" w:pos="1283"/>
        </w:tabs>
        <w:spacing w:line="240" w:lineRule="auto"/>
        <w:ind w:left="1134" w:hanging="567"/>
        <w:jc w:val="left"/>
        <w:rPr>
          <w:rFonts w:ascii="Arial" w:eastAsia="Times New Roman" w:hAnsi="Arial"/>
          <w:sz w:val="22"/>
          <w:szCs w:val="24"/>
        </w:rPr>
      </w:pPr>
      <w:r w:rsidRPr="00204363">
        <w:rPr>
          <w:rFonts w:ascii="Arial" w:eastAsia="Times New Roman" w:hAnsi="Arial"/>
          <w:sz w:val="22"/>
          <w:szCs w:val="24"/>
        </w:rPr>
        <w:t>5.3.</w:t>
      </w:r>
      <w:r w:rsidRPr="00204363">
        <w:rPr>
          <w:rFonts w:ascii="Arial" w:eastAsia="Times New Roman" w:hAnsi="Arial"/>
          <w:sz w:val="22"/>
          <w:szCs w:val="24"/>
        </w:rPr>
        <w:tab/>
      </w:r>
      <w:r w:rsidR="00204363" w:rsidRPr="00204363">
        <w:rPr>
          <w:rFonts w:ascii="Arial" w:eastAsia="Times New Roman" w:hAnsi="Arial"/>
          <w:b/>
          <w:bCs/>
          <w:sz w:val="22"/>
          <w:szCs w:val="24"/>
        </w:rPr>
        <w:t>Evidence</w:t>
      </w:r>
      <w:r w:rsidR="00204363" w:rsidRPr="00204363">
        <w:rPr>
          <w:rFonts w:ascii="Arial" w:eastAsia="Times New Roman" w:hAnsi="Arial"/>
          <w:sz w:val="22"/>
          <w:szCs w:val="24"/>
        </w:rPr>
        <w:t xml:space="preserve"> – Mazda will use its best endeavours to ensure that each Review is conducted on the basis that the Reviewer has access to all relevant sources of information in Mazda’s possession or control, including without limitation:</w:t>
      </w:r>
    </w:p>
    <w:p w14:paraId="7AF51FCC" w14:textId="77777777" w:rsidR="00204363" w:rsidRPr="00204363" w:rsidRDefault="00204363" w:rsidP="00204363">
      <w:pPr>
        <w:spacing w:line="240" w:lineRule="auto"/>
        <w:ind w:left="2110"/>
        <w:rPr>
          <w:rFonts w:ascii="Arial" w:eastAsia="Times New Roman" w:hAnsi="Arial"/>
          <w:sz w:val="22"/>
          <w:szCs w:val="24"/>
        </w:rPr>
      </w:pPr>
    </w:p>
    <w:p w14:paraId="28D1D444" w14:textId="115AE99D" w:rsidR="00204363" w:rsidRPr="00204363" w:rsidRDefault="007C3488" w:rsidP="007C3488">
      <w:pPr>
        <w:tabs>
          <w:tab w:val="left" w:pos="2325"/>
        </w:tabs>
        <w:spacing w:line="240" w:lineRule="auto"/>
        <w:ind w:left="2268" w:hanging="850"/>
        <w:jc w:val="left"/>
        <w:rPr>
          <w:rFonts w:ascii="Arial" w:eastAsia="Times New Roman" w:hAnsi="Arial"/>
          <w:sz w:val="22"/>
          <w:szCs w:val="24"/>
        </w:rPr>
      </w:pPr>
      <w:r w:rsidRPr="00204363">
        <w:rPr>
          <w:rFonts w:ascii="Arial" w:eastAsia="Times New Roman" w:hAnsi="Arial"/>
          <w:sz w:val="22"/>
          <w:szCs w:val="24"/>
        </w:rPr>
        <w:t>5.3.1.</w:t>
      </w:r>
      <w:r w:rsidRPr="00204363">
        <w:rPr>
          <w:rFonts w:ascii="Arial" w:eastAsia="Times New Roman" w:hAnsi="Arial"/>
          <w:sz w:val="22"/>
          <w:szCs w:val="24"/>
        </w:rPr>
        <w:tab/>
      </w:r>
      <w:r w:rsidR="00204363" w:rsidRPr="00204363">
        <w:rPr>
          <w:rFonts w:ascii="Arial" w:eastAsia="Times New Roman" w:hAnsi="Arial"/>
          <w:sz w:val="22"/>
          <w:szCs w:val="24"/>
        </w:rPr>
        <w:t xml:space="preserve">the ability to make enquiries of any officers, employees, representatives and agents of </w:t>
      </w:r>
      <w:proofErr w:type="gramStart"/>
      <w:r w:rsidR="00204363" w:rsidRPr="00204363">
        <w:rPr>
          <w:rFonts w:ascii="Arial" w:eastAsia="Times New Roman" w:hAnsi="Arial"/>
          <w:sz w:val="22"/>
          <w:szCs w:val="24"/>
        </w:rPr>
        <w:t>Mazda;</w:t>
      </w:r>
      <w:proofErr w:type="gramEnd"/>
    </w:p>
    <w:p w14:paraId="14C8F19F" w14:textId="77777777" w:rsidR="00204363" w:rsidRPr="00204363" w:rsidRDefault="00204363" w:rsidP="00204363">
      <w:pPr>
        <w:tabs>
          <w:tab w:val="num" w:pos="2700"/>
        </w:tabs>
        <w:spacing w:line="240" w:lineRule="auto"/>
        <w:ind w:left="2268" w:hanging="850"/>
        <w:rPr>
          <w:rFonts w:ascii="Arial" w:eastAsia="Times New Roman" w:hAnsi="Arial"/>
          <w:sz w:val="22"/>
          <w:szCs w:val="24"/>
        </w:rPr>
      </w:pPr>
    </w:p>
    <w:p w14:paraId="7BEA2E16" w14:textId="39D09117" w:rsidR="00204363" w:rsidRPr="00204363" w:rsidRDefault="007C3488" w:rsidP="007C3488">
      <w:pPr>
        <w:tabs>
          <w:tab w:val="left" w:pos="2347"/>
        </w:tabs>
        <w:spacing w:line="240" w:lineRule="auto"/>
        <w:ind w:left="2290" w:hanging="850"/>
        <w:jc w:val="left"/>
        <w:rPr>
          <w:rFonts w:ascii="Arial" w:eastAsia="Times New Roman" w:hAnsi="Arial"/>
          <w:sz w:val="22"/>
          <w:szCs w:val="24"/>
        </w:rPr>
      </w:pPr>
      <w:r w:rsidRPr="00204363">
        <w:rPr>
          <w:rFonts w:ascii="Arial" w:eastAsia="Times New Roman" w:hAnsi="Arial"/>
          <w:sz w:val="22"/>
          <w:szCs w:val="24"/>
        </w:rPr>
        <w:t>5.3.2.</w:t>
      </w:r>
      <w:r w:rsidRPr="00204363">
        <w:rPr>
          <w:rFonts w:ascii="Arial" w:eastAsia="Times New Roman" w:hAnsi="Arial"/>
          <w:sz w:val="22"/>
          <w:szCs w:val="24"/>
        </w:rPr>
        <w:tab/>
      </w:r>
      <w:r w:rsidR="00204363" w:rsidRPr="005A3E90">
        <w:rPr>
          <w:rFonts w:ascii="Arial" w:eastAsia="Times New Roman" w:hAnsi="Arial"/>
          <w:sz w:val="22"/>
          <w:szCs w:val="24"/>
        </w:rPr>
        <w:t>documents relating to</w:t>
      </w:r>
      <w:r w:rsidR="00B368B7" w:rsidRPr="005A3E90">
        <w:rPr>
          <w:rFonts w:ascii="Arial" w:eastAsia="Times New Roman" w:hAnsi="Arial"/>
          <w:sz w:val="22"/>
          <w:szCs w:val="24"/>
        </w:rPr>
        <w:t xml:space="preserve"> the review of Mazda’s customer complaint processes</w:t>
      </w:r>
      <w:r w:rsidR="007426B1" w:rsidRPr="005A3E90">
        <w:rPr>
          <w:rFonts w:ascii="Arial" w:eastAsia="Times New Roman" w:hAnsi="Arial"/>
          <w:sz w:val="22"/>
          <w:szCs w:val="24"/>
        </w:rPr>
        <w:t xml:space="preserve"> undertaken </w:t>
      </w:r>
      <w:r w:rsidR="00DC17BE" w:rsidRPr="005A3E90">
        <w:rPr>
          <w:rFonts w:ascii="Arial" w:eastAsia="Times New Roman" w:hAnsi="Arial"/>
          <w:sz w:val="22"/>
          <w:szCs w:val="24"/>
        </w:rPr>
        <w:t xml:space="preserve">by Mr </w:t>
      </w:r>
      <w:r w:rsidR="00DE32DA" w:rsidRPr="005A3E90">
        <w:rPr>
          <w:rFonts w:ascii="Arial" w:eastAsia="Times New Roman" w:hAnsi="Arial"/>
          <w:sz w:val="22"/>
          <w:szCs w:val="24"/>
        </w:rPr>
        <w:t>Michael Robins in 2022</w:t>
      </w:r>
      <w:r w:rsidR="00796110">
        <w:rPr>
          <w:rFonts w:ascii="Arial" w:eastAsia="Times New Roman" w:hAnsi="Arial"/>
          <w:sz w:val="22"/>
          <w:szCs w:val="24"/>
        </w:rPr>
        <w:t xml:space="preserve"> (</w:t>
      </w:r>
      <w:r w:rsidR="005666EA">
        <w:rPr>
          <w:rFonts w:ascii="Arial" w:eastAsia="Times New Roman" w:hAnsi="Arial"/>
          <w:b/>
          <w:bCs/>
          <w:sz w:val="22"/>
          <w:szCs w:val="24"/>
        </w:rPr>
        <w:t>Risk Assessment</w:t>
      </w:r>
      <w:proofErr w:type="gramStart"/>
      <w:r w:rsidR="005666EA">
        <w:rPr>
          <w:rFonts w:ascii="Arial" w:eastAsia="Times New Roman" w:hAnsi="Arial"/>
          <w:sz w:val="22"/>
          <w:szCs w:val="24"/>
        </w:rPr>
        <w:t>)</w:t>
      </w:r>
      <w:r w:rsidR="00204363" w:rsidRPr="00204363">
        <w:rPr>
          <w:rFonts w:ascii="Arial" w:eastAsia="Times New Roman" w:hAnsi="Arial"/>
          <w:sz w:val="22"/>
          <w:szCs w:val="24"/>
        </w:rPr>
        <w:t>;</w:t>
      </w:r>
      <w:proofErr w:type="gramEnd"/>
    </w:p>
    <w:p w14:paraId="61F6ED36" w14:textId="77777777" w:rsidR="00204363" w:rsidRPr="00204363" w:rsidRDefault="00204363" w:rsidP="00204363">
      <w:pPr>
        <w:spacing w:line="240" w:lineRule="auto"/>
        <w:ind w:left="2268" w:hanging="850"/>
        <w:rPr>
          <w:rFonts w:ascii="Arial" w:eastAsia="Times New Roman" w:hAnsi="Arial"/>
          <w:sz w:val="22"/>
          <w:szCs w:val="24"/>
        </w:rPr>
      </w:pPr>
    </w:p>
    <w:p w14:paraId="58F72E1F" w14:textId="795E82E5" w:rsidR="00204363" w:rsidRPr="00204363" w:rsidRDefault="007C3488" w:rsidP="007C3488">
      <w:pPr>
        <w:tabs>
          <w:tab w:val="left" w:pos="2325"/>
        </w:tabs>
        <w:spacing w:line="240" w:lineRule="auto"/>
        <w:ind w:left="2268" w:hanging="850"/>
        <w:jc w:val="left"/>
        <w:rPr>
          <w:rFonts w:ascii="Arial" w:eastAsia="Times New Roman" w:hAnsi="Arial"/>
          <w:sz w:val="22"/>
          <w:szCs w:val="24"/>
        </w:rPr>
      </w:pPr>
      <w:r w:rsidRPr="00204363">
        <w:rPr>
          <w:rFonts w:ascii="Arial" w:eastAsia="Times New Roman" w:hAnsi="Arial"/>
          <w:sz w:val="22"/>
          <w:szCs w:val="24"/>
        </w:rPr>
        <w:t>5.3.3.</w:t>
      </w:r>
      <w:r w:rsidRPr="00204363">
        <w:rPr>
          <w:rFonts w:ascii="Arial" w:eastAsia="Times New Roman" w:hAnsi="Arial"/>
          <w:sz w:val="22"/>
          <w:szCs w:val="24"/>
        </w:rPr>
        <w:tab/>
      </w:r>
      <w:r w:rsidR="00204363" w:rsidRPr="00204363">
        <w:rPr>
          <w:rFonts w:ascii="Arial" w:eastAsia="Times New Roman" w:hAnsi="Arial"/>
          <w:sz w:val="22"/>
          <w:szCs w:val="24"/>
        </w:rPr>
        <w:t xml:space="preserve">documents relating to Mazda’s Compliance Program, including documents relevant to </w:t>
      </w:r>
      <w:r w:rsidR="00204363" w:rsidRPr="005A3E90">
        <w:rPr>
          <w:rFonts w:ascii="Arial" w:eastAsia="Times New Roman" w:hAnsi="Arial"/>
          <w:sz w:val="22"/>
          <w:szCs w:val="24"/>
        </w:rPr>
        <w:t xml:space="preserve">Mazda’s </w:t>
      </w:r>
      <w:r w:rsidR="00E93D81" w:rsidRPr="005A3E90">
        <w:rPr>
          <w:rFonts w:ascii="Arial" w:eastAsia="Times New Roman" w:hAnsi="Arial"/>
          <w:sz w:val="22"/>
          <w:szCs w:val="24"/>
        </w:rPr>
        <w:t xml:space="preserve">consumer law </w:t>
      </w:r>
      <w:r w:rsidR="00035F5A" w:rsidRPr="005A3E90">
        <w:rPr>
          <w:rFonts w:ascii="Arial" w:eastAsia="Times New Roman" w:hAnsi="Arial"/>
          <w:sz w:val="22"/>
          <w:szCs w:val="24"/>
        </w:rPr>
        <w:t>c</w:t>
      </w:r>
      <w:r w:rsidR="00204363" w:rsidRPr="005A3E90">
        <w:rPr>
          <w:rFonts w:ascii="Arial" w:eastAsia="Times New Roman" w:hAnsi="Arial"/>
          <w:sz w:val="22"/>
          <w:szCs w:val="24"/>
        </w:rPr>
        <w:t xml:space="preserve">ompliance </w:t>
      </w:r>
      <w:r w:rsidR="00035F5A" w:rsidRPr="005A3E90">
        <w:rPr>
          <w:rFonts w:ascii="Arial" w:eastAsia="Times New Roman" w:hAnsi="Arial"/>
          <w:sz w:val="22"/>
          <w:szCs w:val="24"/>
        </w:rPr>
        <w:t>p</w:t>
      </w:r>
      <w:r w:rsidR="00204363" w:rsidRPr="005A3E90">
        <w:rPr>
          <w:rFonts w:ascii="Arial" w:eastAsia="Times New Roman" w:hAnsi="Arial"/>
          <w:sz w:val="22"/>
          <w:szCs w:val="24"/>
        </w:rPr>
        <w:t>olicy</w:t>
      </w:r>
      <w:r w:rsidR="00204363" w:rsidRPr="00204363">
        <w:rPr>
          <w:rFonts w:ascii="Arial" w:eastAsia="Times New Roman" w:hAnsi="Arial"/>
          <w:sz w:val="22"/>
          <w:szCs w:val="24"/>
        </w:rPr>
        <w:t xml:space="preserve">, Complaints Handling System, and </w:t>
      </w:r>
      <w:r w:rsidR="00301CC2" w:rsidRPr="005A3E90">
        <w:rPr>
          <w:rFonts w:ascii="Arial" w:eastAsia="Times New Roman" w:hAnsi="Arial"/>
          <w:sz w:val="22"/>
          <w:szCs w:val="24"/>
        </w:rPr>
        <w:t>consumer law</w:t>
      </w:r>
      <w:r w:rsidR="00565EF7" w:rsidRPr="005A3E90">
        <w:rPr>
          <w:rFonts w:ascii="Arial" w:eastAsia="Times New Roman" w:hAnsi="Arial"/>
          <w:i/>
          <w:iCs/>
          <w:sz w:val="22"/>
          <w:szCs w:val="24"/>
        </w:rPr>
        <w:t xml:space="preserve"> </w:t>
      </w:r>
      <w:r w:rsidR="00035F5A" w:rsidRPr="005A3E90">
        <w:rPr>
          <w:rFonts w:ascii="Arial" w:eastAsia="Times New Roman" w:hAnsi="Arial"/>
          <w:sz w:val="22"/>
          <w:szCs w:val="24"/>
        </w:rPr>
        <w:t>s</w:t>
      </w:r>
      <w:r w:rsidR="00204363" w:rsidRPr="005A3E90">
        <w:rPr>
          <w:rFonts w:ascii="Arial" w:eastAsia="Times New Roman" w:hAnsi="Arial"/>
          <w:sz w:val="22"/>
          <w:szCs w:val="24"/>
        </w:rPr>
        <w:t xml:space="preserve">taff </w:t>
      </w:r>
      <w:r w:rsidR="00035F5A" w:rsidRPr="005A3E90">
        <w:rPr>
          <w:rFonts w:ascii="Arial" w:eastAsia="Times New Roman" w:hAnsi="Arial"/>
          <w:sz w:val="22"/>
          <w:szCs w:val="24"/>
        </w:rPr>
        <w:t>t</w:t>
      </w:r>
      <w:r w:rsidR="00204363" w:rsidRPr="005A3E90">
        <w:rPr>
          <w:rFonts w:ascii="Arial" w:eastAsia="Times New Roman" w:hAnsi="Arial"/>
          <w:sz w:val="22"/>
          <w:szCs w:val="24"/>
        </w:rPr>
        <w:t xml:space="preserve">raining and </w:t>
      </w:r>
      <w:r w:rsidR="00035F5A" w:rsidRPr="005A3E90">
        <w:rPr>
          <w:rFonts w:ascii="Arial" w:eastAsia="Times New Roman" w:hAnsi="Arial"/>
          <w:sz w:val="22"/>
          <w:szCs w:val="24"/>
        </w:rPr>
        <w:t>i</w:t>
      </w:r>
      <w:r w:rsidR="00204363" w:rsidRPr="005A3E90">
        <w:rPr>
          <w:rFonts w:ascii="Arial" w:eastAsia="Times New Roman" w:hAnsi="Arial"/>
          <w:sz w:val="22"/>
          <w:szCs w:val="24"/>
        </w:rPr>
        <w:t>nduction</w:t>
      </w:r>
      <w:r w:rsidR="00DB4E5A">
        <w:rPr>
          <w:rFonts w:ascii="Arial" w:eastAsia="Times New Roman" w:hAnsi="Arial"/>
          <w:sz w:val="22"/>
          <w:szCs w:val="24"/>
        </w:rPr>
        <w:t xml:space="preserve"> (</w:t>
      </w:r>
      <w:r w:rsidR="00DB4E5A">
        <w:rPr>
          <w:rFonts w:ascii="Arial" w:eastAsia="Times New Roman" w:hAnsi="Arial"/>
          <w:b/>
          <w:bCs/>
          <w:sz w:val="22"/>
          <w:szCs w:val="24"/>
        </w:rPr>
        <w:t>Staff Training and Induction</w:t>
      </w:r>
      <w:r w:rsidR="00DB4E5A">
        <w:rPr>
          <w:rFonts w:ascii="Arial" w:eastAsia="Times New Roman" w:hAnsi="Arial"/>
          <w:sz w:val="22"/>
          <w:szCs w:val="24"/>
        </w:rPr>
        <w:t>)</w:t>
      </w:r>
      <w:r w:rsidR="00204363" w:rsidRPr="00204363">
        <w:rPr>
          <w:rFonts w:ascii="Arial" w:eastAsia="Times New Roman" w:hAnsi="Arial"/>
          <w:sz w:val="22"/>
          <w:szCs w:val="24"/>
        </w:rPr>
        <w:t>; and</w:t>
      </w:r>
    </w:p>
    <w:p w14:paraId="1DB13E9E" w14:textId="77777777" w:rsidR="00204363" w:rsidRPr="00204363" w:rsidRDefault="00204363" w:rsidP="00204363">
      <w:pPr>
        <w:spacing w:line="240" w:lineRule="auto"/>
        <w:ind w:left="2268" w:hanging="850"/>
        <w:rPr>
          <w:rFonts w:ascii="Arial" w:eastAsia="Times New Roman" w:hAnsi="Arial"/>
          <w:sz w:val="22"/>
          <w:szCs w:val="24"/>
        </w:rPr>
      </w:pPr>
    </w:p>
    <w:p w14:paraId="33BC07B2" w14:textId="1F96DB0F" w:rsidR="00204363" w:rsidRPr="00204363" w:rsidRDefault="007C3488" w:rsidP="007C3488">
      <w:pPr>
        <w:tabs>
          <w:tab w:val="left" w:pos="2325"/>
        </w:tabs>
        <w:spacing w:line="240" w:lineRule="auto"/>
        <w:ind w:left="2268" w:hanging="850"/>
        <w:jc w:val="left"/>
        <w:rPr>
          <w:rFonts w:ascii="Arial" w:eastAsia="Times New Roman" w:hAnsi="Arial"/>
          <w:sz w:val="22"/>
          <w:szCs w:val="24"/>
        </w:rPr>
      </w:pPr>
      <w:r w:rsidRPr="00204363">
        <w:rPr>
          <w:rFonts w:ascii="Arial" w:eastAsia="Times New Roman" w:hAnsi="Arial"/>
          <w:sz w:val="22"/>
          <w:szCs w:val="24"/>
        </w:rPr>
        <w:t>5.3.4.</w:t>
      </w:r>
      <w:r w:rsidRPr="00204363">
        <w:rPr>
          <w:rFonts w:ascii="Arial" w:eastAsia="Times New Roman" w:hAnsi="Arial"/>
          <w:sz w:val="22"/>
          <w:szCs w:val="24"/>
        </w:rPr>
        <w:tab/>
      </w:r>
      <w:r w:rsidR="00204363" w:rsidRPr="00204363">
        <w:rPr>
          <w:rFonts w:ascii="Arial" w:eastAsia="Times New Roman" w:hAnsi="Arial"/>
          <w:sz w:val="22"/>
          <w:szCs w:val="24"/>
        </w:rPr>
        <w:t xml:space="preserve">any reports made by </w:t>
      </w:r>
      <w:r w:rsidR="00301CC2" w:rsidRPr="005A3E90">
        <w:rPr>
          <w:rFonts w:ascii="Arial" w:eastAsia="Times New Roman" w:hAnsi="Arial"/>
          <w:sz w:val="22"/>
          <w:szCs w:val="24"/>
        </w:rPr>
        <w:t>Mr Robins</w:t>
      </w:r>
      <w:r w:rsidR="00301CC2">
        <w:rPr>
          <w:rFonts w:ascii="Arial" w:eastAsia="Times New Roman" w:hAnsi="Arial"/>
          <w:sz w:val="22"/>
          <w:szCs w:val="24"/>
        </w:rPr>
        <w:t xml:space="preserve"> </w:t>
      </w:r>
      <w:r w:rsidR="00204363" w:rsidRPr="00204363">
        <w:rPr>
          <w:rFonts w:ascii="Arial" w:eastAsia="Times New Roman" w:hAnsi="Arial"/>
          <w:sz w:val="22"/>
          <w:szCs w:val="24"/>
        </w:rPr>
        <w:t xml:space="preserve">to </w:t>
      </w:r>
      <w:r w:rsidR="00204363" w:rsidRPr="00204363">
        <w:rPr>
          <w:rFonts w:ascii="Arial" w:eastAsia="Times New Roman" w:hAnsi="Arial"/>
          <w:bCs/>
          <w:sz w:val="22"/>
          <w:szCs w:val="24"/>
        </w:rPr>
        <w:t xml:space="preserve">Mazda’s Board or senior management </w:t>
      </w:r>
      <w:r w:rsidR="00204363" w:rsidRPr="00204363">
        <w:rPr>
          <w:rFonts w:ascii="Arial" w:eastAsia="Times New Roman" w:hAnsi="Arial"/>
          <w:sz w:val="22"/>
          <w:szCs w:val="24"/>
        </w:rPr>
        <w:t xml:space="preserve">regarding Mazda’s Compliance Program. </w:t>
      </w:r>
    </w:p>
    <w:p w14:paraId="4F7FF867" w14:textId="77777777" w:rsidR="00204363" w:rsidRPr="00204363" w:rsidRDefault="00204363" w:rsidP="00204363">
      <w:pPr>
        <w:tabs>
          <w:tab w:val="num" w:pos="2700"/>
        </w:tabs>
        <w:spacing w:line="240" w:lineRule="auto"/>
        <w:ind w:left="2520" w:hanging="360"/>
        <w:rPr>
          <w:rFonts w:ascii="Arial" w:eastAsia="Times New Roman" w:hAnsi="Arial"/>
          <w:sz w:val="22"/>
          <w:szCs w:val="24"/>
        </w:rPr>
      </w:pPr>
    </w:p>
    <w:p w14:paraId="7B695EDB" w14:textId="23737687" w:rsidR="00204363" w:rsidRPr="00204363" w:rsidRDefault="007C3488" w:rsidP="007C3488">
      <w:pPr>
        <w:tabs>
          <w:tab w:val="left" w:pos="1283"/>
        </w:tabs>
        <w:spacing w:line="240" w:lineRule="auto"/>
        <w:ind w:left="1134" w:hanging="567"/>
        <w:jc w:val="left"/>
        <w:rPr>
          <w:rFonts w:ascii="Arial" w:eastAsia="Times New Roman" w:hAnsi="Arial"/>
          <w:sz w:val="22"/>
          <w:szCs w:val="24"/>
        </w:rPr>
      </w:pPr>
      <w:r w:rsidRPr="00204363">
        <w:rPr>
          <w:rFonts w:ascii="Arial" w:eastAsia="Times New Roman" w:hAnsi="Arial"/>
          <w:sz w:val="22"/>
          <w:szCs w:val="24"/>
        </w:rPr>
        <w:t>5.4.</w:t>
      </w:r>
      <w:r w:rsidRPr="00204363">
        <w:rPr>
          <w:rFonts w:ascii="Arial" w:eastAsia="Times New Roman" w:hAnsi="Arial"/>
          <w:sz w:val="22"/>
          <w:szCs w:val="24"/>
        </w:rPr>
        <w:tab/>
      </w:r>
      <w:r w:rsidR="00204363" w:rsidRPr="00204363">
        <w:rPr>
          <w:rFonts w:ascii="Arial" w:eastAsia="Times New Roman" w:hAnsi="Arial"/>
          <w:sz w:val="22"/>
          <w:szCs w:val="24"/>
        </w:rPr>
        <w:t xml:space="preserve">Following the completion of the initial Review, Mazda will ensure that subsequent Reviews are completed within two years and three years of the Compliance Program coming into effect. </w:t>
      </w:r>
    </w:p>
    <w:p w14:paraId="1468F6CA" w14:textId="77777777" w:rsidR="00204363" w:rsidRPr="00204363" w:rsidRDefault="00204363" w:rsidP="00204363">
      <w:pPr>
        <w:spacing w:line="240" w:lineRule="auto"/>
        <w:rPr>
          <w:rFonts w:ascii="Arial" w:eastAsia="Times New Roman" w:hAnsi="Arial"/>
          <w:sz w:val="22"/>
          <w:szCs w:val="24"/>
        </w:rPr>
      </w:pPr>
    </w:p>
    <w:p w14:paraId="19D06758" w14:textId="77777777" w:rsidR="00204363" w:rsidRPr="00204363" w:rsidRDefault="00204363" w:rsidP="00204363">
      <w:pPr>
        <w:spacing w:line="240" w:lineRule="auto"/>
        <w:rPr>
          <w:rFonts w:ascii="Arial" w:eastAsia="Times New Roman" w:hAnsi="Arial"/>
          <w:b/>
          <w:bCs/>
          <w:sz w:val="22"/>
          <w:szCs w:val="24"/>
        </w:rPr>
      </w:pPr>
      <w:r w:rsidRPr="00204363">
        <w:rPr>
          <w:rFonts w:ascii="Arial" w:eastAsia="Times New Roman" w:hAnsi="Arial"/>
          <w:b/>
          <w:bCs/>
          <w:sz w:val="22"/>
          <w:szCs w:val="24"/>
        </w:rPr>
        <w:t>Compliance Report</w:t>
      </w:r>
    </w:p>
    <w:p w14:paraId="6B196B24" w14:textId="77777777" w:rsidR="00204363" w:rsidRPr="00204363" w:rsidRDefault="00204363" w:rsidP="00204363">
      <w:pPr>
        <w:spacing w:line="240" w:lineRule="auto"/>
        <w:rPr>
          <w:rFonts w:ascii="Arial" w:eastAsia="Times New Roman" w:hAnsi="Arial"/>
          <w:sz w:val="22"/>
          <w:szCs w:val="24"/>
        </w:rPr>
      </w:pPr>
    </w:p>
    <w:p w14:paraId="49302B8E" w14:textId="2E287626" w:rsidR="00204363" w:rsidRPr="00204363" w:rsidRDefault="007C3488" w:rsidP="007C3488">
      <w:pPr>
        <w:tabs>
          <w:tab w:val="left" w:pos="360"/>
        </w:tabs>
        <w:spacing w:line="240" w:lineRule="auto"/>
        <w:ind w:left="360" w:hanging="360"/>
        <w:jc w:val="left"/>
        <w:rPr>
          <w:rFonts w:ascii="Arial" w:eastAsia="Times New Roman" w:hAnsi="Arial"/>
          <w:sz w:val="22"/>
          <w:szCs w:val="24"/>
        </w:rPr>
      </w:pPr>
      <w:bookmarkStart w:id="28" w:name="_Ref150850159"/>
      <w:r w:rsidRPr="00204363">
        <w:rPr>
          <w:rFonts w:ascii="Arial" w:eastAsia="Times New Roman" w:hAnsi="Arial"/>
          <w:sz w:val="22"/>
          <w:szCs w:val="24"/>
        </w:rPr>
        <w:t>6.</w:t>
      </w:r>
      <w:r w:rsidRPr="00204363">
        <w:rPr>
          <w:rFonts w:ascii="Arial" w:eastAsia="Times New Roman" w:hAnsi="Arial"/>
          <w:sz w:val="22"/>
          <w:szCs w:val="24"/>
        </w:rPr>
        <w:tab/>
      </w:r>
      <w:r w:rsidR="00204363" w:rsidRPr="00204363">
        <w:rPr>
          <w:rFonts w:ascii="Arial" w:eastAsia="Times New Roman" w:hAnsi="Arial"/>
          <w:sz w:val="22"/>
          <w:szCs w:val="24"/>
        </w:rPr>
        <w:t xml:space="preserve">Mazda will use its best endeavours to ensure that within 30 days of the completion of a Review, the Reviewer includes the following findings of the Review in a report to </w:t>
      </w:r>
      <w:bookmarkStart w:id="29" w:name="_Hlk128053017"/>
      <w:r w:rsidR="006C1F74" w:rsidRPr="005A3E90">
        <w:rPr>
          <w:rFonts w:ascii="Arial" w:eastAsia="Times New Roman" w:hAnsi="Arial"/>
          <w:sz w:val="22"/>
          <w:szCs w:val="24"/>
        </w:rPr>
        <w:t xml:space="preserve">Mr Robins, or </w:t>
      </w:r>
      <w:r w:rsidR="00C54733" w:rsidRPr="005A3E90">
        <w:rPr>
          <w:rFonts w:ascii="Arial" w:eastAsia="Times New Roman" w:hAnsi="Arial"/>
          <w:sz w:val="22"/>
          <w:szCs w:val="24"/>
        </w:rPr>
        <w:t xml:space="preserve">any other person </w:t>
      </w:r>
      <w:r w:rsidR="003C556B" w:rsidRPr="005A3E90">
        <w:rPr>
          <w:rFonts w:ascii="Arial" w:eastAsia="Times New Roman" w:hAnsi="Arial"/>
          <w:sz w:val="22"/>
          <w:szCs w:val="24"/>
        </w:rPr>
        <w:t xml:space="preserve">appointed </w:t>
      </w:r>
      <w:r w:rsidR="00C54733" w:rsidRPr="005A3E90">
        <w:rPr>
          <w:rFonts w:ascii="Arial" w:eastAsia="Times New Roman" w:hAnsi="Arial"/>
          <w:sz w:val="22"/>
          <w:szCs w:val="24"/>
        </w:rPr>
        <w:t xml:space="preserve">as </w:t>
      </w:r>
      <w:r w:rsidR="003C556B" w:rsidRPr="005A3E90">
        <w:rPr>
          <w:rFonts w:ascii="Arial" w:eastAsia="Times New Roman" w:hAnsi="Arial"/>
          <w:sz w:val="22"/>
          <w:szCs w:val="24"/>
        </w:rPr>
        <w:t>c</w:t>
      </w:r>
      <w:r w:rsidR="00204363" w:rsidRPr="005A3E90">
        <w:rPr>
          <w:rFonts w:ascii="Arial" w:eastAsia="Times New Roman" w:hAnsi="Arial"/>
          <w:sz w:val="22"/>
          <w:szCs w:val="24"/>
        </w:rPr>
        <w:t xml:space="preserve">ompliance </w:t>
      </w:r>
      <w:r w:rsidR="003C556B" w:rsidRPr="005A3E90">
        <w:rPr>
          <w:rFonts w:ascii="Arial" w:eastAsia="Times New Roman" w:hAnsi="Arial"/>
          <w:sz w:val="22"/>
          <w:szCs w:val="24"/>
        </w:rPr>
        <w:t>o</w:t>
      </w:r>
      <w:r w:rsidR="00204363" w:rsidRPr="005A3E90">
        <w:rPr>
          <w:rFonts w:ascii="Arial" w:eastAsia="Times New Roman" w:hAnsi="Arial"/>
          <w:sz w:val="22"/>
          <w:szCs w:val="24"/>
        </w:rPr>
        <w:t xml:space="preserve">fficer of </w:t>
      </w:r>
      <w:bookmarkEnd w:id="29"/>
      <w:r w:rsidR="00204363" w:rsidRPr="005A3E90">
        <w:rPr>
          <w:rFonts w:ascii="Arial" w:eastAsia="Times New Roman" w:hAnsi="Arial"/>
          <w:sz w:val="22"/>
          <w:szCs w:val="24"/>
        </w:rPr>
        <w:t>Mazda</w:t>
      </w:r>
      <w:r w:rsidR="003203A8" w:rsidRPr="005A3E90">
        <w:rPr>
          <w:rFonts w:ascii="Arial" w:eastAsia="Times New Roman" w:hAnsi="Arial"/>
          <w:sz w:val="22"/>
          <w:szCs w:val="24"/>
        </w:rPr>
        <w:t xml:space="preserve"> at that time</w:t>
      </w:r>
      <w:r w:rsidR="00204363" w:rsidRPr="00204363">
        <w:rPr>
          <w:rFonts w:ascii="Arial" w:eastAsia="Times New Roman" w:hAnsi="Arial"/>
          <w:sz w:val="22"/>
          <w:szCs w:val="24"/>
        </w:rPr>
        <w:t xml:space="preserve"> (</w:t>
      </w:r>
      <w:r w:rsidR="00204363" w:rsidRPr="00204363">
        <w:rPr>
          <w:rFonts w:ascii="Arial" w:eastAsia="Times New Roman" w:hAnsi="Arial"/>
          <w:b/>
          <w:sz w:val="22"/>
          <w:szCs w:val="24"/>
        </w:rPr>
        <w:t>Compliance Report</w:t>
      </w:r>
      <w:r w:rsidR="00204363" w:rsidRPr="00204363">
        <w:rPr>
          <w:rFonts w:ascii="Arial" w:eastAsia="Times New Roman" w:hAnsi="Arial"/>
          <w:sz w:val="22"/>
          <w:szCs w:val="24"/>
        </w:rPr>
        <w:t>):</w:t>
      </w:r>
      <w:bookmarkEnd w:id="28"/>
    </w:p>
    <w:p w14:paraId="5803BA94" w14:textId="77777777" w:rsidR="00204363" w:rsidRPr="00204363" w:rsidRDefault="00204363" w:rsidP="00204363">
      <w:pPr>
        <w:spacing w:line="240" w:lineRule="auto"/>
        <w:rPr>
          <w:rFonts w:ascii="Arial" w:eastAsia="Times New Roman" w:hAnsi="Arial"/>
          <w:sz w:val="22"/>
          <w:szCs w:val="24"/>
        </w:rPr>
      </w:pPr>
    </w:p>
    <w:p w14:paraId="2219B15C" w14:textId="62DC07EA" w:rsidR="00204363" w:rsidRPr="00204363" w:rsidRDefault="007C3488" w:rsidP="007C3488">
      <w:pPr>
        <w:tabs>
          <w:tab w:val="left" w:pos="1283"/>
        </w:tabs>
        <w:spacing w:line="240" w:lineRule="auto"/>
        <w:ind w:left="1134" w:hanging="567"/>
        <w:jc w:val="left"/>
        <w:rPr>
          <w:rFonts w:ascii="Arial" w:eastAsia="Times New Roman" w:hAnsi="Arial"/>
          <w:bCs/>
          <w:sz w:val="22"/>
          <w:szCs w:val="24"/>
        </w:rPr>
      </w:pPr>
      <w:r w:rsidRPr="00204363">
        <w:rPr>
          <w:rFonts w:ascii="Arial" w:eastAsia="Times New Roman" w:hAnsi="Arial"/>
          <w:sz w:val="22"/>
          <w:szCs w:val="24"/>
        </w:rPr>
        <w:t>6.1.</w:t>
      </w:r>
      <w:r w:rsidRPr="00204363">
        <w:rPr>
          <w:rFonts w:ascii="Arial" w:eastAsia="Times New Roman" w:hAnsi="Arial"/>
          <w:sz w:val="22"/>
          <w:szCs w:val="24"/>
        </w:rPr>
        <w:tab/>
      </w:r>
      <w:r w:rsidR="00204363" w:rsidRPr="00204363">
        <w:rPr>
          <w:rFonts w:ascii="Arial" w:eastAsia="Times New Roman" w:hAnsi="Arial"/>
          <w:bCs/>
          <w:sz w:val="22"/>
          <w:szCs w:val="24"/>
        </w:rPr>
        <w:t xml:space="preserve">whether the Compliance Program of Mazda includes all the elements detailed in paragraphs </w:t>
      </w:r>
      <w:bookmarkStart w:id="30" w:name="_Hlk132883021"/>
      <w:r w:rsidR="00C073D9">
        <w:rPr>
          <w:rFonts w:ascii="Arial" w:eastAsia="Times New Roman" w:hAnsi="Arial"/>
          <w:bCs/>
          <w:sz w:val="22"/>
          <w:szCs w:val="24"/>
        </w:rPr>
        <w:fldChar w:fldCharType="begin"/>
      </w:r>
      <w:r w:rsidR="00C073D9">
        <w:rPr>
          <w:rFonts w:ascii="Arial" w:eastAsia="Times New Roman" w:hAnsi="Arial"/>
          <w:bCs/>
          <w:sz w:val="22"/>
          <w:szCs w:val="24"/>
        </w:rPr>
        <w:instrText xml:space="preserve"> REF _Ref158708404 \r \h </w:instrText>
      </w:r>
      <w:r w:rsidR="00C073D9">
        <w:rPr>
          <w:rFonts w:ascii="Arial" w:eastAsia="Times New Roman" w:hAnsi="Arial"/>
          <w:bCs/>
          <w:sz w:val="22"/>
          <w:szCs w:val="24"/>
        </w:rPr>
      </w:r>
      <w:r w:rsidR="00C073D9">
        <w:rPr>
          <w:rFonts w:ascii="Arial" w:eastAsia="Times New Roman" w:hAnsi="Arial"/>
          <w:bCs/>
          <w:sz w:val="22"/>
          <w:szCs w:val="24"/>
        </w:rPr>
        <w:fldChar w:fldCharType="separate"/>
      </w:r>
      <w:r w:rsidR="00C073D9">
        <w:rPr>
          <w:rFonts w:ascii="Arial" w:eastAsia="Times New Roman" w:hAnsi="Arial"/>
          <w:bCs/>
          <w:sz w:val="22"/>
          <w:szCs w:val="24"/>
        </w:rPr>
        <w:t>1</w:t>
      </w:r>
      <w:r w:rsidR="00C073D9">
        <w:rPr>
          <w:rFonts w:ascii="Arial" w:eastAsia="Times New Roman" w:hAnsi="Arial"/>
          <w:bCs/>
          <w:sz w:val="22"/>
          <w:szCs w:val="24"/>
        </w:rPr>
        <w:fldChar w:fldCharType="end"/>
      </w:r>
      <w:r w:rsidR="00C073D9">
        <w:rPr>
          <w:rFonts w:ascii="Arial" w:eastAsia="Times New Roman" w:hAnsi="Arial"/>
          <w:bCs/>
          <w:sz w:val="22"/>
          <w:szCs w:val="24"/>
        </w:rPr>
        <w:t xml:space="preserve"> </w:t>
      </w:r>
      <w:r w:rsidR="00204363" w:rsidRPr="00204363">
        <w:rPr>
          <w:rFonts w:ascii="Arial" w:eastAsia="Times New Roman" w:hAnsi="Arial"/>
          <w:bCs/>
          <w:sz w:val="22"/>
          <w:szCs w:val="24"/>
        </w:rPr>
        <w:t xml:space="preserve">to </w:t>
      </w:r>
      <w:bookmarkEnd w:id="30"/>
      <w:r w:rsidR="00C073D9">
        <w:rPr>
          <w:rFonts w:ascii="Arial" w:eastAsia="Times New Roman" w:hAnsi="Arial"/>
          <w:bCs/>
          <w:sz w:val="22"/>
          <w:szCs w:val="24"/>
        </w:rPr>
        <w:fldChar w:fldCharType="begin"/>
      </w:r>
      <w:r w:rsidR="00C073D9">
        <w:rPr>
          <w:rFonts w:ascii="Arial" w:eastAsia="Times New Roman" w:hAnsi="Arial"/>
          <w:bCs/>
          <w:sz w:val="22"/>
          <w:szCs w:val="24"/>
        </w:rPr>
        <w:instrText xml:space="preserve"> REF _Ref158708420 \r \h </w:instrText>
      </w:r>
      <w:r w:rsidR="00C073D9">
        <w:rPr>
          <w:rFonts w:ascii="Arial" w:eastAsia="Times New Roman" w:hAnsi="Arial"/>
          <w:bCs/>
          <w:sz w:val="22"/>
          <w:szCs w:val="24"/>
        </w:rPr>
      </w:r>
      <w:r w:rsidR="00C073D9">
        <w:rPr>
          <w:rFonts w:ascii="Arial" w:eastAsia="Times New Roman" w:hAnsi="Arial"/>
          <w:bCs/>
          <w:sz w:val="22"/>
          <w:szCs w:val="24"/>
        </w:rPr>
        <w:fldChar w:fldCharType="separate"/>
      </w:r>
      <w:r w:rsidR="00C073D9">
        <w:rPr>
          <w:rFonts w:ascii="Arial" w:eastAsia="Times New Roman" w:hAnsi="Arial"/>
          <w:bCs/>
          <w:sz w:val="22"/>
          <w:szCs w:val="24"/>
        </w:rPr>
        <w:t>4</w:t>
      </w:r>
      <w:r w:rsidR="00C073D9">
        <w:rPr>
          <w:rFonts w:ascii="Arial" w:eastAsia="Times New Roman" w:hAnsi="Arial"/>
          <w:bCs/>
          <w:sz w:val="22"/>
          <w:szCs w:val="24"/>
        </w:rPr>
        <w:fldChar w:fldCharType="end"/>
      </w:r>
      <w:r w:rsidR="00C073D9">
        <w:rPr>
          <w:rFonts w:ascii="Arial" w:eastAsia="Times New Roman" w:hAnsi="Arial"/>
          <w:bCs/>
          <w:sz w:val="22"/>
          <w:szCs w:val="24"/>
        </w:rPr>
        <w:t xml:space="preserve"> </w:t>
      </w:r>
      <w:r w:rsidR="00204363" w:rsidRPr="00204363">
        <w:rPr>
          <w:rFonts w:ascii="Arial" w:eastAsia="Times New Roman" w:hAnsi="Arial"/>
          <w:sz w:val="22"/>
          <w:szCs w:val="24"/>
        </w:rPr>
        <w:t>of this Annexure</w:t>
      </w:r>
      <w:r w:rsidR="00204363" w:rsidRPr="00204363">
        <w:rPr>
          <w:rFonts w:ascii="Arial" w:eastAsia="Times New Roman" w:hAnsi="Arial"/>
          <w:bCs/>
          <w:sz w:val="22"/>
          <w:szCs w:val="24"/>
        </w:rPr>
        <w:t>, and if not, what elements need to be included or further developed;</w:t>
      </w:r>
    </w:p>
    <w:p w14:paraId="4EB5D7FC" w14:textId="77777777" w:rsidR="00204363" w:rsidRPr="00204363" w:rsidRDefault="00204363" w:rsidP="00204363">
      <w:pPr>
        <w:spacing w:line="240" w:lineRule="auto"/>
        <w:ind w:left="1134" w:hanging="567"/>
        <w:rPr>
          <w:rFonts w:ascii="Arial" w:eastAsia="Times New Roman" w:hAnsi="Arial"/>
          <w:bCs/>
          <w:sz w:val="22"/>
          <w:szCs w:val="24"/>
        </w:rPr>
      </w:pPr>
    </w:p>
    <w:p w14:paraId="312BB5EA" w14:textId="7AEFF6CD" w:rsidR="00204363" w:rsidRPr="00204363" w:rsidRDefault="007C3488" w:rsidP="007C3488">
      <w:pPr>
        <w:tabs>
          <w:tab w:val="left" w:pos="1283"/>
        </w:tabs>
        <w:spacing w:line="240" w:lineRule="auto"/>
        <w:ind w:left="1134" w:hanging="567"/>
        <w:jc w:val="left"/>
        <w:rPr>
          <w:rFonts w:ascii="Arial" w:eastAsia="Times New Roman" w:hAnsi="Arial"/>
          <w:bCs/>
          <w:sz w:val="22"/>
          <w:szCs w:val="24"/>
        </w:rPr>
      </w:pPr>
      <w:r w:rsidRPr="00204363">
        <w:rPr>
          <w:rFonts w:ascii="Arial" w:eastAsia="Times New Roman" w:hAnsi="Arial"/>
          <w:sz w:val="22"/>
          <w:szCs w:val="24"/>
        </w:rPr>
        <w:t>6.2.</w:t>
      </w:r>
      <w:r w:rsidRPr="00204363">
        <w:rPr>
          <w:rFonts w:ascii="Arial" w:eastAsia="Times New Roman" w:hAnsi="Arial"/>
          <w:sz w:val="22"/>
          <w:szCs w:val="24"/>
        </w:rPr>
        <w:tab/>
      </w:r>
      <w:r w:rsidR="00204363" w:rsidRPr="00204363">
        <w:rPr>
          <w:rFonts w:ascii="Arial" w:eastAsia="Times New Roman" w:hAnsi="Arial"/>
          <w:sz w:val="22"/>
          <w:szCs w:val="24"/>
        </w:rPr>
        <w:t xml:space="preserve">whether the Compliance Program adequately covers areas identified in the Risk Assessment, and if not, what needs to be further </w:t>
      </w:r>
      <w:proofErr w:type="gramStart"/>
      <w:r w:rsidR="00204363" w:rsidRPr="00204363">
        <w:rPr>
          <w:rFonts w:ascii="Arial" w:eastAsia="Times New Roman" w:hAnsi="Arial"/>
          <w:sz w:val="22"/>
          <w:szCs w:val="24"/>
        </w:rPr>
        <w:t>addressed;</w:t>
      </w:r>
      <w:proofErr w:type="gramEnd"/>
      <w:r w:rsidR="00204363" w:rsidRPr="00204363">
        <w:rPr>
          <w:rFonts w:ascii="Arial" w:eastAsia="Times New Roman" w:hAnsi="Arial"/>
          <w:sz w:val="22"/>
          <w:szCs w:val="24"/>
        </w:rPr>
        <w:t xml:space="preserve"> </w:t>
      </w:r>
    </w:p>
    <w:p w14:paraId="74EEA3E7" w14:textId="77777777" w:rsidR="00204363" w:rsidRPr="00204363" w:rsidRDefault="00204363" w:rsidP="00204363">
      <w:pPr>
        <w:spacing w:line="240" w:lineRule="auto"/>
        <w:ind w:left="1134" w:hanging="567"/>
        <w:rPr>
          <w:rFonts w:ascii="Arial" w:eastAsia="Times New Roman" w:hAnsi="Arial"/>
          <w:sz w:val="22"/>
          <w:szCs w:val="24"/>
        </w:rPr>
      </w:pPr>
    </w:p>
    <w:p w14:paraId="0212C337" w14:textId="4808213D" w:rsidR="00204363" w:rsidRPr="00204363" w:rsidRDefault="007C3488" w:rsidP="007C3488">
      <w:pPr>
        <w:tabs>
          <w:tab w:val="left" w:pos="1283"/>
        </w:tabs>
        <w:spacing w:line="240" w:lineRule="auto"/>
        <w:ind w:left="1134" w:hanging="567"/>
        <w:jc w:val="left"/>
        <w:rPr>
          <w:rFonts w:ascii="Arial" w:eastAsia="Times New Roman" w:hAnsi="Arial"/>
          <w:bCs/>
          <w:sz w:val="22"/>
          <w:szCs w:val="24"/>
        </w:rPr>
      </w:pPr>
      <w:r w:rsidRPr="00204363">
        <w:rPr>
          <w:rFonts w:ascii="Arial" w:eastAsia="Times New Roman" w:hAnsi="Arial"/>
          <w:sz w:val="22"/>
          <w:szCs w:val="24"/>
        </w:rPr>
        <w:t>6.3.</w:t>
      </w:r>
      <w:r w:rsidRPr="00204363">
        <w:rPr>
          <w:rFonts w:ascii="Arial" w:eastAsia="Times New Roman" w:hAnsi="Arial"/>
          <w:sz w:val="22"/>
          <w:szCs w:val="24"/>
        </w:rPr>
        <w:tab/>
      </w:r>
      <w:r w:rsidR="00204363" w:rsidRPr="00204363">
        <w:rPr>
          <w:rFonts w:ascii="Arial" w:eastAsia="Times New Roman" w:hAnsi="Arial"/>
          <w:bCs/>
          <w:sz w:val="22"/>
          <w:szCs w:val="24"/>
        </w:rPr>
        <w:t xml:space="preserve">whether the Staff Training and Induction is effective, and if not, what aspects need to be further </w:t>
      </w:r>
      <w:proofErr w:type="gramStart"/>
      <w:r w:rsidR="00204363" w:rsidRPr="00204363">
        <w:rPr>
          <w:rFonts w:ascii="Arial" w:eastAsia="Times New Roman" w:hAnsi="Arial"/>
          <w:bCs/>
          <w:sz w:val="22"/>
          <w:szCs w:val="24"/>
        </w:rPr>
        <w:t>developed;</w:t>
      </w:r>
      <w:proofErr w:type="gramEnd"/>
    </w:p>
    <w:p w14:paraId="24D7D6D8" w14:textId="77777777" w:rsidR="00204363" w:rsidRPr="00204363" w:rsidRDefault="00204363" w:rsidP="00204363">
      <w:pPr>
        <w:spacing w:line="240" w:lineRule="auto"/>
        <w:ind w:left="1134" w:hanging="567"/>
        <w:rPr>
          <w:rFonts w:ascii="Arial" w:eastAsia="Times New Roman" w:hAnsi="Arial"/>
          <w:bCs/>
          <w:sz w:val="22"/>
          <w:szCs w:val="24"/>
        </w:rPr>
      </w:pPr>
    </w:p>
    <w:p w14:paraId="0759E95A" w14:textId="13734419" w:rsidR="00204363" w:rsidRPr="00204363" w:rsidRDefault="007C3488" w:rsidP="007C3488">
      <w:pPr>
        <w:tabs>
          <w:tab w:val="left" w:pos="1283"/>
        </w:tabs>
        <w:spacing w:line="240" w:lineRule="auto"/>
        <w:ind w:left="1134" w:hanging="567"/>
        <w:jc w:val="left"/>
        <w:rPr>
          <w:rFonts w:ascii="Arial" w:eastAsia="Times New Roman" w:hAnsi="Arial"/>
          <w:bCs/>
          <w:sz w:val="22"/>
          <w:szCs w:val="24"/>
        </w:rPr>
      </w:pPr>
      <w:r w:rsidRPr="00204363">
        <w:rPr>
          <w:rFonts w:ascii="Arial" w:eastAsia="Times New Roman" w:hAnsi="Arial"/>
          <w:sz w:val="22"/>
          <w:szCs w:val="24"/>
        </w:rPr>
        <w:lastRenderedPageBreak/>
        <w:t>6.4.</w:t>
      </w:r>
      <w:r w:rsidRPr="00204363">
        <w:rPr>
          <w:rFonts w:ascii="Arial" w:eastAsia="Times New Roman" w:hAnsi="Arial"/>
          <w:sz w:val="22"/>
          <w:szCs w:val="24"/>
        </w:rPr>
        <w:tab/>
      </w:r>
      <w:r w:rsidR="00204363" w:rsidRPr="00204363">
        <w:rPr>
          <w:rFonts w:ascii="Arial" w:eastAsia="Times New Roman" w:hAnsi="Arial"/>
          <w:bCs/>
          <w:sz w:val="22"/>
          <w:szCs w:val="24"/>
        </w:rPr>
        <w:t xml:space="preserve">whether Mazda’s Complaints Handling System is effective, and if not, what aspects need to be further </w:t>
      </w:r>
      <w:proofErr w:type="gramStart"/>
      <w:r w:rsidR="00204363" w:rsidRPr="00204363">
        <w:rPr>
          <w:rFonts w:ascii="Arial" w:eastAsia="Times New Roman" w:hAnsi="Arial"/>
          <w:bCs/>
          <w:sz w:val="22"/>
          <w:szCs w:val="24"/>
        </w:rPr>
        <w:t>developed;</w:t>
      </w:r>
      <w:proofErr w:type="gramEnd"/>
    </w:p>
    <w:p w14:paraId="1F59D3C0" w14:textId="77777777" w:rsidR="00204363" w:rsidRPr="00204363" w:rsidRDefault="00204363" w:rsidP="00204363">
      <w:pPr>
        <w:spacing w:line="240" w:lineRule="auto"/>
        <w:ind w:left="1134" w:hanging="567"/>
        <w:rPr>
          <w:rFonts w:ascii="Arial" w:eastAsia="Times New Roman" w:hAnsi="Arial"/>
          <w:bCs/>
          <w:sz w:val="22"/>
          <w:szCs w:val="24"/>
        </w:rPr>
      </w:pPr>
    </w:p>
    <w:p w14:paraId="541D2D1D" w14:textId="521890AE" w:rsidR="00204363" w:rsidRPr="00204363" w:rsidRDefault="007C3488" w:rsidP="007C3488">
      <w:pPr>
        <w:tabs>
          <w:tab w:val="left" w:pos="1283"/>
        </w:tabs>
        <w:spacing w:line="240" w:lineRule="auto"/>
        <w:ind w:left="1134" w:hanging="567"/>
        <w:jc w:val="left"/>
        <w:rPr>
          <w:rFonts w:ascii="Arial" w:eastAsia="Times New Roman" w:hAnsi="Arial"/>
          <w:bCs/>
          <w:sz w:val="22"/>
          <w:szCs w:val="24"/>
        </w:rPr>
      </w:pPr>
      <w:r w:rsidRPr="00204363">
        <w:rPr>
          <w:rFonts w:ascii="Arial" w:eastAsia="Times New Roman" w:hAnsi="Arial"/>
          <w:sz w:val="22"/>
          <w:szCs w:val="24"/>
        </w:rPr>
        <w:t>6.5.</w:t>
      </w:r>
      <w:r w:rsidRPr="00204363">
        <w:rPr>
          <w:rFonts w:ascii="Arial" w:eastAsia="Times New Roman" w:hAnsi="Arial"/>
          <w:sz w:val="22"/>
          <w:szCs w:val="24"/>
        </w:rPr>
        <w:tab/>
      </w:r>
      <w:r w:rsidR="00204363" w:rsidRPr="00204363">
        <w:rPr>
          <w:rFonts w:ascii="Arial" w:eastAsia="Times New Roman" w:hAnsi="Arial"/>
          <w:bCs/>
          <w:sz w:val="22"/>
          <w:szCs w:val="24"/>
        </w:rPr>
        <w:t xml:space="preserve">whether Mazda </w:t>
      </w:r>
      <w:proofErr w:type="gramStart"/>
      <w:r w:rsidR="00204363" w:rsidRPr="00204363">
        <w:rPr>
          <w:rFonts w:ascii="Arial" w:eastAsia="Times New Roman" w:hAnsi="Arial"/>
          <w:bCs/>
          <w:sz w:val="22"/>
          <w:szCs w:val="24"/>
        </w:rPr>
        <w:t>is able to</w:t>
      </w:r>
      <w:proofErr w:type="gramEnd"/>
      <w:r w:rsidR="00204363" w:rsidRPr="00204363">
        <w:rPr>
          <w:rFonts w:ascii="Arial" w:eastAsia="Times New Roman" w:hAnsi="Arial"/>
          <w:bCs/>
          <w:sz w:val="22"/>
          <w:szCs w:val="24"/>
        </w:rPr>
        <w:t xml:space="preserve"> provide protections </w:t>
      </w:r>
      <w:r w:rsidR="00204363" w:rsidRPr="00204363">
        <w:rPr>
          <w:rFonts w:ascii="Arial" w:eastAsia="Times New Roman" w:hAnsi="Arial"/>
          <w:sz w:val="22"/>
          <w:szCs w:val="24"/>
        </w:rPr>
        <w:t xml:space="preserve">consistent with good practice guidance referred to in paragraph </w:t>
      </w:r>
      <w:r w:rsidR="00204363" w:rsidRPr="00204363">
        <w:rPr>
          <w:rFonts w:ascii="Arial" w:eastAsia="Times New Roman" w:hAnsi="Arial"/>
          <w:sz w:val="22"/>
          <w:szCs w:val="24"/>
        </w:rPr>
        <w:fldChar w:fldCharType="begin"/>
      </w:r>
      <w:r w:rsidR="00204363" w:rsidRPr="00204363">
        <w:rPr>
          <w:rFonts w:ascii="Arial" w:eastAsia="Times New Roman" w:hAnsi="Arial"/>
          <w:sz w:val="22"/>
          <w:szCs w:val="24"/>
        </w:rPr>
        <w:instrText xml:space="preserve"> REF _Ref150851626 \r \h  \* MERGEFORMAT </w:instrText>
      </w:r>
      <w:r w:rsidR="00204363" w:rsidRPr="00204363">
        <w:rPr>
          <w:rFonts w:ascii="Arial" w:eastAsia="Times New Roman" w:hAnsi="Arial"/>
          <w:sz w:val="22"/>
          <w:szCs w:val="24"/>
        </w:rPr>
      </w:r>
      <w:r w:rsidR="00204363" w:rsidRPr="00204363">
        <w:rPr>
          <w:rFonts w:ascii="Arial" w:eastAsia="Times New Roman" w:hAnsi="Arial"/>
          <w:sz w:val="22"/>
          <w:szCs w:val="24"/>
        </w:rPr>
        <w:fldChar w:fldCharType="separate"/>
      </w:r>
      <w:r w:rsidR="005E3EB9">
        <w:rPr>
          <w:rFonts w:ascii="Arial" w:eastAsia="Times New Roman" w:hAnsi="Arial"/>
          <w:sz w:val="22"/>
          <w:szCs w:val="24"/>
        </w:rPr>
        <w:t>4.2</w:t>
      </w:r>
      <w:r w:rsidR="00204363" w:rsidRPr="00204363">
        <w:rPr>
          <w:rFonts w:ascii="Arial" w:eastAsia="Times New Roman" w:hAnsi="Arial"/>
          <w:sz w:val="22"/>
          <w:szCs w:val="24"/>
        </w:rPr>
        <w:fldChar w:fldCharType="end"/>
      </w:r>
      <w:r w:rsidR="00204363" w:rsidRPr="00204363">
        <w:rPr>
          <w:rFonts w:ascii="Arial" w:eastAsia="Times New Roman" w:hAnsi="Arial"/>
          <w:sz w:val="22"/>
          <w:szCs w:val="24"/>
        </w:rPr>
        <w:t xml:space="preserve"> of this Annexure</w:t>
      </w:r>
      <w:r w:rsidR="00204363" w:rsidRPr="00204363">
        <w:rPr>
          <w:rFonts w:ascii="Arial" w:eastAsia="Times New Roman" w:hAnsi="Arial"/>
          <w:bCs/>
          <w:sz w:val="22"/>
          <w:szCs w:val="24"/>
        </w:rPr>
        <w:t xml:space="preserve"> for competition and consumer law whistleblowers, and whether staff are aware of the whistleblower protection mechanisms; and</w:t>
      </w:r>
    </w:p>
    <w:p w14:paraId="7E588C7F" w14:textId="77777777" w:rsidR="00204363" w:rsidRPr="00204363" w:rsidRDefault="00204363" w:rsidP="00204363">
      <w:pPr>
        <w:spacing w:line="240" w:lineRule="auto"/>
        <w:ind w:left="1134" w:hanging="567"/>
        <w:rPr>
          <w:rFonts w:ascii="Arial" w:eastAsia="Times New Roman" w:hAnsi="Arial"/>
          <w:bCs/>
          <w:sz w:val="22"/>
          <w:szCs w:val="24"/>
        </w:rPr>
      </w:pPr>
    </w:p>
    <w:p w14:paraId="2612D19C" w14:textId="721CB354" w:rsidR="00204363" w:rsidRPr="00204363" w:rsidRDefault="007C3488" w:rsidP="007C3488">
      <w:pPr>
        <w:tabs>
          <w:tab w:val="left" w:pos="1283"/>
        </w:tabs>
        <w:spacing w:line="240" w:lineRule="auto"/>
        <w:ind w:left="1134" w:hanging="567"/>
        <w:jc w:val="left"/>
        <w:rPr>
          <w:rFonts w:ascii="Arial" w:eastAsia="Times New Roman" w:hAnsi="Arial"/>
          <w:sz w:val="22"/>
          <w:szCs w:val="24"/>
        </w:rPr>
      </w:pPr>
      <w:r w:rsidRPr="00204363">
        <w:rPr>
          <w:rFonts w:ascii="Arial" w:eastAsia="Times New Roman" w:hAnsi="Arial"/>
          <w:sz w:val="22"/>
          <w:szCs w:val="24"/>
        </w:rPr>
        <w:t>6.6.</w:t>
      </w:r>
      <w:r w:rsidRPr="00204363">
        <w:rPr>
          <w:rFonts w:ascii="Arial" w:eastAsia="Times New Roman" w:hAnsi="Arial"/>
          <w:sz w:val="22"/>
          <w:szCs w:val="24"/>
        </w:rPr>
        <w:tab/>
      </w:r>
      <w:r w:rsidR="00204363" w:rsidRPr="00204363">
        <w:rPr>
          <w:rFonts w:ascii="Arial" w:eastAsia="Times New Roman" w:hAnsi="Arial"/>
          <w:bCs/>
          <w:sz w:val="22"/>
          <w:szCs w:val="24"/>
        </w:rPr>
        <w:t>whether there are any material deficiencies in Mazda’s Compliance Program, or whether there are or have been instances of material non-compliance with the Compliance Program (</w:t>
      </w:r>
      <w:r w:rsidR="00204363" w:rsidRPr="00204363">
        <w:rPr>
          <w:rFonts w:ascii="Arial" w:eastAsia="Times New Roman" w:hAnsi="Arial"/>
          <w:b/>
          <w:bCs/>
          <w:sz w:val="22"/>
          <w:szCs w:val="24"/>
        </w:rPr>
        <w:t>Material Failure</w:t>
      </w:r>
      <w:r w:rsidR="00204363" w:rsidRPr="00204363">
        <w:rPr>
          <w:rFonts w:ascii="Arial" w:eastAsia="Times New Roman" w:hAnsi="Arial"/>
          <w:bCs/>
          <w:sz w:val="22"/>
          <w:szCs w:val="24"/>
        </w:rPr>
        <w:t>), and if so, recommendations for rectifying the Material Failure.</w:t>
      </w:r>
    </w:p>
    <w:p w14:paraId="3B000FAF" w14:textId="25A9C833" w:rsidR="00204363" w:rsidRPr="00204363" w:rsidRDefault="008D6151" w:rsidP="00204363">
      <w:pPr>
        <w:spacing w:line="240" w:lineRule="auto"/>
        <w:rPr>
          <w:rFonts w:ascii="Arial" w:eastAsia="Times New Roman" w:hAnsi="Arial"/>
          <w:sz w:val="22"/>
          <w:szCs w:val="24"/>
        </w:rPr>
      </w:pPr>
      <w:r>
        <w:rPr>
          <w:rFonts w:ascii="Arial" w:eastAsia="Times New Roman" w:hAnsi="Arial"/>
          <w:sz w:val="22"/>
          <w:szCs w:val="24"/>
        </w:rPr>
        <w:br/>
      </w:r>
    </w:p>
    <w:p w14:paraId="0C668764" w14:textId="77777777" w:rsidR="00204363" w:rsidRPr="00204363" w:rsidRDefault="00204363" w:rsidP="00204363">
      <w:pPr>
        <w:spacing w:line="240" w:lineRule="auto"/>
        <w:rPr>
          <w:rFonts w:ascii="Arial" w:eastAsia="Times New Roman" w:hAnsi="Arial"/>
          <w:b/>
          <w:bCs/>
          <w:sz w:val="22"/>
          <w:szCs w:val="24"/>
        </w:rPr>
      </w:pPr>
      <w:r w:rsidRPr="00204363">
        <w:rPr>
          <w:rFonts w:ascii="Arial" w:eastAsia="Times New Roman" w:hAnsi="Arial"/>
          <w:b/>
          <w:bCs/>
          <w:sz w:val="22"/>
          <w:szCs w:val="24"/>
        </w:rPr>
        <w:t xml:space="preserve">Mazda’s Response to Compliance Report </w:t>
      </w:r>
    </w:p>
    <w:p w14:paraId="5464C07F" w14:textId="77777777" w:rsidR="00204363" w:rsidRPr="00204363" w:rsidRDefault="00204363" w:rsidP="00204363">
      <w:pPr>
        <w:spacing w:line="240" w:lineRule="auto"/>
        <w:rPr>
          <w:rFonts w:ascii="Arial" w:eastAsia="Times New Roman" w:hAnsi="Arial"/>
          <w:sz w:val="22"/>
          <w:szCs w:val="24"/>
        </w:rPr>
      </w:pPr>
    </w:p>
    <w:p w14:paraId="3839B8AE" w14:textId="091F982C" w:rsidR="00204363" w:rsidRPr="00204363" w:rsidRDefault="007C3488" w:rsidP="007C3488">
      <w:pPr>
        <w:tabs>
          <w:tab w:val="left" w:pos="360"/>
        </w:tabs>
        <w:spacing w:line="240" w:lineRule="auto"/>
        <w:ind w:left="360" w:hanging="360"/>
        <w:jc w:val="left"/>
        <w:rPr>
          <w:rFonts w:ascii="Arial" w:eastAsia="Times New Roman" w:hAnsi="Arial"/>
          <w:sz w:val="22"/>
          <w:szCs w:val="24"/>
        </w:rPr>
      </w:pPr>
      <w:bookmarkStart w:id="31" w:name="_Ref150852866"/>
      <w:r w:rsidRPr="00204363">
        <w:rPr>
          <w:rFonts w:ascii="Arial" w:eastAsia="Times New Roman" w:hAnsi="Arial"/>
          <w:sz w:val="22"/>
          <w:szCs w:val="24"/>
        </w:rPr>
        <w:t>7.</w:t>
      </w:r>
      <w:r w:rsidRPr="00204363">
        <w:rPr>
          <w:rFonts w:ascii="Arial" w:eastAsia="Times New Roman" w:hAnsi="Arial"/>
          <w:sz w:val="22"/>
          <w:szCs w:val="24"/>
        </w:rPr>
        <w:tab/>
      </w:r>
      <w:r w:rsidR="00204363" w:rsidRPr="00204363">
        <w:rPr>
          <w:rFonts w:ascii="Arial" w:eastAsia="Times New Roman" w:hAnsi="Arial"/>
          <w:sz w:val="22"/>
          <w:szCs w:val="24"/>
        </w:rPr>
        <w:t>Mazda will ensure that the Compliance Officer, within 30 days of receiving the Compliance Report:</w:t>
      </w:r>
      <w:bookmarkEnd w:id="31"/>
    </w:p>
    <w:p w14:paraId="196EBE4F" w14:textId="77777777" w:rsidR="00204363" w:rsidRPr="00204363" w:rsidRDefault="00204363" w:rsidP="00204363">
      <w:pPr>
        <w:spacing w:line="240" w:lineRule="auto"/>
        <w:ind w:left="360"/>
        <w:rPr>
          <w:rFonts w:ascii="Arial" w:eastAsia="Times New Roman" w:hAnsi="Arial"/>
          <w:sz w:val="22"/>
          <w:szCs w:val="24"/>
        </w:rPr>
      </w:pPr>
    </w:p>
    <w:p w14:paraId="4887A109" w14:textId="4094020E" w:rsidR="00204363" w:rsidRPr="00204363" w:rsidRDefault="007C3488" w:rsidP="007C3488">
      <w:pPr>
        <w:tabs>
          <w:tab w:val="left" w:pos="1283"/>
        </w:tabs>
        <w:spacing w:line="240" w:lineRule="auto"/>
        <w:ind w:left="1134" w:hanging="567"/>
        <w:jc w:val="left"/>
        <w:rPr>
          <w:rFonts w:ascii="Arial" w:eastAsia="Times New Roman" w:hAnsi="Arial"/>
          <w:sz w:val="22"/>
          <w:szCs w:val="24"/>
        </w:rPr>
      </w:pPr>
      <w:r w:rsidRPr="00204363">
        <w:rPr>
          <w:rFonts w:ascii="Arial" w:eastAsia="Times New Roman" w:hAnsi="Arial"/>
          <w:sz w:val="22"/>
          <w:szCs w:val="24"/>
        </w:rPr>
        <w:t>7.1.</w:t>
      </w:r>
      <w:r w:rsidRPr="00204363">
        <w:rPr>
          <w:rFonts w:ascii="Arial" w:eastAsia="Times New Roman" w:hAnsi="Arial"/>
          <w:sz w:val="22"/>
          <w:szCs w:val="24"/>
        </w:rPr>
        <w:tab/>
      </w:r>
      <w:r w:rsidR="00204363" w:rsidRPr="00204363">
        <w:rPr>
          <w:rFonts w:ascii="Arial" w:eastAsia="Times New Roman" w:hAnsi="Arial"/>
          <w:sz w:val="22"/>
          <w:szCs w:val="24"/>
        </w:rPr>
        <w:t xml:space="preserve">provides the Compliance Report to </w:t>
      </w:r>
      <w:bookmarkStart w:id="32" w:name="_Hlk136354562"/>
      <w:r w:rsidR="00204363" w:rsidRPr="00204363">
        <w:rPr>
          <w:rFonts w:ascii="Arial" w:eastAsia="Times New Roman" w:hAnsi="Arial"/>
          <w:sz w:val="22"/>
          <w:szCs w:val="24"/>
        </w:rPr>
        <w:t>Mazda’s Board or senior management</w:t>
      </w:r>
      <w:bookmarkEnd w:id="32"/>
      <w:r w:rsidR="00204363" w:rsidRPr="00204363">
        <w:rPr>
          <w:rFonts w:ascii="Arial" w:eastAsia="Times New Roman" w:hAnsi="Arial"/>
          <w:sz w:val="22"/>
          <w:szCs w:val="24"/>
        </w:rPr>
        <w:t>; and</w:t>
      </w:r>
    </w:p>
    <w:p w14:paraId="1639A2ED" w14:textId="77777777" w:rsidR="00204363" w:rsidRPr="00204363" w:rsidRDefault="00204363" w:rsidP="00204363">
      <w:pPr>
        <w:spacing w:line="240" w:lineRule="auto"/>
        <w:ind w:left="1134" w:hanging="567"/>
        <w:rPr>
          <w:rFonts w:ascii="Arial" w:eastAsia="Times New Roman" w:hAnsi="Arial"/>
          <w:sz w:val="22"/>
          <w:szCs w:val="24"/>
        </w:rPr>
      </w:pPr>
    </w:p>
    <w:p w14:paraId="3C2C0A9B" w14:textId="31E1DACF" w:rsidR="00204363" w:rsidRPr="00204363" w:rsidRDefault="007C3488" w:rsidP="007C3488">
      <w:pPr>
        <w:tabs>
          <w:tab w:val="left" w:pos="1283"/>
        </w:tabs>
        <w:spacing w:line="240" w:lineRule="auto"/>
        <w:ind w:left="1134" w:hanging="567"/>
        <w:jc w:val="left"/>
        <w:rPr>
          <w:rFonts w:ascii="Arial" w:eastAsia="Times New Roman" w:hAnsi="Arial"/>
          <w:sz w:val="22"/>
          <w:szCs w:val="24"/>
        </w:rPr>
      </w:pPr>
      <w:r w:rsidRPr="00204363">
        <w:rPr>
          <w:rFonts w:ascii="Arial" w:eastAsia="Times New Roman" w:hAnsi="Arial"/>
          <w:sz w:val="22"/>
          <w:szCs w:val="24"/>
        </w:rPr>
        <w:t>7.2.</w:t>
      </w:r>
      <w:r w:rsidRPr="00204363">
        <w:rPr>
          <w:rFonts w:ascii="Arial" w:eastAsia="Times New Roman" w:hAnsi="Arial"/>
          <w:sz w:val="22"/>
          <w:szCs w:val="24"/>
        </w:rPr>
        <w:tab/>
      </w:r>
      <w:r w:rsidR="00204363" w:rsidRPr="00204363">
        <w:rPr>
          <w:rFonts w:ascii="Arial" w:eastAsia="Times New Roman" w:hAnsi="Arial"/>
          <w:sz w:val="22"/>
          <w:szCs w:val="24"/>
        </w:rPr>
        <w:t xml:space="preserve">where a Material Failure has been identified by the Reviewer in the Compliance Report, provides a report to </w:t>
      </w:r>
      <w:r w:rsidR="00204363" w:rsidRPr="00204363">
        <w:rPr>
          <w:rFonts w:ascii="Arial" w:eastAsia="Times New Roman" w:hAnsi="Arial"/>
          <w:bCs/>
          <w:sz w:val="22"/>
          <w:szCs w:val="24"/>
        </w:rPr>
        <w:t>Mazda’s Board or senior management</w:t>
      </w:r>
      <w:r w:rsidR="00204363" w:rsidRPr="00204363">
        <w:rPr>
          <w:rFonts w:ascii="Arial" w:eastAsia="Times New Roman" w:hAnsi="Arial"/>
          <w:sz w:val="22"/>
          <w:szCs w:val="24"/>
        </w:rPr>
        <w:t xml:space="preserve"> identifying how Mazda can implement any recommendations made by the Reviewer in the Compliance Report to rectify the Material Failure. </w:t>
      </w:r>
    </w:p>
    <w:p w14:paraId="009FB21B" w14:textId="77777777" w:rsidR="00204363" w:rsidRPr="00204363" w:rsidRDefault="00204363" w:rsidP="00204363">
      <w:pPr>
        <w:spacing w:line="240" w:lineRule="auto"/>
        <w:ind w:left="720"/>
        <w:rPr>
          <w:rFonts w:ascii="Arial" w:eastAsia="Times New Roman" w:hAnsi="Arial"/>
          <w:sz w:val="22"/>
          <w:szCs w:val="24"/>
        </w:rPr>
      </w:pPr>
    </w:p>
    <w:p w14:paraId="1D430DED" w14:textId="7DBF6064" w:rsidR="007E4993" w:rsidRDefault="007C3488" w:rsidP="007C3488">
      <w:pPr>
        <w:tabs>
          <w:tab w:val="left" w:pos="360"/>
        </w:tabs>
        <w:spacing w:line="240" w:lineRule="auto"/>
        <w:ind w:left="360" w:hanging="360"/>
        <w:jc w:val="left"/>
        <w:rPr>
          <w:rFonts w:ascii="Arial" w:eastAsia="Times New Roman" w:hAnsi="Arial"/>
          <w:sz w:val="22"/>
          <w:szCs w:val="24"/>
        </w:rPr>
      </w:pPr>
      <w:r>
        <w:rPr>
          <w:rFonts w:ascii="Arial" w:eastAsia="Times New Roman" w:hAnsi="Arial"/>
          <w:sz w:val="22"/>
          <w:szCs w:val="24"/>
        </w:rPr>
        <w:t>8.</w:t>
      </w:r>
      <w:r>
        <w:rPr>
          <w:rFonts w:ascii="Arial" w:eastAsia="Times New Roman" w:hAnsi="Arial"/>
          <w:sz w:val="22"/>
          <w:szCs w:val="24"/>
        </w:rPr>
        <w:tab/>
      </w:r>
      <w:r w:rsidR="00204363" w:rsidRPr="00204363">
        <w:rPr>
          <w:rFonts w:ascii="Arial" w:eastAsia="Times New Roman" w:hAnsi="Arial"/>
          <w:sz w:val="22"/>
          <w:szCs w:val="24"/>
        </w:rPr>
        <w:t xml:space="preserve">Mazda will promptly and fully implement any recommendations made by the Reviewer in the Compliance Report to address a Material Failure. </w:t>
      </w:r>
    </w:p>
    <w:p w14:paraId="23C976EC" w14:textId="77777777" w:rsidR="000873ED" w:rsidRDefault="000873ED" w:rsidP="000873ED">
      <w:pPr>
        <w:spacing w:line="240" w:lineRule="auto"/>
        <w:ind w:left="360"/>
        <w:jc w:val="left"/>
        <w:rPr>
          <w:rFonts w:ascii="Arial" w:eastAsia="Times New Roman" w:hAnsi="Arial"/>
          <w:sz w:val="22"/>
          <w:szCs w:val="24"/>
        </w:rPr>
      </w:pPr>
    </w:p>
    <w:p w14:paraId="3E59BD68" w14:textId="3B30A840" w:rsidR="000873ED" w:rsidRDefault="000873ED">
      <w:pPr>
        <w:spacing w:line="240" w:lineRule="auto"/>
        <w:jc w:val="left"/>
        <w:rPr>
          <w:rFonts w:ascii="Arial" w:eastAsia="Times New Roman" w:hAnsi="Arial"/>
          <w:sz w:val="22"/>
          <w:szCs w:val="24"/>
        </w:rPr>
      </w:pPr>
      <w:r>
        <w:rPr>
          <w:rFonts w:ascii="Arial" w:eastAsia="Times New Roman" w:hAnsi="Arial"/>
          <w:sz w:val="22"/>
          <w:szCs w:val="24"/>
        </w:rPr>
        <w:br w:type="page"/>
      </w:r>
    </w:p>
    <w:p w14:paraId="54B362E9" w14:textId="6712EC22" w:rsidR="000873ED" w:rsidRDefault="007C3488" w:rsidP="009D01A0">
      <w:pPr>
        <w:pStyle w:val="OrdersHeading1"/>
        <w:jc w:val="center"/>
      </w:pPr>
      <w:r>
        <w:rPr>
          <w:caps w:val="0"/>
        </w:rPr>
        <w:lastRenderedPageBreak/>
        <w:t>APPENDIX B</w:t>
      </w:r>
    </w:p>
    <w:p w14:paraId="7AD93DBC" w14:textId="567CD0A4" w:rsidR="0040003D" w:rsidRDefault="0040003D" w:rsidP="001E3387">
      <w:pPr>
        <w:spacing w:line="240" w:lineRule="auto"/>
        <w:ind w:left="2520"/>
        <w:jc w:val="left"/>
        <w:rPr>
          <w:rFonts w:ascii="Arial" w:eastAsia="Times New Roman" w:hAnsi="Arial"/>
          <w:b/>
          <w:bCs/>
          <w:sz w:val="22"/>
          <w:szCs w:val="24"/>
        </w:rPr>
      </w:pPr>
      <w:r w:rsidRPr="0040003D">
        <w:rPr>
          <w:rFonts w:ascii="Arial" w:eastAsia="Times New Roman" w:hAnsi="Arial"/>
          <w:b/>
          <w:bCs/>
          <w:sz w:val="22"/>
          <w:szCs w:val="24"/>
        </w:rPr>
        <w:t xml:space="preserve">Disclosure </w:t>
      </w:r>
      <w:proofErr w:type="gramStart"/>
      <w:r w:rsidRPr="0040003D">
        <w:rPr>
          <w:rFonts w:ascii="Arial" w:eastAsia="Times New Roman" w:hAnsi="Arial"/>
          <w:b/>
          <w:bCs/>
          <w:sz w:val="22"/>
          <w:szCs w:val="24"/>
        </w:rPr>
        <w:t>notice</w:t>
      </w:r>
      <w:proofErr w:type="gramEnd"/>
      <w:r w:rsidRPr="0040003D">
        <w:rPr>
          <w:rFonts w:ascii="Arial" w:eastAsia="Times New Roman" w:hAnsi="Arial"/>
          <w:b/>
          <w:bCs/>
          <w:sz w:val="22"/>
          <w:szCs w:val="24"/>
        </w:rPr>
        <w:t xml:space="preserve"> to dealers</w:t>
      </w:r>
    </w:p>
    <w:p w14:paraId="0A696CEA" w14:textId="77777777" w:rsidR="007039C0" w:rsidRPr="0040003D" w:rsidRDefault="007039C0" w:rsidP="0046414B">
      <w:pPr>
        <w:spacing w:line="240" w:lineRule="auto"/>
        <w:ind w:left="2520"/>
        <w:jc w:val="left"/>
        <w:rPr>
          <w:rFonts w:ascii="Arial" w:eastAsia="Times New Roman" w:hAnsi="Arial"/>
          <w:b/>
          <w:bCs/>
          <w:sz w:val="22"/>
          <w:szCs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07"/>
      </w:tblGrid>
      <w:tr w:rsidR="00FB653F" w14:paraId="1CCBBB4F" w14:textId="77777777" w:rsidTr="00F42AEE">
        <w:tc>
          <w:tcPr>
            <w:tcW w:w="9017" w:type="dxa"/>
          </w:tcPr>
          <w:p w14:paraId="4EDD97F8" w14:textId="77777777" w:rsidR="00FB653F" w:rsidRPr="0046414B" w:rsidRDefault="00FB653F" w:rsidP="00FB653F">
            <w:pPr>
              <w:spacing w:after="160" w:line="259" w:lineRule="auto"/>
              <w:jc w:val="center"/>
              <w:rPr>
                <w:rFonts w:ascii="Arial" w:eastAsia="Calibri" w:hAnsi="Arial" w:cs="Arial"/>
                <w:b/>
                <w:bCs/>
                <w:kern w:val="2"/>
                <w:sz w:val="28"/>
                <w:szCs w:val="28"/>
                <w:lang w:val="en-US"/>
                <w14:ligatures w14:val="standardContextual"/>
              </w:rPr>
            </w:pPr>
            <w:r w:rsidRPr="0046414B">
              <w:rPr>
                <w:rFonts w:ascii="Arial" w:eastAsia="Calibri" w:hAnsi="Arial" w:cs="Arial"/>
                <w:b/>
                <w:bCs/>
                <w:kern w:val="2"/>
                <w:sz w:val="28"/>
                <w:szCs w:val="28"/>
                <w:lang w:val="en-US"/>
                <w14:ligatures w14:val="standardContextual"/>
              </w:rPr>
              <w:t>CORRECTIVE NOTICE</w:t>
            </w:r>
          </w:p>
          <w:p w14:paraId="261BEFDE" w14:textId="77777777" w:rsidR="00FB653F" w:rsidRPr="0046414B" w:rsidRDefault="00FB653F" w:rsidP="00FB653F">
            <w:pPr>
              <w:spacing w:after="160" w:line="259" w:lineRule="auto"/>
              <w:jc w:val="center"/>
              <w:rPr>
                <w:rFonts w:ascii="Arial" w:eastAsia="Calibri" w:hAnsi="Arial" w:cs="Arial"/>
                <w:b/>
                <w:bCs/>
                <w:kern w:val="2"/>
                <w:szCs w:val="24"/>
                <w:lang w:val="en-US"/>
                <w14:ligatures w14:val="standardContextual"/>
              </w:rPr>
            </w:pPr>
            <w:r w:rsidRPr="0046414B">
              <w:rPr>
                <w:rFonts w:ascii="Arial" w:eastAsia="Calibri" w:hAnsi="Arial" w:cs="Arial"/>
                <w:b/>
                <w:bCs/>
                <w:kern w:val="2"/>
                <w:szCs w:val="24"/>
                <w:lang w:val="en-US"/>
                <w14:ligatures w14:val="standardContextual"/>
              </w:rPr>
              <w:t>PUBLISHED BY ORDER OF THE FEDERAL COURT OF AUSTRALIA</w:t>
            </w:r>
          </w:p>
          <w:p w14:paraId="18CDEB45" w14:textId="77777777" w:rsidR="00FB653F" w:rsidRPr="0046414B" w:rsidRDefault="00FB653F" w:rsidP="00FB653F">
            <w:pPr>
              <w:spacing w:after="160" w:line="259" w:lineRule="auto"/>
              <w:jc w:val="center"/>
              <w:rPr>
                <w:rFonts w:ascii="Arial" w:eastAsia="Calibri" w:hAnsi="Arial" w:cs="Arial"/>
                <w:b/>
                <w:bCs/>
                <w:kern w:val="2"/>
                <w:sz w:val="22"/>
                <w:szCs w:val="22"/>
                <w:lang w:val="en-US"/>
                <w14:ligatures w14:val="standardContextual"/>
              </w:rPr>
            </w:pPr>
            <w:r w:rsidRPr="0046414B">
              <w:rPr>
                <w:rFonts w:ascii="Arial" w:eastAsia="Calibri" w:hAnsi="Arial" w:cs="Arial"/>
                <w:b/>
                <w:bCs/>
                <w:kern w:val="2"/>
                <w:sz w:val="22"/>
                <w:szCs w:val="22"/>
                <w:lang w:val="en-US"/>
                <w14:ligatures w14:val="standardContextual"/>
              </w:rPr>
              <w:t>False and Misleading Statements About Consumer Rights</w:t>
            </w:r>
          </w:p>
          <w:p w14:paraId="2EC784D1" w14:textId="77777777" w:rsidR="00FB653F" w:rsidRPr="0046414B" w:rsidRDefault="00FB653F" w:rsidP="00FB653F">
            <w:pPr>
              <w:spacing w:after="160" w:line="259" w:lineRule="auto"/>
              <w:rPr>
                <w:rFonts w:ascii="Arial" w:eastAsia="Calibri" w:hAnsi="Arial" w:cs="Arial"/>
                <w:kern w:val="2"/>
                <w:sz w:val="20"/>
                <w:lang w:val="en-US"/>
                <w14:ligatures w14:val="standardContextual"/>
              </w:rPr>
            </w:pPr>
            <w:r w:rsidRPr="0046414B">
              <w:rPr>
                <w:rFonts w:ascii="Arial" w:eastAsia="Calibri" w:hAnsi="Arial" w:cs="Arial"/>
                <w:kern w:val="2"/>
                <w:sz w:val="20"/>
                <w:lang w:val="en-US"/>
                <w14:ligatures w14:val="standardContextual"/>
              </w:rPr>
              <w:t>Following action by the ACCC, the Federal Court of Australia has declared that Mazda Australia Pty Ltd (</w:t>
            </w:r>
            <w:r w:rsidRPr="0046414B">
              <w:rPr>
                <w:rFonts w:ascii="Arial" w:eastAsia="Calibri" w:hAnsi="Arial" w:cs="Arial"/>
                <w:b/>
                <w:bCs/>
                <w:kern w:val="2"/>
                <w:sz w:val="20"/>
                <w:lang w:val="en-US"/>
                <w14:ligatures w14:val="standardContextual"/>
              </w:rPr>
              <w:t>Mazda</w:t>
            </w:r>
            <w:r w:rsidRPr="0046414B">
              <w:rPr>
                <w:rFonts w:ascii="Arial" w:eastAsia="Calibri" w:hAnsi="Arial" w:cs="Arial"/>
                <w:kern w:val="2"/>
                <w:sz w:val="20"/>
                <w:lang w:val="en-US"/>
                <w14:ligatures w14:val="standardContextual"/>
              </w:rPr>
              <w:t>) contravened the Australian Consumer Law (</w:t>
            </w:r>
            <w:r w:rsidRPr="0046414B">
              <w:rPr>
                <w:rFonts w:ascii="Arial" w:eastAsia="Calibri" w:hAnsi="Arial" w:cs="Arial"/>
                <w:b/>
                <w:bCs/>
                <w:kern w:val="2"/>
                <w:sz w:val="20"/>
                <w:lang w:val="en-US"/>
                <w14:ligatures w14:val="standardContextual"/>
              </w:rPr>
              <w:t>ACL</w:t>
            </w:r>
            <w:r w:rsidRPr="0046414B">
              <w:rPr>
                <w:rFonts w:ascii="Arial" w:eastAsia="Calibri" w:hAnsi="Arial" w:cs="Arial"/>
                <w:kern w:val="2"/>
                <w:sz w:val="20"/>
                <w:lang w:val="en-US"/>
                <w14:ligatures w14:val="standardContextual"/>
              </w:rPr>
              <w:t>) by making false representations to nine consumers:</w:t>
            </w:r>
          </w:p>
          <w:p w14:paraId="373F1C18" w14:textId="507398F2" w:rsidR="00FB653F" w:rsidRPr="0046414B" w:rsidRDefault="007C3488" w:rsidP="007C3488">
            <w:pPr>
              <w:spacing w:after="160" w:line="259" w:lineRule="auto"/>
              <w:ind w:left="720" w:hanging="360"/>
              <w:contextualSpacing/>
              <w:jc w:val="left"/>
              <w:rPr>
                <w:rFonts w:ascii="Arial" w:eastAsia="Calibri" w:hAnsi="Arial" w:cs="Arial"/>
                <w:kern w:val="2"/>
                <w:sz w:val="20"/>
                <w:lang w:val="en-US"/>
                <w14:ligatures w14:val="standardContextual"/>
              </w:rPr>
            </w:pPr>
            <w:r w:rsidRPr="0046414B">
              <w:rPr>
                <w:rFonts w:ascii="Symbol" w:eastAsia="Calibri" w:hAnsi="Symbol" w:cs="Arial"/>
                <w:kern w:val="2"/>
                <w:sz w:val="20"/>
                <w:lang w:val="en-US"/>
                <w14:ligatures w14:val="standardContextual"/>
              </w:rPr>
              <w:t></w:t>
            </w:r>
            <w:r w:rsidRPr="0046414B">
              <w:rPr>
                <w:rFonts w:ascii="Symbol" w:eastAsia="Calibri" w:hAnsi="Symbol" w:cs="Arial"/>
                <w:kern w:val="2"/>
                <w:sz w:val="20"/>
                <w:lang w:val="en-US"/>
                <w14:ligatures w14:val="standardContextual"/>
              </w:rPr>
              <w:tab/>
            </w:r>
            <w:r w:rsidR="00FB653F" w:rsidRPr="0046414B">
              <w:rPr>
                <w:rFonts w:ascii="Arial" w:eastAsia="Calibri" w:hAnsi="Arial" w:cs="Arial"/>
                <w:kern w:val="2"/>
                <w:sz w:val="20"/>
                <w:lang w:val="en-US"/>
                <w14:ligatures w14:val="standardContextual"/>
              </w:rPr>
              <w:t>concerning the existence or effect of consumer guarantees and the rights or remedies available under the ACL; and</w:t>
            </w:r>
          </w:p>
          <w:p w14:paraId="0B259A37" w14:textId="00296E28" w:rsidR="00FB653F" w:rsidRPr="0046414B" w:rsidRDefault="007C3488" w:rsidP="007C3488">
            <w:pPr>
              <w:spacing w:after="160" w:line="259" w:lineRule="auto"/>
              <w:ind w:left="720" w:hanging="360"/>
              <w:contextualSpacing/>
              <w:jc w:val="left"/>
              <w:rPr>
                <w:rFonts w:ascii="Arial" w:eastAsia="Calibri" w:hAnsi="Arial" w:cs="Arial"/>
                <w:kern w:val="2"/>
                <w:sz w:val="20"/>
                <w:lang w:val="en-US"/>
                <w14:ligatures w14:val="standardContextual"/>
              </w:rPr>
            </w:pPr>
            <w:r w:rsidRPr="0046414B">
              <w:rPr>
                <w:rFonts w:ascii="Symbol" w:eastAsia="Calibri" w:hAnsi="Symbol" w:cs="Arial"/>
                <w:kern w:val="2"/>
                <w:sz w:val="20"/>
                <w:lang w:val="en-US"/>
                <w14:ligatures w14:val="standardContextual"/>
              </w:rPr>
              <w:t></w:t>
            </w:r>
            <w:r w:rsidRPr="0046414B">
              <w:rPr>
                <w:rFonts w:ascii="Symbol" w:eastAsia="Calibri" w:hAnsi="Symbol" w:cs="Arial"/>
                <w:kern w:val="2"/>
                <w:sz w:val="20"/>
                <w:lang w:val="en-US"/>
                <w14:ligatures w14:val="standardContextual"/>
              </w:rPr>
              <w:tab/>
            </w:r>
            <w:r w:rsidR="00FB653F" w:rsidRPr="0046414B">
              <w:rPr>
                <w:rFonts w:ascii="Arial" w:eastAsia="Calibri" w:hAnsi="Arial" w:cs="Arial"/>
                <w:kern w:val="2"/>
                <w:sz w:val="20"/>
                <w:lang w:val="en-US"/>
                <w14:ligatures w14:val="standardContextual"/>
              </w:rPr>
              <w:t>that it had reasonable grounds for forming the opinion that those consumers who had purchased Mazda vehicles were not entitled to a refund or replacement vehicle at no cost to them under the consumer guarantee provisions of the ACL.</w:t>
            </w:r>
          </w:p>
          <w:p w14:paraId="3C99ED1F" w14:textId="77777777" w:rsidR="00FB653F" w:rsidRPr="0046414B" w:rsidRDefault="00FB653F" w:rsidP="00FB653F">
            <w:pPr>
              <w:spacing w:after="160" w:line="259" w:lineRule="auto"/>
              <w:rPr>
                <w:rFonts w:ascii="Arial" w:eastAsia="Calibri" w:hAnsi="Arial" w:cs="Arial"/>
                <w:kern w:val="2"/>
                <w:sz w:val="20"/>
                <w:lang w:val="en-US"/>
                <w14:ligatures w14:val="standardContextual"/>
              </w:rPr>
            </w:pPr>
            <w:r w:rsidRPr="0046414B">
              <w:rPr>
                <w:rFonts w:ascii="Arial" w:eastAsia="Calibri" w:hAnsi="Arial" w:cs="Arial"/>
                <w:kern w:val="2"/>
                <w:sz w:val="20"/>
                <w:lang w:val="en-US"/>
                <w14:ligatures w14:val="standardContextual"/>
              </w:rPr>
              <w:t>These representations were false. Motor vehicles purchased by Australian consumers come with consumer guarantee rights under the ACL which cannot be excluded.</w:t>
            </w:r>
          </w:p>
          <w:p w14:paraId="782AA07D" w14:textId="77777777" w:rsidR="00FB653F" w:rsidRPr="0046414B" w:rsidRDefault="00FB653F" w:rsidP="00FB653F">
            <w:pPr>
              <w:spacing w:after="160" w:line="259" w:lineRule="auto"/>
              <w:rPr>
                <w:rFonts w:ascii="Arial" w:eastAsia="Calibri" w:hAnsi="Arial" w:cs="Arial"/>
                <w:kern w:val="2"/>
                <w:sz w:val="20"/>
                <w:lang w:val="en-US"/>
                <w14:ligatures w14:val="standardContextual"/>
              </w:rPr>
            </w:pPr>
            <w:r w:rsidRPr="0046414B">
              <w:rPr>
                <w:rFonts w:ascii="Arial" w:eastAsia="Calibri" w:hAnsi="Arial" w:cs="Arial"/>
                <w:kern w:val="2"/>
                <w:sz w:val="20"/>
                <w:lang w:val="en-US"/>
                <w14:ligatures w14:val="standardContextual"/>
              </w:rPr>
              <w:t xml:space="preserve">On </w:t>
            </w:r>
            <w:r w:rsidRPr="00D47A2D">
              <w:rPr>
                <w:rFonts w:ascii="Arial" w:eastAsia="Calibri" w:hAnsi="Arial" w:cs="Arial"/>
                <w:kern w:val="2"/>
                <w:sz w:val="20"/>
                <w:lang w:val="en-US"/>
                <w14:ligatures w14:val="standardContextual"/>
              </w:rPr>
              <w:t>14 February 2024</w:t>
            </w:r>
            <w:r w:rsidRPr="0046414B">
              <w:rPr>
                <w:rFonts w:ascii="Arial" w:eastAsia="Calibri" w:hAnsi="Arial" w:cs="Arial"/>
                <w:kern w:val="2"/>
                <w:sz w:val="20"/>
                <w:lang w:val="en-US"/>
                <w14:ligatures w14:val="standardContextual"/>
              </w:rPr>
              <w:t>, Justice O’Callaghan of the Federal Court ordered Mazda to pay a penalty of $</w:t>
            </w:r>
            <w:r>
              <w:rPr>
                <w:rFonts w:ascii="Arial" w:eastAsia="Calibri" w:hAnsi="Arial" w:cs="Arial"/>
                <w:kern w:val="2"/>
                <w:sz w:val="20"/>
                <w:lang w:val="en-US"/>
                <w14:ligatures w14:val="standardContextual"/>
              </w:rPr>
              <w:t>11.5</w:t>
            </w:r>
            <w:r w:rsidRPr="0046414B">
              <w:rPr>
                <w:rFonts w:ascii="Arial" w:eastAsia="Calibri" w:hAnsi="Arial" w:cs="Arial"/>
                <w:kern w:val="2"/>
                <w:sz w:val="20"/>
                <w:lang w:val="en-US"/>
                <w14:ligatures w14:val="standardContextual"/>
              </w:rPr>
              <w:t xml:space="preserve"> million to the Commonwealth for making the false representations referred to above.</w:t>
            </w:r>
          </w:p>
          <w:p w14:paraId="165BE0A3" w14:textId="77777777" w:rsidR="00FB653F" w:rsidRPr="0046414B" w:rsidRDefault="00FB653F" w:rsidP="00FB653F">
            <w:pPr>
              <w:spacing w:after="160" w:line="259" w:lineRule="auto"/>
              <w:rPr>
                <w:rFonts w:ascii="Arial" w:eastAsia="Calibri" w:hAnsi="Arial" w:cs="Arial"/>
                <w:kern w:val="2"/>
                <w:sz w:val="20"/>
                <w:lang w:val="en-US"/>
                <w14:ligatures w14:val="standardContextual"/>
              </w:rPr>
            </w:pPr>
            <w:proofErr w:type="spellStart"/>
            <w:r w:rsidRPr="0046414B">
              <w:rPr>
                <w:rFonts w:ascii="Arial" w:eastAsia="Calibri" w:hAnsi="Arial" w:cs="Arial"/>
                <w:kern w:val="2"/>
                <w:sz w:val="20"/>
                <w:lang w:val="en-US"/>
                <w14:ligatures w14:val="standardContextual"/>
              </w:rPr>
              <w:t>Authorised</w:t>
            </w:r>
            <w:proofErr w:type="spellEnd"/>
            <w:r w:rsidRPr="0046414B">
              <w:rPr>
                <w:rFonts w:ascii="Arial" w:eastAsia="Calibri" w:hAnsi="Arial" w:cs="Arial"/>
                <w:kern w:val="2"/>
                <w:sz w:val="20"/>
                <w:lang w:val="en-US"/>
                <w14:ligatures w14:val="standardContextual"/>
              </w:rPr>
              <w:t xml:space="preserve"> motor vehicle dealers are required to adhere to the consumer guarantees as to goods and services under the ACL. Consumers are entitled to remedies when there is a:</w:t>
            </w:r>
          </w:p>
          <w:p w14:paraId="5DC57F31" w14:textId="17A06AAF" w:rsidR="00FB653F" w:rsidRPr="0046414B" w:rsidRDefault="007C3488" w:rsidP="007C3488">
            <w:pPr>
              <w:spacing w:after="160" w:line="259" w:lineRule="auto"/>
              <w:ind w:left="720" w:hanging="360"/>
              <w:contextualSpacing/>
              <w:jc w:val="left"/>
              <w:rPr>
                <w:rFonts w:ascii="Arial" w:eastAsia="Calibri" w:hAnsi="Arial" w:cs="Arial"/>
                <w:kern w:val="2"/>
                <w:sz w:val="20"/>
                <w:lang w:val="en-US"/>
                <w14:ligatures w14:val="standardContextual"/>
              </w:rPr>
            </w:pPr>
            <w:r w:rsidRPr="0046414B">
              <w:rPr>
                <w:rFonts w:ascii="Symbol" w:eastAsia="Calibri" w:hAnsi="Symbol" w:cs="Arial"/>
                <w:kern w:val="2"/>
                <w:sz w:val="20"/>
                <w:lang w:val="en-US"/>
                <w14:ligatures w14:val="standardContextual"/>
              </w:rPr>
              <w:t></w:t>
            </w:r>
            <w:r w:rsidRPr="0046414B">
              <w:rPr>
                <w:rFonts w:ascii="Symbol" w:eastAsia="Calibri" w:hAnsi="Symbol" w:cs="Arial"/>
                <w:kern w:val="2"/>
                <w:sz w:val="20"/>
                <w:lang w:val="en-US"/>
                <w14:ligatures w14:val="standardContextual"/>
              </w:rPr>
              <w:tab/>
            </w:r>
            <w:r w:rsidR="00FB653F" w:rsidRPr="0046414B">
              <w:rPr>
                <w:rFonts w:ascii="Arial" w:eastAsia="Calibri" w:hAnsi="Arial" w:cs="Arial"/>
                <w:kern w:val="2"/>
                <w:sz w:val="20"/>
                <w:lang w:val="en-US"/>
                <w14:ligatures w14:val="standardContextual"/>
              </w:rPr>
              <w:t xml:space="preserve">major failure to comply with a consumer </w:t>
            </w:r>
            <w:proofErr w:type="gramStart"/>
            <w:r w:rsidR="00FB653F" w:rsidRPr="0046414B">
              <w:rPr>
                <w:rFonts w:ascii="Arial" w:eastAsia="Calibri" w:hAnsi="Arial" w:cs="Arial"/>
                <w:kern w:val="2"/>
                <w:sz w:val="20"/>
                <w:lang w:val="en-US"/>
                <w14:ligatures w14:val="standardContextual"/>
              </w:rPr>
              <w:t>guarantee;</w:t>
            </w:r>
            <w:proofErr w:type="gramEnd"/>
            <w:r w:rsidR="00FB653F" w:rsidRPr="0046414B">
              <w:rPr>
                <w:rFonts w:ascii="Arial" w:eastAsia="Calibri" w:hAnsi="Arial" w:cs="Arial"/>
                <w:kern w:val="2"/>
                <w:sz w:val="20"/>
                <w:lang w:val="en-US"/>
                <w14:ligatures w14:val="standardContextual"/>
              </w:rPr>
              <w:t xml:space="preserve"> </w:t>
            </w:r>
          </w:p>
          <w:p w14:paraId="7CAD5A8E" w14:textId="721E834F" w:rsidR="00FB653F" w:rsidRPr="0046414B" w:rsidRDefault="007C3488" w:rsidP="007C3488">
            <w:pPr>
              <w:spacing w:after="160" w:line="259" w:lineRule="auto"/>
              <w:ind w:left="720" w:hanging="360"/>
              <w:contextualSpacing/>
              <w:jc w:val="left"/>
              <w:rPr>
                <w:rFonts w:ascii="Arial" w:eastAsia="Calibri" w:hAnsi="Arial" w:cs="Arial"/>
                <w:kern w:val="2"/>
                <w:sz w:val="20"/>
                <w:lang w:val="en-US"/>
                <w14:ligatures w14:val="standardContextual"/>
              </w:rPr>
            </w:pPr>
            <w:r w:rsidRPr="0046414B">
              <w:rPr>
                <w:rFonts w:ascii="Symbol" w:eastAsia="Calibri" w:hAnsi="Symbol" w:cs="Arial"/>
                <w:kern w:val="2"/>
                <w:sz w:val="20"/>
                <w:lang w:val="en-US"/>
                <w14:ligatures w14:val="standardContextual"/>
              </w:rPr>
              <w:t></w:t>
            </w:r>
            <w:r w:rsidRPr="0046414B">
              <w:rPr>
                <w:rFonts w:ascii="Symbol" w:eastAsia="Calibri" w:hAnsi="Symbol" w:cs="Arial"/>
                <w:kern w:val="2"/>
                <w:sz w:val="20"/>
                <w:lang w:val="en-US"/>
                <w14:ligatures w14:val="standardContextual"/>
              </w:rPr>
              <w:tab/>
            </w:r>
            <w:r w:rsidR="00FB653F" w:rsidRPr="0046414B">
              <w:rPr>
                <w:rFonts w:ascii="Arial" w:eastAsia="Calibri" w:hAnsi="Arial" w:cs="Arial"/>
                <w:kern w:val="2"/>
                <w:sz w:val="20"/>
                <w:lang w:val="en-US"/>
                <w14:ligatures w14:val="standardContextual"/>
              </w:rPr>
              <w:t>minor failure to comply with a consumer guarantee that cannot be fixed within a reasonable time; or</w:t>
            </w:r>
          </w:p>
          <w:p w14:paraId="2177FF09" w14:textId="525DC369" w:rsidR="00FB653F" w:rsidRPr="0046414B" w:rsidRDefault="007C3488" w:rsidP="007C3488">
            <w:pPr>
              <w:spacing w:after="160" w:line="259" w:lineRule="auto"/>
              <w:ind w:left="720" w:hanging="360"/>
              <w:contextualSpacing/>
              <w:jc w:val="left"/>
              <w:rPr>
                <w:rFonts w:ascii="Arial" w:eastAsia="Calibri" w:hAnsi="Arial" w:cs="Arial"/>
                <w:kern w:val="2"/>
                <w:sz w:val="20"/>
                <w:lang w:val="en-US"/>
                <w14:ligatures w14:val="standardContextual"/>
              </w:rPr>
            </w:pPr>
            <w:r w:rsidRPr="0046414B">
              <w:rPr>
                <w:rFonts w:ascii="Symbol" w:eastAsia="Calibri" w:hAnsi="Symbol" w:cs="Arial"/>
                <w:kern w:val="2"/>
                <w:sz w:val="20"/>
                <w:lang w:val="en-US"/>
                <w14:ligatures w14:val="standardContextual"/>
              </w:rPr>
              <w:t></w:t>
            </w:r>
            <w:r w:rsidRPr="0046414B">
              <w:rPr>
                <w:rFonts w:ascii="Symbol" w:eastAsia="Calibri" w:hAnsi="Symbol" w:cs="Arial"/>
                <w:kern w:val="2"/>
                <w:sz w:val="20"/>
                <w:lang w:val="en-US"/>
                <w14:ligatures w14:val="standardContextual"/>
              </w:rPr>
              <w:tab/>
            </w:r>
            <w:r w:rsidR="00FB653F" w:rsidRPr="0046414B">
              <w:rPr>
                <w:rFonts w:ascii="Arial" w:eastAsia="Calibri" w:hAnsi="Arial" w:cs="Arial"/>
                <w:kern w:val="2"/>
                <w:sz w:val="20"/>
                <w:lang w:val="en-US"/>
                <w14:ligatures w14:val="standardContextual"/>
              </w:rPr>
              <w:t xml:space="preserve">minor failure to comply with a consumer guarantee that can be fixed. </w:t>
            </w:r>
          </w:p>
          <w:p w14:paraId="137FC314" w14:textId="77777777" w:rsidR="00FB653F" w:rsidRPr="0046414B" w:rsidRDefault="00FB653F" w:rsidP="00FB653F">
            <w:pPr>
              <w:spacing w:after="160" w:line="259" w:lineRule="auto"/>
              <w:rPr>
                <w:rFonts w:ascii="Arial" w:eastAsia="Calibri" w:hAnsi="Arial" w:cs="Arial"/>
                <w:b/>
                <w:bCs/>
                <w:kern w:val="2"/>
                <w:sz w:val="20"/>
                <w:lang w:val="en-US"/>
                <w14:ligatures w14:val="standardContextual"/>
              </w:rPr>
            </w:pPr>
            <w:r w:rsidRPr="0046414B">
              <w:rPr>
                <w:rFonts w:ascii="Arial" w:eastAsia="Calibri" w:hAnsi="Arial" w:cs="Arial"/>
                <w:b/>
                <w:bCs/>
                <w:kern w:val="2"/>
                <w:sz w:val="20"/>
                <w:lang w:val="en-US"/>
                <w14:ligatures w14:val="standardContextual"/>
              </w:rPr>
              <w:t xml:space="preserve">For further information on consumer rights in Australia, visit </w:t>
            </w:r>
            <w:hyperlink r:id="rId10" w:history="1">
              <w:r w:rsidRPr="0046414B">
                <w:rPr>
                  <w:rFonts w:ascii="Arial" w:eastAsia="Calibri" w:hAnsi="Arial" w:cs="Arial"/>
                  <w:b/>
                  <w:bCs/>
                  <w:color w:val="0563C1"/>
                  <w:kern w:val="2"/>
                  <w:sz w:val="20"/>
                  <w:u w:val="single"/>
                  <w:lang w:val="en-US"/>
                  <w14:ligatures w14:val="standardContextual"/>
                </w:rPr>
                <w:t>www.consumerlaw.gov.au</w:t>
              </w:r>
            </w:hyperlink>
            <w:r w:rsidRPr="0046414B">
              <w:rPr>
                <w:rFonts w:ascii="Arial" w:eastAsia="Calibri" w:hAnsi="Arial" w:cs="Arial"/>
                <w:b/>
                <w:bCs/>
                <w:kern w:val="2"/>
                <w:sz w:val="20"/>
                <w:lang w:val="en-US"/>
                <w14:ligatures w14:val="standardContextual"/>
              </w:rPr>
              <w:t xml:space="preserve"> and </w:t>
            </w:r>
            <w:hyperlink r:id="rId11" w:history="1">
              <w:r w:rsidRPr="0046414B">
                <w:rPr>
                  <w:rFonts w:ascii="Arial" w:eastAsia="Calibri" w:hAnsi="Arial" w:cs="Arial"/>
                  <w:b/>
                  <w:bCs/>
                  <w:color w:val="0563C1"/>
                  <w:kern w:val="2"/>
                  <w:sz w:val="20"/>
                  <w:u w:val="single"/>
                  <w:lang w:val="en-US"/>
                  <w14:ligatures w14:val="standardContextual"/>
                </w:rPr>
                <w:t>www.accc.gov.au/consumerguarantees</w:t>
              </w:r>
            </w:hyperlink>
            <w:r w:rsidRPr="0046414B">
              <w:rPr>
                <w:rFonts w:ascii="Arial" w:eastAsia="Calibri" w:hAnsi="Arial" w:cs="Arial"/>
                <w:b/>
                <w:bCs/>
                <w:kern w:val="2"/>
                <w:sz w:val="20"/>
                <w:lang w:val="en-US"/>
                <w14:ligatures w14:val="standardContextual"/>
              </w:rPr>
              <w:t>.</w:t>
            </w:r>
          </w:p>
          <w:p w14:paraId="276BA2B2" w14:textId="77777777" w:rsidR="00FB653F" w:rsidRPr="0046414B" w:rsidRDefault="00FB653F" w:rsidP="00FB653F">
            <w:pPr>
              <w:spacing w:after="160" w:line="259" w:lineRule="auto"/>
              <w:rPr>
                <w:rFonts w:ascii="Arial" w:eastAsia="Calibri" w:hAnsi="Arial" w:cs="Arial"/>
                <w:b/>
                <w:bCs/>
                <w:kern w:val="2"/>
                <w:szCs w:val="22"/>
                <w:lang w:val="en-US"/>
                <w14:ligatures w14:val="standardContextual"/>
              </w:rPr>
            </w:pPr>
            <w:r w:rsidRPr="0046414B">
              <w:rPr>
                <w:rFonts w:ascii="Arial" w:eastAsia="Calibri" w:hAnsi="Arial" w:cs="Arial"/>
                <w:b/>
                <w:bCs/>
                <w:kern w:val="2"/>
                <w:sz w:val="20"/>
                <w:lang w:val="en-US"/>
                <w14:ligatures w14:val="standardContextual"/>
              </w:rPr>
              <w:t xml:space="preserve">For further information on the consumer guarantees as they apply to the motor vehicle industry, download the Motor Vehicle Sales and Repairs Guide at: </w:t>
            </w:r>
            <w:hyperlink r:id="rId12" w:history="1">
              <w:r w:rsidRPr="0046414B">
                <w:rPr>
                  <w:rFonts w:ascii="Arial" w:eastAsia="Calibri" w:hAnsi="Arial" w:cs="Arial"/>
                  <w:b/>
                  <w:bCs/>
                  <w:color w:val="0563C1"/>
                  <w:kern w:val="2"/>
                  <w:sz w:val="20"/>
                  <w:u w:val="single"/>
                  <w:lang w:val="en-US"/>
                  <w14:ligatures w14:val="standardContextual"/>
                </w:rPr>
                <w:t>https://www.accc.gov.au/about-us/publications/motor-vehicle-sales-and-repairs-an-industry-guide-to-the-australian-consumer-law</w:t>
              </w:r>
            </w:hyperlink>
            <w:r w:rsidRPr="0046414B">
              <w:rPr>
                <w:rFonts w:ascii="Arial" w:eastAsia="Calibri" w:hAnsi="Arial" w:cs="Arial"/>
                <w:b/>
                <w:bCs/>
                <w:kern w:val="2"/>
                <w:szCs w:val="22"/>
                <w:lang w:val="en-US"/>
                <w14:ligatures w14:val="standardContextual"/>
              </w:rPr>
              <w:t xml:space="preserve"> </w:t>
            </w:r>
          </w:p>
          <w:p w14:paraId="2019E750" w14:textId="674D44A1" w:rsidR="00FB653F" w:rsidRDefault="00FB653F" w:rsidP="00FB653F">
            <w:pPr>
              <w:pStyle w:val="BodyText"/>
            </w:pPr>
            <w:r w:rsidRPr="0046414B">
              <w:rPr>
                <w:rFonts w:ascii="Arial" w:eastAsia="Calibri" w:hAnsi="Arial" w:cs="Arial"/>
                <w:b/>
                <w:bCs/>
                <w:kern w:val="2"/>
                <w:sz w:val="20"/>
                <w:lang w:val="en-US"/>
                <w14:ligatures w14:val="standardContextual"/>
              </w:rPr>
              <w:t>A link to the Federal Court judgment appears here: [</w:t>
            </w:r>
            <w:r w:rsidRPr="00433F34">
              <w:rPr>
                <w:rFonts w:ascii="Arial" w:eastAsia="Calibri" w:hAnsi="Arial" w:cs="Arial"/>
                <w:b/>
                <w:bCs/>
                <w:i/>
                <w:iCs/>
                <w:kern w:val="2"/>
                <w:sz w:val="20"/>
                <w:lang w:val="en-US"/>
                <w14:ligatures w14:val="standardContextual"/>
              </w:rPr>
              <w:t>hyperlink to be inserted</w:t>
            </w:r>
            <w:r w:rsidRPr="0046414B">
              <w:rPr>
                <w:rFonts w:ascii="Arial" w:eastAsia="Calibri" w:hAnsi="Arial" w:cs="Arial"/>
                <w:b/>
                <w:bCs/>
                <w:kern w:val="2"/>
                <w:sz w:val="20"/>
                <w:lang w:val="en-US"/>
                <w14:ligatures w14:val="standardContextual"/>
              </w:rPr>
              <w:t>]</w:t>
            </w:r>
          </w:p>
        </w:tc>
      </w:tr>
    </w:tbl>
    <w:p w14:paraId="3F363D73" w14:textId="4730AAFA" w:rsidR="009D01A0" w:rsidRPr="009D01A0" w:rsidRDefault="009D01A0" w:rsidP="0046414B">
      <w:pPr>
        <w:pStyle w:val="BodyText"/>
      </w:pPr>
    </w:p>
    <w:p w14:paraId="54BB028F" w14:textId="7958A130" w:rsidR="00C52DFD" w:rsidRDefault="00C52DFD">
      <w:pPr>
        <w:spacing w:line="240" w:lineRule="auto"/>
        <w:jc w:val="left"/>
        <w:rPr>
          <w:b/>
          <w:sz w:val="28"/>
          <w:szCs w:val="28"/>
        </w:rPr>
      </w:pPr>
      <w:r>
        <w:rPr>
          <w:sz w:val="28"/>
          <w:szCs w:val="28"/>
        </w:rPr>
        <w:br w:type="page"/>
      </w:r>
    </w:p>
    <w:p w14:paraId="19206715" w14:textId="25DB022C" w:rsidR="00C52DFD" w:rsidRDefault="007C3488" w:rsidP="00C52DFD">
      <w:pPr>
        <w:pStyle w:val="OrdersHeading1"/>
        <w:jc w:val="center"/>
      </w:pPr>
      <w:r>
        <w:rPr>
          <w:caps w:val="0"/>
        </w:rPr>
        <w:lastRenderedPageBreak/>
        <w:t>APPENDIX C</w:t>
      </w:r>
    </w:p>
    <w:p w14:paraId="2BC23906" w14:textId="77777777" w:rsidR="00085CD6" w:rsidRPr="00085CD6" w:rsidRDefault="00085CD6" w:rsidP="00085CD6">
      <w:pPr>
        <w:pStyle w:val="BodyText"/>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07"/>
      </w:tblGrid>
      <w:tr w:rsidR="00FB653F" w14:paraId="1CC2D796" w14:textId="77777777" w:rsidTr="00F42AEE">
        <w:tc>
          <w:tcPr>
            <w:tcW w:w="9017" w:type="dxa"/>
          </w:tcPr>
          <w:p w14:paraId="79D56583" w14:textId="77777777" w:rsidR="00FB653F" w:rsidRPr="0046414B" w:rsidRDefault="00FB653F" w:rsidP="00FB653F">
            <w:pPr>
              <w:spacing w:after="160" w:line="259" w:lineRule="auto"/>
              <w:jc w:val="center"/>
              <w:rPr>
                <w:rFonts w:ascii="Arial" w:eastAsia="Calibri" w:hAnsi="Arial" w:cs="Arial"/>
                <w:b/>
                <w:bCs/>
                <w:kern w:val="2"/>
                <w:sz w:val="28"/>
                <w:szCs w:val="28"/>
                <w:lang w:val="en-US"/>
                <w14:ligatures w14:val="standardContextual"/>
              </w:rPr>
            </w:pPr>
            <w:r w:rsidRPr="0046414B">
              <w:rPr>
                <w:rFonts w:ascii="Arial" w:eastAsia="Calibri" w:hAnsi="Arial" w:cs="Arial"/>
                <w:b/>
                <w:bCs/>
                <w:kern w:val="2"/>
                <w:sz w:val="28"/>
                <w:szCs w:val="28"/>
                <w:lang w:val="en-US"/>
                <w14:ligatures w14:val="standardContextual"/>
              </w:rPr>
              <w:t>CORRECTIVE NOTICE</w:t>
            </w:r>
          </w:p>
          <w:p w14:paraId="0AA4527F" w14:textId="77777777" w:rsidR="00FB653F" w:rsidRPr="0046414B" w:rsidRDefault="00FB653F" w:rsidP="00FB653F">
            <w:pPr>
              <w:spacing w:after="160" w:line="259" w:lineRule="auto"/>
              <w:jc w:val="center"/>
              <w:rPr>
                <w:rFonts w:ascii="Arial" w:eastAsia="Calibri" w:hAnsi="Arial" w:cs="Arial"/>
                <w:b/>
                <w:bCs/>
                <w:kern w:val="2"/>
                <w:szCs w:val="24"/>
                <w:lang w:val="en-US"/>
                <w14:ligatures w14:val="standardContextual"/>
              </w:rPr>
            </w:pPr>
            <w:r w:rsidRPr="0046414B">
              <w:rPr>
                <w:rFonts w:ascii="Arial" w:eastAsia="Calibri" w:hAnsi="Arial" w:cs="Arial"/>
                <w:b/>
                <w:bCs/>
                <w:kern w:val="2"/>
                <w:szCs w:val="24"/>
                <w:lang w:val="en-US"/>
                <w14:ligatures w14:val="standardContextual"/>
              </w:rPr>
              <w:t>PUBLISHED BY ORDER OF THE FEDERAL COURT OF AUSTRALIA</w:t>
            </w:r>
          </w:p>
          <w:p w14:paraId="5CFD8802" w14:textId="77777777" w:rsidR="00FB653F" w:rsidRPr="0046414B" w:rsidRDefault="00FB653F" w:rsidP="00FB653F">
            <w:pPr>
              <w:spacing w:after="160" w:line="259" w:lineRule="auto"/>
              <w:jc w:val="center"/>
              <w:rPr>
                <w:rFonts w:ascii="Arial" w:eastAsia="Calibri" w:hAnsi="Arial" w:cs="Arial"/>
                <w:b/>
                <w:bCs/>
                <w:kern w:val="2"/>
                <w:sz w:val="22"/>
                <w:szCs w:val="22"/>
                <w:lang w:val="en-US"/>
                <w14:ligatures w14:val="standardContextual"/>
              </w:rPr>
            </w:pPr>
            <w:r w:rsidRPr="0046414B">
              <w:rPr>
                <w:rFonts w:ascii="Arial" w:eastAsia="Calibri" w:hAnsi="Arial" w:cs="Arial"/>
                <w:b/>
                <w:bCs/>
                <w:kern w:val="2"/>
                <w:sz w:val="22"/>
                <w:szCs w:val="22"/>
                <w:lang w:val="en-US"/>
                <w14:ligatures w14:val="standardContextual"/>
              </w:rPr>
              <w:t>False and Misleading Statements About Consumer Rights</w:t>
            </w:r>
          </w:p>
          <w:p w14:paraId="0557A593" w14:textId="77777777" w:rsidR="00FB653F" w:rsidRPr="0046414B" w:rsidRDefault="00FB653F" w:rsidP="00FB653F">
            <w:pPr>
              <w:spacing w:after="160" w:line="259" w:lineRule="auto"/>
              <w:jc w:val="left"/>
              <w:rPr>
                <w:rFonts w:ascii="Arial" w:eastAsia="Calibri" w:hAnsi="Arial" w:cs="Arial"/>
                <w:kern w:val="2"/>
                <w:sz w:val="20"/>
                <w:lang w:val="en-US"/>
                <w14:ligatures w14:val="standardContextual"/>
              </w:rPr>
            </w:pPr>
            <w:r w:rsidRPr="0046414B">
              <w:rPr>
                <w:rFonts w:ascii="Arial" w:eastAsia="Calibri" w:hAnsi="Arial" w:cs="Arial"/>
                <w:kern w:val="2"/>
                <w:sz w:val="20"/>
                <w:lang w:val="en-US"/>
                <w14:ligatures w14:val="standardContextual"/>
              </w:rPr>
              <w:t>Following action by the ACCC, the Federal Court of Australia has declared that Mazda Australia Pty Ltd (</w:t>
            </w:r>
            <w:r w:rsidRPr="0046414B">
              <w:rPr>
                <w:rFonts w:ascii="Arial" w:eastAsia="Calibri" w:hAnsi="Arial" w:cs="Arial"/>
                <w:b/>
                <w:bCs/>
                <w:kern w:val="2"/>
                <w:sz w:val="20"/>
                <w:lang w:val="en-US"/>
                <w14:ligatures w14:val="standardContextual"/>
              </w:rPr>
              <w:t>Mazda</w:t>
            </w:r>
            <w:r w:rsidRPr="0046414B">
              <w:rPr>
                <w:rFonts w:ascii="Arial" w:eastAsia="Calibri" w:hAnsi="Arial" w:cs="Arial"/>
                <w:kern w:val="2"/>
                <w:sz w:val="20"/>
                <w:lang w:val="en-US"/>
                <w14:ligatures w14:val="standardContextual"/>
              </w:rPr>
              <w:t>) contravened the Australian Consumer Law (</w:t>
            </w:r>
            <w:r w:rsidRPr="0046414B">
              <w:rPr>
                <w:rFonts w:ascii="Arial" w:eastAsia="Calibri" w:hAnsi="Arial" w:cs="Arial"/>
                <w:b/>
                <w:bCs/>
                <w:kern w:val="2"/>
                <w:sz w:val="20"/>
                <w:lang w:val="en-US"/>
                <w14:ligatures w14:val="standardContextual"/>
              </w:rPr>
              <w:t>ACL</w:t>
            </w:r>
            <w:r w:rsidRPr="0046414B">
              <w:rPr>
                <w:rFonts w:ascii="Arial" w:eastAsia="Calibri" w:hAnsi="Arial" w:cs="Arial"/>
                <w:kern w:val="2"/>
                <w:sz w:val="20"/>
                <w:lang w:val="en-US"/>
                <w14:ligatures w14:val="standardContextual"/>
              </w:rPr>
              <w:t>) by making false representations to nine consumers:</w:t>
            </w:r>
          </w:p>
          <w:p w14:paraId="0E779AA6" w14:textId="51129EAA" w:rsidR="00FB653F" w:rsidRPr="0046414B" w:rsidRDefault="007C3488" w:rsidP="007C3488">
            <w:pPr>
              <w:spacing w:after="160" w:line="259" w:lineRule="auto"/>
              <w:ind w:left="720" w:hanging="360"/>
              <w:contextualSpacing/>
              <w:jc w:val="left"/>
              <w:rPr>
                <w:rFonts w:ascii="Arial" w:eastAsia="Calibri" w:hAnsi="Arial" w:cs="Arial"/>
                <w:kern w:val="2"/>
                <w:sz w:val="20"/>
                <w:lang w:val="en-US"/>
                <w14:ligatures w14:val="standardContextual"/>
              </w:rPr>
            </w:pPr>
            <w:r w:rsidRPr="0046414B">
              <w:rPr>
                <w:rFonts w:ascii="Symbol" w:eastAsia="Calibri" w:hAnsi="Symbol" w:cs="Arial"/>
                <w:kern w:val="2"/>
                <w:sz w:val="20"/>
                <w:lang w:val="en-US"/>
                <w14:ligatures w14:val="standardContextual"/>
              </w:rPr>
              <w:t></w:t>
            </w:r>
            <w:r w:rsidRPr="0046414B">
              <w:rPr>
                <w:rFonts w:ascii="Symbol" w:eastAsia="Calibri" w:hAnsi="Symbol" w:cs="Arial"/>
                <w:kern w:val="2"/>
                <w:sz w:val="20"/>
                <w:lang w:val="en-US"/>
                <w14:ligatures w14:val="standardContextual"/>
              </w:rPr>
              <w:tab/>
            </w:r>
            <w:r w:rsidR="00FB653F" w:rsidRPr="0046414B">
              <w:rPr>
                <w:rFonts w:ascii="Arial" w:eastAsia="Calibri" w:hAnsi="Arial" w:cs="Arial"/>
                <w:kern w:val="2"/>
                <w:sz w:val="20"/>
                <w:lang w:val="en-US"/>
                <w14:ligatures w14:val="standardContextual"/>
              </w:rPr>
              <w:t>concerning the existence or effect of consumer guarantees and the rights or remedies available under the ACL; and</w:t>
            </w:r>
          </w:p>
          <w:p w14:paraId="1D748628" w14:textId="0C3464FB" w:rsidR="00FB653F" w:rsidRPr="0046414B" w:rsidRDefault="007C3488" w:rsidP="007C3488">
            <w:pPr>
              <w:spacing w:after="160" w:line="259" w:lineRule="auto"/>
              <w:ind w:left="720" w:hanging="360"/>
              <w:contextualSpacing/>
              <w:jc w:val="left"/>
              <w:rPr>
                <w:rFonts w:ascii="Arial" w:eastAsia="Calibri" w:hAnsi="Arial" w:cs="Arial"/>
                <w:kern w:val="2"/>
                <w:sz w:val="20"/>
                <w:lang w:val="en-US"/>
                <w14:ligatures w14:val="standardContextual"/>
              </w:rPr>
            </w:pPr>
            <w:r w:rsidRPr="0046414B">
              <w:rPr>
                <w:rFonts w:ascii="Symbol" w:eastAsia="Calibri" w:hAnsi="Symbol" w:cs="Arial"/>
                <w:kern w:val="2"/>
                <w:sz w:val="20"/>
                <w:lang w:val="en-US"/>
                <w14:ligatures w14:val="standardContextual"/>
              </w:rPr>
              <w:t></w:t>
            </w:r>
            <w:r w:rsidRPr="0046414B">
              <w:rPr>
                <w:rFonts w:ascii="Symbol" w:eastAsia="Calibri" w:hAnsi="Symbol" w:cs="Arial"/>
                <w:kern w:val="2"/>
                <w:sz w:val="20"/>
                <w:lang w:val="en-US"/>
                <w14:ligatures w14:val="standardContextual"/>
              </w:rPr>
              <w:tab/>
            </w:r>
            <w:r w:rsidR="00FB653F" w:rsidRPr="0046414B">
              <w:rPr>
                <w:rFonts w:ascii="Arial" w:eastAsia="Calibri" w:hAnsi="Arial" w:cs="Arial"/>
                <w:kern w:val="2"/>
                <w:sz w:val="20"/>
                <w:lang w:val="en-US"/>
                <w14:ligatures w14:val="standardContextual"/>
              </w:rPr>
              <w:t>that it had reasonable grounds for forming the opinion that those consumers who had purchased Mazda vehicles were not entitled to a refund or replacement vehicle at no cost to them under the consumer guarantee provisions of the ACL.</w:t>
            </w:r>
          </w:p>
          <w:p w14:paraId="1A4B7AAF" w14:textId="77777777" w:rsidR="00FB653F" w:rsidRPr="0046414B" w:rsidRDefault="00FB653F" w:rsidP="00FB653F">
            <w:pPr>
              <w:spacing w:after="160" w:line="259" w:lineRule="auto"/>
              <w:jc w:val="left"/>
              <w:rPr>
                <w:rFonts w:ascii="Arial" w:eastAsia="Calibri" w:hAnsi="Arial" w:cs="Arial"/>
                <w:kern w:val="2"/>
                <w:sz w:val="20"/>
                <w:lang w:val="en-US"/>
                <w14:ligatures w14:val="standardContextual"/>
              </w:rPr>
            </w:pPr>
            <w:r w:rsidRPr="0046414B">
              <w:rPr>
                <w:rFonts w:ascii="Arial" w:eastAsia="Calibri" w:hAnsi="Arial" w:cs="Arial"/>
                <w:kern w:val="2"/>
                <w:sz w:val="20"/>
                <w:lang w:val="en-US"/>
                <w14:ligatures w14:val="standardContextual"/>
              </w:rPr>
              <w:t>These representations were false. Motor vehicles purchased by Australian consumers come with consumer guarantee rights under the ACL which cannot be excluded.</w:t>
            </w:r>
          </w:p>
          <w:p w14:paraId="5CAE505B" w14:textId="77777777" w:rsidR="00FB653F" w:rsidRPr="0046414B" w:rsidRDefault="00FB653F" w:rsidP="00FB653F">
            <w:pPr>
              <w:spacing w:after="160" w:line="259" w:lineRule="auto"/>
              <w:jc w:val="left"/>
              <w:rPr>
                <w:rFonts w:ascii="Arial" w:eastAsia="Calibri" w:hAnsi="Arial" w:cs="Arial"/>
                <w:kern w:val="2"/>
                <w:sz w:val="20"/>
                <w:lang w:val="en-US"/>
                <w14:ligatures w14:val="standardContextual"/>
              </w:rPr>
            </w:pPr>
            <w:r w:rsidRPr="0046414B">
              <w:rPr>
                <w:rFonts w:ascii="Arial" w:eastAsia="Calibri" w:hAnsi="Arial" w:cs="Arial"/>
                <w:kern w:val="2"/>
                <w:sz w:val="20"/>
                <w:lang w:val="en-US"/>
                <w14:ligatures w14:val="standardContextual"/>
              </w:rPr>
              <w:t xml:space="preserve">On </w:t>
            </w:r>
            <w:r w:rsidRPr="00D47A2D">
              <w:rPr>
                <w:rFonts w:ascii="Arial" w:eastAsia="Calibri" w:hAnsi="Arial" w:cs="Arial"/>
                <w:kern w:val="2"/>
                <w:sz w:val="20"/>
                <w:lang w:val="en-US"/>
                <w14:ligatures w14:val="standardContextual"/>
              </w:rPr>
              <w:t>14 February 2024</w:t>
            </w:r>
            <w:r w:rsidRPr="0046414B">
              <w:rPr>
                <w:rFonts w:ascii="Arial" w:eastAsia="Calibri" w:hAnsi="Arial" w:cs="Arial"/>
                <w:kern w:val="2"/>
                <w:sz w:val="20"/>
                <w:lang w:val="en-US"/>
                <w14:ligatures w14:val="standardContextual"/>
              </w:rPr>
              <w:t>, Justice O’Callaghan of the Federal Court ordered Mazda to pay a penalty of $</w:t>
            </w:r>
            <w:r>
              <w:rPr>
                <w:rFonts w:ascii="Arial" w:eastAsia="Calibri" w:hAnsi="Arial" w:cs="Arial"/>
                <w:kern w:val="2"/>
                <w:sz w:val="20"/>
                <w:lang w:val="en-US"/>
                <w14:ligatures w14:val="standardContextual"/>
              </w:rPr>
              <w:t>11.5</w:t>
            </w:r>
            <w:r w:rsidRPr="0046414B">
              <w:rPr>
                <w:rFonts w:ascii="Arial" w:eastAsia="Calibri" w:hAnsi="Arial" w:cs="Arial"/>
                <w:kern w:val="2"/>
                <w:sz w:val="20"/>
                <w:lang w:val="en-US"/>
                <w14:ligatures w14:val="standardContextual"/>
              </w:rPr>
              <w:t xml:space="preserve"> million to the Commonwealth for making the false representations referred to above.</w:t>
            </w:r>
          </w:p>
          <w:p w14:paraId="264DA986" w14:textId="77777777" w:rsidR="00FB653F" w:rsidRPr="0046414B" w:rsidRDefault="00FB653F" w:rsidP="00FB653F">
            <w:pPr>
              <w:spacing w:after="160" w:line="259" w:lineRule="auto"/>
              <w:jc w:val="left"/>
              <w:rPr>
                <w:rFonts w:ascii="Arial" w:eastAsia="Calibri" w:hAnsi="Arial" w:cs="Arial"/>
                <w:b/>
                <w:bCs/>
                <w:kern w:val="2"/>
                <w:sz w:val="20"/>
                <w:lang w:val="en-US"/>
                <w14:ligatures w14:val="standardContextual"/>
              </w:rPr>
            </w:pPr>
            <w:r w:rsidRPr="0046414B">
              <w:rPr>
                <w:rFonts w:ascii="Arial" w:eastAsia="Calibri" w:hAnsi="Arial" w:cs="Arial"/>
                <w:b/>
                <w:bCs/>
                <w:kern w:val="2"/>
                <w:sz w:val="20"/>
                <w:lang w:val="en-US"/>
                <w14:ligatures w14:val="standardContextual"/>
              </w:rPr>
              <w:t xml:space="preserve">For further information on consumer rights in Australia, visit </w:t>
            </w:r>
            <w:hyperlink r:id="rId13" w:history="1">
              <w:r w:rsidRPr="0046414B">
                <w:rPr>
                  <w:rFonts w:ascii="Arial" w:eastAsia="Calibri" w:hAnsi="Arial" w:cs="Arial"/>
                  <w:b/>
                  <w:bCs/>
                  <w:color w:val="0563C1"/>
                  <w:kern w:val="2"/>
                  <w:sz w:val="20"/>
                  <w:u w:val="single"/>
                  <w:lang w:val="en-US"/>
                  <w14:ligatures w14:val="standardContextual"/>
                </w:rPr>
                <w:t>www.consumerlaw.gov.au</w:t>
              </w:r>
            </w:hyperlink>
            <w:r w:rsidRPr="0046414B">
              <w:rPr>
                <w:rFonts w:ascii="Arial" w:eastAsia="Calibri" w:hAnsi="Arial" w:cs="Arial"/>
                <w:b/>
                <w:bCs/>
                <w:kern w:val="2"/>
                <w:sz w:val="20"/>
                <w:lang w:val="en-US"/>
                <w14:ligatures w14:val="standardContextual"/>
              </w:rPr>
              <w:t xml:space="preserve"> and </w:t>
            </w:r>
            <w:hyperlink r:id="rId14" w:history="1">
              <w:r w:rsidRPr="0046414B">
                <w:rPr>
                  <w:rFonts w:ascii="Arial" w:eastAsia="Calibri" w:hAnsi="Arial" w:cs="Arial"/>
                  <w:b/>
                  <w:bCs/>
                  <w:color w:val="0563C1"/>
                  <w:kern w:val="2"/>
                  <w:sz w:val="20"/>
                  <w:u w:val="single"/>
                  <w:lang w:val="en-US"/>
                  <w14:ligatures w14:val="standardContextual"/>
                </w:rPr>
                <w:t>www.accc.gov.au/consumerguarantees</w:t>
              </w:r>
            </w:hyperlink>
            <w:r w:rsidRPr="0046414B">
              <w:rPr>
                <w:rFonts w:ascii="Arial" w:eastAsia="Calibri" w:hAnsi="Arial" w:cs="Arial"/>
                <w:b/>
                <w:bCs/>
                <w:kern w:val="2"/>
                <w:sz w:val="20"/>
                <w:lang w:val="en-US"/>
                <w14:ligatures w14:val="standardContextual"/>
              </w:rPr>
              <w:t>.</w:t>
            </w:r>
          </w:p>
          <w:p w14:paraId="2B7E0642" w14:textId="0C6D33D4" w:rsidR="00FB653F" w:rsidRDefault="00FB653F" w:rsidP="00FB653F">
            <w:pPr>
              <w:pStyle w:val="BodyText"/>
            </w:pPr>
            <w:r w:rsidRPr="0046414B">
              <w:rPr>
                <w:rFonts w:ascii="Arial" w:eastAsia="Calibri" w:hAnsi="Arial" w:cs="Arial"/>
                <w:b/>
                <w:bCs/>
                <w:kern w:val="2"/>
                <w:sz w:val="20"/>
                <w:lang w:val="en-US"/>
                <w14:ligatures w14:val="standardContextual"/>
              </w:rPr>
              <w:t>A link to the Federal Court judgment appears here: [</w:t>
            </w:r>
            <w:r w:rsidRPr="00433F34">
              <w:rPr>
                <w:rFonts w:ascii="Arial" w:eastAsia="Calibri" w:hAnsi="Arial" w:cs="Arial"/>
                <w:b/>
                <w:bCs/>
                <w:i/>
                <w:iCs/>
                <w:kern w:val="2"/>
                <w:sz w:val="20"/>
                <w:lang w:val="en-US"/>
                <w14:ligatures w14:val="standardContextual"/>
              </w:rPr>
              <w:t>hyperlink to be inserted</w:t>
            </w:r>
            <w:r w:rsidRPr="0046414B">
              <w:rPr>
                <w:rFonts w:ascii="Arial" w:eastAsia="Calibri" w:hAnsi="Arial" w:cs="Arial"/>
                <w:b/>
                <w:bCs/>
                <w:kern w:val="2"/>
                <w:sz w:val="20"/>
                <w:lang w:val="en-US"/>
                <w14:ligatures w14:val="standardContextual"/>
              </w:rPr>
              <w:t>]</w:t>
            </w:r>
          </w:p>
        </w:tc>
      </w:tr>
    </w:tbl>
    <w:p w14:paraId="3B4A8446" w14:textId="128DA12E" w:rsidR="006C4559" w:rsidRPr="006C4559" w:rsidRDefault="006C4559" w:rsidP="0046414B">
      <w:pPr>
        <w:pStyle w:val="BodyText"/>
      </w:pPr>
    </w:p>
    <w:p w14:paraId="51134ED8" w14:textId="2812DAEC" w:rsidR="001E0313" w:rsidRDefault="001E0313">
      <w:pPr>
        <w:spacing w:line="240" w:lineRule="auto"/>
        <w:jc w:val="left"/>
        <w:rPr>
          <w:b/>
          <w:sz w:val="28"/>
          <w:szCs w:val="28"/>
        </w:rPr>
      </w:pPr>
      <w:r>
        <w:rPr>
          <w:sz w:val="28"/>
          <w:szCs w:val="28"/>
        </w:rPr>
        <w:br w:type="page"/>
      </w:r>
    </w:p>
    <w:p w14:paraId="7665515F" w14:textId="39DEA16E" w:rsidR="00C52DFD" w:rsidRDefault="007C3488" w:rsidP="001E0313">
      <w:pPr>
        <w:pStyle w:val="OrdersHeading1"/>
        <w:jc w:val="center"/>
      </w:pPr>
      <w:r>
        <w:rPr>
          <w:caps w:val="0"/>
        </w:rPr>
        <w:lastRenderedPageBreak/>
        <w:t>APPENDIX D</w:t>
      </w: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71"/>
        <w:gridCol w:w="2883"/>
      </w:tblGrid>
      <w:tr w:rsidR="00DC4E8B" w14:paraId="384F36A3" w14:textId="77777777" w:rsidTr="00F42AEE">
        <w:tc>
          <w:tcPr>
            <w:tcW w:w="1671" w:type="dxa"/>
          </w:tcPr>
          <w:p w14:paraId="03EA5234" w14:textId="77777777" w:rsidR="00DC4E8B" w:rsidRPr="0046414B" w:rsidRDefault="00DC4E8B" w:rsidP="00066F37">
            <w:pPr>
              <w:spacing w:beforeLines="60" w:before="144" w:afterLines="60" w:after="144"/>
              <w:rPr>
                <w:rFonts w:ascii="Arial" w:hAnsi="Arial" w:cs="Arial"/>
                <w:b/>
                <w:bCs/>
              </w:rPr>
            </w:pPr>
            <w:r w:rsidRPr="0046414B">
              <w:rPr>
                <w:rFonts w:ascii="Arial" w:hAnsi="Arial" w:cs="Arial"/>
                <w:b/>
                <w:bCs/>
              </w:rPr>
              <w:t>Relevant Consumer</w:t>
            </w:r>
          </w:p>
        </w:tc>
        <w:tc>
          <w:tcPr>
            <w:tcW w:w="2883" w:type="dxa"/>
          </w:tcPr>
          <w:p w14:paraId="4F6042E5" w14:textId="77777777" w:rsidR="00DC4E8B" w:rsidRPr="0046414B" w:rsidRDefault="00DC4E8B" w:rsidP="00066F37">
            <w:pPr>
              <w:spacing w:beforeLines="60" w:before="144" w:afterLines="60" w:after="144"/>
              <w:rPr>
                <w:rFonts w:ascii="Arial" w:hAnsi="Arial" w:cs="Arial"/>
                <w:b/>
                <w:bCs/>
              </w:rPr>
            </w:pPr>
            <w:r w:rsidRPr="0046414B">
              <w:rPr>
                <w:rFonts w:ascii="Arial" w:hAnsi="Arial" w:cs="Arial"/>
                <w:b/>
                <w:bCs/>
              </w:rPr>
              <w:t>Compensation payment</w:t>
            </w:r>
          </w:p>
        </w:tc>
      </w:tr>
      <w:tr w:rsidR="00DC4E8B" w14:paraId="2ED8104D" w14:textId="77777777" w:rsidTr="00F42AEE">
        <w:tc>
          <w:tcPr>
            <w:tcW w:w="1671" w:type="dxa"/>
          </w:tcPr>
          <w:p w14:paraId="51EFCB81" w14:textId="77777777" w:rsidR="00DC4E8B" w:rsidRPr="0046414B" w:rsidRDefault="00DC4E8B" w:rsidP="00066F37">
            <w:pPr>
              <w:spacing w:beforeLines="60" w:before="144" w:afterLines="60" w:after="144"/>
              <w:rPr>
                <w:rFonts w:ascii="Arial" w:hAnsi="Arial" w:cs="Arial"/>
                <w:b/>
                <w:bCs/>
              </w:rPr>
            </w:pPr>
            <w:r w:rsidRPr="0046414B">
              <w:rPr>
                <w:rFonts w:ascii="Arial" w:hAnsi="Arial" w:cs="Arial"/>
                <w:b/>
                <w:bCs/>
              </w:rPr>
              <w:t>RC</w:t>
            </w:r>
          </w:p>
        </w:tc>
        <w:tc>
          <w:tcPr>
            <w:tcW w:w="2883" w:type="dxa"/>
          </w:tcPr>
          <w:p w14:paraId="775EE7DB" w14:textId="77777777" w:rsidR="00DC4E8B" w:rsidRPr="0046414B" w:rsidRDefault="00DC4E8B" w:rsidP="00066F37">
            <w:pPr>
              <w:spacing w:beforeLines="60" w:before="144" w:afterLines="60" w:after="144"/>
              <w:rPr>
                <w:rFonts w:ascii="Arial" w:hAnsi="Arial" w:cs="Arial"/>
              </w:rPr>
            </w:pPr>
            <w:r w:rsidRPr="0046414B">
              <w:rPr>
                <w:rFonts w:ascii="Arial" w:hAnsi="Arial" w:cs="Arial"/>
              </w:rPr>
              <w:t>$5,990</w:t>
            </w:r>
          </w:p>
        </w:tc>
      </w:tr>
      <w:tr w:rsidR="00DC4E8B" w14:paraId="1C941E66" w14:textId="77777777" w:rsidTr="00F42AEE">
        <w:tc>
          <w:tcPr>
            <w:tcW w:w="1671" w:type="dxa"/>
          </w:tcPr>
          <w:p w14:paraId="31F62BDF" w14:textId="77777777" w:rsidR="00DC4E8B" w:rsidRPr="0046414B" w:rsidRDefault="00DC4E8B" w:rsidP="00066F37">
            <w:pPr>
              <w:spacing w:beforeLines="60" w:before="144" w:afterLines="60" w:after="144"/>
              <w:rPr>
                <w:rFonts w:ascii="Arial" w:hAnsi="Arial" w:cs="Arial"/>
                <w:b/>
                <w:bCs/>
              </w:rPr>
            </w:pPr>
            <w:r w:rsidRPr="0046414B">
              <w:rPr>
                <w:rFonts w:ascii="Arial" w:hAnsi="Arial" w:cs="Arial"/>
                <w:b/>
                <w:bCs/>
              </w:rPr>
              <w:t>CT and MT</w:t>
            </w:r>
          </w:p>
        </w:tc>
        <w:tc>
          <w:tcPr>
            <w:tcW w:w="2883" w:type="dxa"/>
          </w:tcPr>
          <w:p w14:paraId="4BFDD1F1" w14:textId="77777777" w:rsidR="00DC4E8B" w:rsidRPr="0046414B" w:rsidRDefault="00DC4E8B" w:rsidP="00066F37">
            <w:pPr>
              <w:spacing w:beforeLines="60" w:before="144" w:afterLines="60" w:after="144"/>
              <w:rPr>
                <w:rFonts w:ascii="Arial" w:hAnsi="Arial" w:cs="Arial"/>
              </w:rPr>
            </w:pPr>
            <w:r w:rsidRPr="0046414B">
              <w:rPr>
                <w:rFonts w:ascii="Arial" w:hAnsi="Arial" w:cs="Arial"/>
              </w:rPr>
              <w:t>-</w:t>
            </w:r>
          </w:p>
        </w:tc>
      </w:tr>
      <w:tr w:rsidR="00DC4E8B" w14:paraId="3D4CE0BC" w14:textId="77777777" w:rsidTr="00F42AEE">
        <w:tc>
          <w:tcPr>
            <w:tcW w:w="1671" w:type="dxa"/>
          </w:tcPr>
          <w:p w14:paraId="795EF87B" w14:textId="77777777" w:rsidR="00DC4E8B" w:rsidRPr="0046414B" w:rsidRDefault="00DC4E8B" w:rsidP="00066F37">
            <w:pPr>
              <w:spacing w:beforeLines="60" w:before="144" w:afterLines="60" w:after="144"/>
              <w:rPr>
                <w:rFonts w:ascii="Arial" w:hAnsi="Arial" w:cs="Arial"/>
                <w:b/>
                <w:bCs/>
              </w:rPr>
            </w:pPr>
            <w:r w:rsidRPr="0046414B">
              <w:rPr>
                <w:rFonts w:ascii="Arial" w:hAnsi="Arial" w:cs="Arial"/>
                <w:b/>
                <w:bCs/>
              </w:rPr>
              <w:t>SB and KB</w:t>
            </w:r>
          </w:p>
        </w:tc>
        <w:tc>
          <w:tcPr>
            <w:tcW w:w="2883" w:type="dxa"/>
          </w:tcPr>
          <w:p w14:paraId="4B6F872F" w14:textId="77777777" w:rsidR="00DC4E8B" w:rsidRPr="0046414B" w:rsidRDefault="00DC4E8B" w:rsidP="00066F37">
            <w:pPr>
              <w:spacing w:beforeLines="60" w:before="144" w:afterLines="60" w:after="144"/>
              <w:rPr>
                <w:rFonts w:ascii="Arial" w:hAnsi="Arial" w:cs="Arial"/>
              </w:rPr>
            </w:pPr>
            <w:r w:rsidRPr="0046414B">
              <w:rPr>
                <w:rFonts w:ascii="Arial" w:hAnsi="Arial" w:cs="Arial"/>
              </w:rPr>
              <w:t>$27,650</w:t>
            </w:r>
          </w:p>
        </w:tc>
      </w:tr>
      <w:tr w:rsidR="00DC4E8B" w14:paraId="076C654E" w14:textId="77777777" w:rsidTr="00F42AEE">
        <w:tc>
          <w:tcPr>
            <w:tcW w:w="1671" w:type="dxa"/>
          </w:tcPr>
          <w:p w14:paraId="495670B3" w14:textId="77777777" w:rsidR="00DC4E8B" w:rsidRPr="0046414B" w:rsidRDefault="00DC4E8B" w:rsidP="00066F37">
            <w:pPr>
              <w:spacing w:beforeLines="60" w:before="144" w:afterLines="60" w:after="144"/>
              <w:rPr>
                <w:rFonts w:ascii="Arial" w:hAnsi="Arial" w:cs="Arial"/>
                <w:b/>
                <w:bCs/>
              </w:rPr>
            </w:pPr>
            <w:r w:rsidRPr="0046414B">
              <w:rPr>
                <w:rFonts w:ascii="Arial" w:hAnsi="Arial" w:cs="Arial"/>
                <w:b/>
                <w:bCs/>
              </w:rPr>
              <w:t>MG</w:t>
            </w:r>
          </w:p>
        </w:tc>
        <w:tc>
          <w:tcPr>
            <w:tcW w:w="2883" w:type="dxa"/>
          </w:tcPr>
          <w:p w14:paraId="142E6C28" w14:textId="77777777" w:rsidR="00DC4E8B" w:rsidRPr="0046414B" w:rsidRDefault="00DC4E8B" w:rsidP="00066F37">
            <w:pPr>
              <w:spacing w:beforeLines="60" w:before="144" w:afterLines="60" w:after="144"/>
              <w:rPr>
                <w:rFonts w:ascii="Arial" w:hAnsi="Arial" w:cs="Arial"/>
              </w:rPr>
            </w:pPr>
            <w:r w:rsidRPr="0046414B">
              <w:rPr>
                <w:rFonts w:ascii="Arial" w:hAnsi="Arial" w:cs="Arial"/>
              </w:rPr>
              <w:t>$14,393</w:t>
            </w:r>
          </w:p>
        </w:tc>
      </w:tr>
      <w:tr w:rsidR="00DC4E8B" w14:paraId="52C39ACC" w14:textId="77777777" w:rsidTr="00F42AEE">
        <w:tc>
          <w:tcPr>
            <w:tcW w:w="1671" w:type="dxa"/>
          </w:tcPr>
          <w:p w14:paraId="64771137" w14:textId="77777777" w:rsidR="00DC4E8B" w:rsidRPr="0046414B" w:rsidRDefault="00DC4E8B" w:rsidP="00066F37">
            <w:pPr>
              <w:spacing w:beforeLines="60" w:before="144" w:afterLines="60" w:after="144"/>
              <w:rPr>
                <w:rFonts w:ascii="Arial" w:hAnsi="Arial" w:cs="Arial"/>
                <w:b/>
                <w:bCs/>
              </w:rPr>
            </w:pPr>
            <w:r w:rsidRPr="0046414B">
              <w:rPr>
                <w:rFonts w:ascii="Arial" w:hAnsi="Arial" w:cs="Arial"/>
                <w:b/>
                <w:bCs/>
              </w:rPr>
              <w:t>TK and MK</w:t>
            </w:r>
          </w:p>
        </w:tc>
        <w:tc>
          <w:tcPr>
            <w:tcW w:w="2883" w:type="dxa"/>
          </w:tcPr>
          <w:p w14:paraId="46DC4771" w14:textId="77777777" w:rsidR="00DC4E8B" w:rsidRPr="0046414B" w:rsidRDefault="00DC4E8B" w:rsidP="00066F37">
            <w:pPr>
              <w:spacing w:beforeLines="60" w:before="144" w:afterLines="60" w:after="144"/>
              <w:rPr>
                <w:rFonts w:ascii="Arial" w:hAnsi="Arial" w:cs="Arial"/>
              </w:rPr>
            </w:pPr>
            <w:r w:rsidRPr="0046414B">
              <w:rPr>
                <w:rFonts w:ascii="Arial" w:hAnsi="Arial" w:cs="Arial"/>
              </w:rPr>
              <w:t>-</w:t>
            </w:r>
          </w:p>
        </w:tc>
      </w:tr>
      <w:tr w:rsidR="00DC4E8B" w14:paraId="0858A77F" w14:textId="77777777" w:rsidTr="00F42AEE">
        <w:tc>
          <w:tcPr>
            <w:tcW w:w="1671" w:type="dxa"/>
          </w:tcPr>
          <w:p w14:paraId="35166E0F" w14:textId="77777777" w:rsidR="00DC4E8B" w:rsidRPr="0046414B" w:rsidRDefault="00DC4E8B" w:rsidP="00066F37">
            <w:pPr>
              <w:spacing w:beforeLines="60" w:before="144" w:afterLines="60" w:after="144"/>
              <w:rPr>
                <w:rFonts w:ascii="Arial" w:hAnsi="Arial" w:cs="Arial"/>
                <w:b/>
                <w:bCs/>
              </w:rPr>
            </w:pPr>
            <w:r w:rsidRPr="0046414B">
              <w:rPr>
                <w:rFonts w:ascii="Arial" w:hAnsi="Arial" w:cs="Arial"/>
                <w:b/>
                <w:bCs/>
              </w:rPr>
              <w:t>LC</w:t>
            </w:r>
          </w:p>
        </w:tc>
        <w:tc>
          <w:tcPr>
            <w:tcW w:w="2883" w:type="dxa"/>
          </w:tcPr>
          <w:p w14:paraId="38890925" w14:textId="77777777" w:rsidR="00DC4E8B" w:rsidRPr="0046414B" w:rsidRDefault="00DC4E8B" w:rsidP="00066F37">
            <w:pPr>
              <w:spacing w:beforeLines="60" w:before="144" w:afterLines="60" w:after="144"/>
              <w:rPr>
                <w:rFonts w:ascii="Arial" w:hAnsi="Arial" w:cs="Arial"/>
              </w:rPr>
            </w:pPr>
            <w:r w:rsidRPr="0046414B">
              <w:rPr>
                <w:rFonts w:ascii="Arial" w:hAnsi="Arial" w:cs="Arial"/>
              </w:rPr>
              <w:t>$24,408</w:t>
            </w:r>
          </w:p>
        </w:tc>
      </w:tr>
      <w:tr w:rsidR="00DC4E8B" w14:paraId="692350D1" w14:textId="77777777" w:rsidTr="00F42AEE">
        <w:trPr>
          <w:trHeight w:val="70"/>
        </w:trPr>
        <w:tc>
          <w:tcPr>
            <w:tcW w:w="1671" w:type="dxa"/>
          </w:tcPr>
          <w:p w14:paraId="4C1E73CD" w14:textId="77777777" w:rsidR="00DC4E8B" w:rsidRPr="0046414B" w:rsidRDefault="00DC4E8B" w:rsidP="00066F37">
            <w:pPr>
              <w:spacing w:beforeLines="60" w:before="144" w:afterLines="60" w:after="144"/>
              <w:rPr>
                <w:rFonts w:ascii="Arial" w:hAnsi="Arial" w:cs="Arial"/>
                <w:b/>
                <w:bCs/>
              </w:rPr>
            </w:pPr>
            <w:r w:rsidRPr="0046414B">
              <w:rPr>
                <w:rFonts w:ascii="Arial" w:hAnsi="Arial" w:cs="Arial"/>
                <w:b/>
                <w:bCs/>
              </w:rPr>
              <w:t>EG</w:t>
            </w:r>
          </w:p>
        </w:tc>
        <w:tc>
          <w:tcPr>
            <w:tcW w:w="2883" w:type="dxa"/>
          </w:tcPr>
          <w:p w14:paraId="474D4FF2" w14:textId="77777777" w:rsidR="00DC4E8B" w:rsidRPr="0046414B" w:rsidRDefault="00DC4E8B" w:rsidP="00066F37">
            <w:pPr>
              <w:spacing w:beforeLines="60" w:before="144" w:afterLines="60" w:after="144"/>
              <w:rPr>
                <w:rFonts w:ascii="Arial" w:hAnsi="Arial" w:cs="Arial"/>
              </w:rPr>
            </w:pPr>
            <w:r w:rsidRPr="0046414B">
              <w:rPr>
                <w:rFonts w:ascii="Arial" w:hAnsi="Arial" w:cs="Arial"/>
              </w:rPr>
              <w:t>$9,850</w:t>
            </w:r>
          </w:p>
        </w:tc>
      </w:tr>
      <w:tr w:rsidR="00DC4E8B" w14:paraId="607F3B02" w14:textId="77777777" w:rsidTr="00F42AEE">
        <w:tc>
          <w:tcPr>
            <w:tcW w:w="1671" w:type="dxa"/>
          </w:tcPr>
          <w:p w14:paraId="0AE03FE4" w14:textId="77777777" w:rsidR="00DC4E8B" w:rsidRPr="0046414B" w:rsidRDefault="00DC4E8B" w:rsidP="00066F37">
            <w:pPr>
              <w:spacing w:beforeLines="60" w:before="144" w:afterLines="60" w:after="144"/>
              <w:rPr>
                <w:rFonts w:ascii="Arial" w:hAnsi="Arial" w:cs="Arial"/>
                <w:b/>
                <w:bCs/>
                <w:u w:val="single"/>
              </w:rPr>
            </w:pPr>
            <w:r w:rsidRPr="0046414B">
              <w:rPr>
                <w:rFonts w:ascii="Arial" w:hAnsi="Arial" w:cs="Arial"/>
                <w:b/>
                <w:bCs/>
                <w:u w:val="single"/>
              </w:rPr>
              <w:t>TOTAL</w:t>
            </w:r>
          </w:p>
        </w:tc>
        <w:tc>
          <w:tcPr>
            <w:tcW w:w="2883" w:type="dxa"/>
          </w:tcPr>
          <w:p w14:paraId="57FFB8C3" w14:textId="77777777" w:rsidR="00DC4E8B" w:rsidRPr="0046414B" w:rsidRDefault="00DC4E8B" w:rsidP="00066F37">
            <w:pPr>
              <w:spacing w:beforeLines="60" w:before="144" w:afterLines="60" w:after="144"/>
              <w:rPr>
                <w:rFonts w:ascii="Arial" w:hAnsi="Arial" w:cs="Arial"/>
                <w:b/>
                <w:bCs/>
                <w:u w:val="single"/>
              </w:rPr>
            </w:pPr>
            <w:r w:rsidRPr="0046414B">
              <w:rPr>
                <w:rFonts w:ascii="Arial" w:hAnsi="Arial" w:cs="Arial"/>
                <w:b/>
                <w:bCs/>
                <w:u w:val="single"/>
              </w:rPr>
              <w:t>$82,291</w:t>
            </w:r>
          </w:p>
        </w:tc>
      </w:tr>
    </w:tbl>
    <w:p w14:paraId="5D2EAB74" w14:textId="77777777" w:rsidR="001E0313" w:rsidRPr="001E0313" w:rsidRDefault="001E0313" w:rsidP="0046414B">
      <w:pPr>
        <w:pStyle w:val="BodyText"/>
      </w:pPr>
    </w:p>
    <w:p w14:paraId="61922AEB" w14:textId="77777777" w:rsidR="00584C60" w:rsidRDefault="00584C60" w:rsidP="00045BB7">
      <w:pPr>
        <w:pStyle w:val="NormalHeadings"/>
        <w:spacing w:line="480" w:lineRule="auto"/>
        <w:jc w:val="center"/>
        <w:rPr>
          <w:sz w:val="28"/>
          <w:szCs w:val="28"/>
        </w:rPr>
      </w:pPr>
    </w:p>
    <w:p w14:paraId="05C64FA3" w14:textId="77777777" w:rsidR="00C52DFD" w:rsidRDefault="00C52DFD" w:rsidP="00045BB7">
      <w:pPr>
        <w:pStyle w:val="NormalHeadings"/>
        <w:spacing w:line="480" w:lineRule="auto"/>
        <w:jc w:val="center"/>
        <w:rPr>
          <w:sz w:val="28"/>
          <w:szCs w:val="28"/>
        </w:rPr>
        <w:sectPr w:rsidR="00C52DFD" w:rsidSect="00A84FD0">
          <w:headerReference w:type="even" r:id="rId15"/>
          <w:headerReference w:type="default"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start="1"/>
          <w:cols w:space="720"/>
          <w:noEndnote/>
          <w:titlePg/>
        </w:sectPr>
      </w:pPr>
    </w:p>
    <w:p w14:paraId="582CAC8A" w14:textId="77777777" w:rsidR="001D336E" w:rsidRDefault="001D336E" w:rsidP="00045BB7">
      <w:pPr>
        <w:pStyle w:val="NormalHeadings"/>
        <w:spacing w:line="480" w:lineRule="auto"/>
        <w:jc w:val="center"/>
        <w:rPr>
          <w:sz w:val="28"/>
          <w:szCs w:val="28"/>
        </w:rPr>
      </w:pPr>
    </w:p>
    <w:p w14:paraId="484CC4AA" w14:textId="77777777" w:rsidR="00484F6D" w:rsidRPr="00045BB7" w:rsidRDefault="00484F6D" w:rsidP="00045BB7">
      <w:pPr>
        <w:pStyle w:val="NormalHeadings"/>
        <w:spacing w:line="480" w:lineRule="auto"/>
        <w:jc w:val="center"/>
        <w:rPr>
          <w:sz w:val="28"/>
          <w:szCs w:val="28"/>
        </w:rPr>
      </w:pPr>
      <w:r w:rsidRPr="00045BB7">
        <w:rPr>
          <w:sz w:val="28"/>
          <w:szCs w:val="28"/>
        </w:rPr>
        <w:t>REASONS FOR JUDGMENT</w:t>
      </w:r>
    </w:p>
    <w:p w14:paraId="44218114" w14:textId="05870F2A" w:rsidR="00694BEB" w:rsidRDefault="002B721E" w:rsidP="005E0510">
      <w:pPr>
        <w:pStyle w:val="NormalHeadings"/>
        <w:spacing w:line="360" w:lineRule="auto"/>
        <w:jc w:val="left"/>
        <w:rPr>
          <w:sz w:val="26"/>
          <w:szCs w:val="26"/>
        </w:rPr>
      </w:pPr>
      <w:r>
        <w:rPr>
          <w:sz w:val="26"/>
          <w:szCs w:val="26"/>
        </w:rPr>
        <w:t>O’CALLAGHAN J</w:t>
      </w:r>
    </w:p>
    <w:p w14:paraId="105E5E3C" w14:textId="3B431256" w:rsidR="009F7F26" w:rsidRDefault="007C3488" w:rsidP="00AA13E5">
      <w:pPr>
        <w:pStyle w:val="Heading1"/>
      </w:pPr>
      <w:r>
        <w:rPr>
          <w:caps w:val="0"/>
        </w:rPr>
        <w:t>INTRODUCTION</w:t>
      </w:r>
    </w:p>
    <w:p w14:paraId="5461B581" w14:textId="5C538DED" w:rsidR="00CD1346" w:rsidRDefault="007C3488" w:rsidP="007C3488">
      <w:pPr>
        <w:pStyle w:val="ParaNumbering"/>
        <w:numPr>
          <w:ilvl w:val="0"/>
          <w:numId w:val="0"/>
        </w:numPr>
        <w:ind w:hanging="720"/>
      </w:pPr>
      <w:r>
        <w:rPr>
          <w:sz w:val="20"/>
        </w:rPr>
        <w:t>1</w:t>
      </w:r>
      <w:r>
        <w:rPr>
          <w:sz w:val="20"/>
        </w:rPr>
        <w:tab/>
      </w:r>
      <w:r w:rsidR="005E2A5B">
        <w:t>On</w:t>
      </w:r>
      <w:r w:rsidR="00DA065D">
        <w:t xml:space="preserve"> 21 March 2022, I </w:t>
      </w:r>
      <w:r w:rsidR="0007149E">
        <w:t>made declarations that Mazda Australia Pty Ltd (</w:t>
      </w:r>
      <w:r w:rsidR="00185BD0">
        <w:rPr>
          <w:b/>
          <w:bCs/>
        </w:rPr>
        <w:t>Mazda</w:t>
      </w:r>
      <w:r w:rsidR="0007149E">
        <w:t xml:space="preserve">) contravened ss </w:t>
      </w:r>
      <w:r w:rsidR="0007149E" w:rsidRPr="00416014">
        <w:t>18(1) and 29(1)(m)</w:t>
      </w:r>
      <w:r w:rsidR="0007149E">
        <w:t xml:space="preserve"> of the </w:t>
      </w:r>
      <w:r w:rsidR="0007149E" w:rsidRPr="0046414B">
        <w:t>Australian Consumer Law</w:t>
      </w:r>
      <w:r w:rsidR="0007149E">
        <w:rPr>
          <w:i/>
          <w:iCs/>
        </w:rPr>
        <w:t xml:space="preserve"> </w:t>
      </w:r>
      <w:r w:rsidR="00B9262E">
        <w:t>(</w:t>
      </w:r>
      <w:r w:rsidR="00B9262E">
        <w:rPr>
          <w:b/>
          <w:bCs/>
        </w:rPr>
        <w:t>ACL</w:t>
      </w:r>
      <w:r w:rsidR="00B9262E">
        <w:t xml:space="preserve">, being </w:t>
      </w:r>
      <w:r w:rsidR="00B9262E" w:rsidRPr="00416014">
        <w:t xml:space="preserve">Schedule 2 to the </w:t>
      </w:r>
      <w:r w:rsidR="00B9262E" w:rsidRPr="00416014">
        <w:rPr>
          <w:i/>
          <w:iCs/>
        </w:rPr>
        <w:t xml:space="preserve">Competition and Consumer Act 2010 </w:t>
      </w:r>
      <w:r w:rsidR="00B9262E" w:rsidRPr="00416014">
        <w:t>(</w:t>
      </w:r>
      <w:proofErr w:type="spellStart"/>
      <w:r w:rsidR="00B9262E" w:rsidRPr="00416014">
        <w:t>Cth</w:t>
      </w:r>
      <w:proofErr w:type="spellEnd"/>
      <w:r w:rsidR="00B9262E" w:rsidRPr="00416014">
        <w:t>)</w:t>
      </w:r>
      <w:r w:rsidR="00B9262E">
        <w:t>)</w:t>
      </w:r>
      <w:r w:rsidR="00FC6A2B">
        <w:t>, by making false representations concerning consumer guarantees under the ACL.</w:t>
      </w:r>
      <w:r w:rsidR="00806F44">
        <w:t xml:space="preserve">  See</w:t>
      </w:r>
      <w:r w:rsidR="00774040">
        <w:t xml:space="preserve"> </w:t>
      </w:r>
      <w:r w:rsidR="00774040" w:rsidRPr="00416014">
        <w:rPr>
          <w:i/>
          <w:iCs/>
        </w:rPr>
        <w:t>Australian Competition and Consumer Commission v Mazda Australia Pty Ltd</w:t>
      </w:r>
      <w:r w:rsidR="00456A9E" w:rsidRPr="00416014">
        <w:rPr>
          <w:i/>
          <w:iCs/>
        </w:rPr>
        <w:t xml:space="preserve"> </w:t>
      </w:r>
      <w:r w:rsidR="00456A9E" w:rsidRPr="00416014">
        <w:t>[2021] FCA 1493; (2021) 158 ACSR 31</w:t>
      </w:r>
      <w:r w:rsidR="00194E1F">
        <w:t xml:space="preserve"> (</w:t>
      </w:r>
      <w:r w:rsidR="00194E1F">
        <w:rPr>
          <w:b/>
          <w:bCs/>
        </w:rPr>
        <w:t>Liability Judgment</w:t>
      </w:r>
      <w:r w:rsidR="00194E1F">
        <w:t>)</w:t>
      </w:r>
      <w:r w:rsidR="00456A9E">
        <w:t xml:space="preserve">; </w:t>
      </w:r>
      <w:r w:rsidR="00456A9E" w:rsidRPr="00416014">
        <w:rPr>
          <w:i/>
          <w:iCs/>
        </w:rPr>
        <w:t xml:space="preserve">Australian Competition and Consumer Commission v Mazda Australia Pty Ltd (No 2) </w:t>
      </w:r>
      <w:r w:rsidR="00456A9E" w:rsidRPr="00416014">
        <w:t>[2022] FCA 250</w:t>
      </w:r>
      <w:r w:rsidR="001B468B">
        <w:t xml:space="preserve"> (</w:t>
      </w:r>
      <w:r w:rsidR="0070096C">
        <w:rPr>
          <w:b/>
          <w:bCs/>
        </w:rPr>
        <w:t>Declarations</w:t>
      </w:r>
      <w:r w:rsidR="00085216">
        <w:t>)</w:t>
      </w:r>
      <w:r w:rsidR="00456A9E">
        <w:t>.</w:t>
      </w:r>
      <w:r w:rsidR="00085216">
        <w:t xml:space="preserve">  </w:t>
      </w:r>
    </w:p>
    <w:p w14:paraId="0D7C1528" w14:textId="613F8163" w:rsidR="00782F30" w:rsidRDefault="007C3488" w:rsidP="007C3488">
      <w:pPr>
        <w:pStyle w:val="ParaNumbering"/>
        <w:numPr>
          <w:ilvl w:val="0"/>
          <w:numId w:val="0"/>
        </w:numPr>
        <w:ind w:hanging="720"/>
      </w:pPr>
      <w:r>
        <w:rPr>
          <w:sz w:val="20"/>
        </w:rPr>
        <w:t>2</w:t>
      </w:r>
      <w:r>
        <w:rPr>
          <w:sz w:val="20"/>
        </w:rPr>
        <w:tab/>
      </w:r>
      <w:r w:rsidR="00782F30">
        <w:t>Mazda appealed against my orders finding that it had contravened s</w:t>
      </w:r>
      <w:r w:rsidR="00E878C8">
        <w:t>s</w:t>
      </w:r>
      <w:r w:rsidR="00782F30">
        <w:t xml:space="preserve"> 18(1) and 29(1)(m) of the ACL</w:t>
      </w:r>
      <w:r w:rsidR="00177A1A">
        <w:t xml:space="preserve">.  </w:t>
      </w:r>
      <w:r w:rsidR="00782F30">
        <w:t xml:space="preserve">The </w:t>
      </w:r>
      <w:r w:rsidR="00E51A29">
        <w:t>Australian Competition and Consumer Commission (</w:t>
      </w:r>
      <w:r w:rsidR="00E51A29">
        <w:rPr>
          <w:b/>
          <w:bCs/>
        </w:rPr>
        <w:t>ACCC</w:t>
      </w:r>
      <w:r w:rsidR="00E51A29">
        <w:t>)</w:t>
      </w:r>
      <w:r w:rsidR="00782F30">
        <w:t xml:space="preserve"> filed a notice of contention in the Mazda appeal.</w:t>
      </w:r>
      <w:r w:rsidR="00177A1A">
        <w:t xml:space="preserve">  </w:t>
      </w:r>
      <w:r w:rsidR="00782F30">
        <w:t xml:space="preserve">The </w:t>
      </w:r>
      <w:r w:rsidR="00E51A29">
        <w:t xml:space="preserve">ACCC </w:t>
      </w:r>
      <w:r w:rsidR="00CD48ED">
        <w:t xml:space="preserve">also </w:t>
      </w:r>
      <w:r w:rsidR="00782F30">
        <w:t>appeal</w:t>
      </w:r>
      <w:r w:rsidR="00177A1A">
        <w:t>ed</w:t>
      </w:r>
      <w:r w:rsidR="00782F30">
        <w:t xml:space="preserve"> against </w:t>
      </w:r>
      <w:r w:rsidR="00CD48ED">
        <w:t>my</w:t>
      </w:r>
      <w:r w:rsidR="00782F30">
        <w:t xml:space="preserve"> dismissal of its claims that Mazda had engaged in unconscionable conduct in contravention of s 21 of the ACL. </w:t>
      </w:r>
      <w:r w:rsidR="0027208C">
        <w:t xml:space="preserve"> </w:t>
      </w:r>
      <w:r w:rsidR="00782F30">
        <w:t>Mazda filed a notice of contention in the ACCC appeal.</w:t>
      </w:r>
    </w:p>
    <w:p w14:paraId="0B24D364" w14:textId="177AE8BE" w:rsidR="00782F30" w:rsidRDefault="007C3488" w:rsidP="007C3488">
      <w:pPr>
        <w:pStyle w:val="ParaNumbering"/>
        <w:numPr>
          <w:ilvl w:val="0"/>
          <w:numId w:val="0"/>
        </w:numPr>
        <w:ind w:hanging="720"/>
      </w:pPr>
      <w:r>
        <w:rPr>
          <w:sz w:val="20"/>
        </w:rPr>
        <w:t>3</w:t>
      </w:r>
      <w:r>
        <w:rPr>
          <w:sz w:val="20"/>
        </w:rPr>
        <w:tab/>
      </w:r>
      <w:r w:rsidR="000E2CF6">
        <w:t xml:space="preserve">The Full Court </w:t>
      </w:r>
      <w:r w:rsidR="00782F30">
        <w:t>allow</w:t>
      </w:r>
      <w:r w:rsidR="000E2CF6">
        <w:t>ed</w:t>
      </w:r>
      <w:r w:rsidR="00782F30">
        <w:t xml:space="preserve"> the ACCC notice of contention but reject</w:t>
      </w:r>
      <w:r w:rsidR="000E2CF6">
        <w:t>ed</w:t>
      </w:r>
      <w:r w:rsidR="00782F30">
        <w:t xml:space="preserve"> both the ACCC appeal and the Mazda appeal. </w:t>
      </w:r>
      <w:r w:rsidR="003C2D75">
        <w:t xml:space="preserve"> I</w:t>
      </w:r>
      <w:r w:rsidR="00782F30">
        <w:t xml:space="preserve">t was </w:t>
      </w:r>
      <w:r w:rsidR="003C2D75">
        <w:t xml:space="preserve">thus </w:t>
      </w:r>
      <w:r w:rsidR="00782F30">
        <w:t xml:space="preserve">unnecessary </w:t>
      </w:r>
      <w:r w:rsidR="003C2D75">
        <w:t xml:space="preserve">for the Full Court </w:t>
      </w:r>
      <w:r w:rsidR="00782F30">
        <w:t>to address the Mazda notices of contention.</w:t>
      </w:r>
      <w:r w:rsidR="00B24F59">
        <w:t xml:space="preserve">  See </w:t>
      </w:r>
      <w:r w:rsidR="00B24F59" w:rsidRPr="00416014">
        <w:rPr>
          <w:i/>
          <w:iCs/>
        </w:rPr>
        <w:t>Australian Competition and Consumer Commission v Mazda Australia Pty Ltd</w:t>
      </w:r>
      <w:r w:rsidR="00B24F59" w:rsidRPr="00416014">
        <w:t xml:space="preserve"> [2023] FCAFC 45</w:t>
      </w:r>
      <w:r w:rsidR="00B24F59">
        <w:t xml:space="preserve"> (Mortimer, </w:t>
      </w:r>
      <w:proofErr w:type="gramStart"/>
      <w:r w:rsidR="00B24F59">
        <w:t>Lee</w:t>
      </w:r>
      <w:proofErr w:type="gramEnd"/>
      <w:r w:rsidR="0040300E">
        <w:t xml:space="preserve"> and Halley</w:t>
      </w:r>
      <w:r w:rsidR="00B24F59">
        <w:t xml:space="preserve"> JJ).</w:t>
      </w:r>
    </w:p>
    <w:p w14:paraId="10919B12" w14:textId="5B60466F" w:rsidR="005A6EDC" w:rsidRDefault="007C3488" w:rsidP="007C3488">
      <w:pPr>
        <w:pStyle w:val="ParaNumbering"/>
        <w:numPr>
          <w:ilvl w:val="0"/>
          <w:numId w:val="0"/>
        </w:numPr>
        <w:ind w:hanging="720"/>
      </w:pPr>
      <w:r>
        <w:rPr>
          <w:sz w:val="20"/>
        </w:rPr>
        <w:t>4</w:t>
      </w:r>
      <w:r>
        <w:rPr>
          <w:sz w:val="20"/>
        </w:rPr>
        <w:tab/>
      </w:r>
      <w:r w:rsidR="006215FC">
        <w:t xml:space="preserve">I then heard </w:t>
      </w:r>
      <w:r w:rsidR="00C56E57">
        <w:t xml:space="preserve">submissions on the questions of the </w:t>
      </w:r>
      <w:r w:rsidR="005A6EDC">
        <w:t xml:space="preserve">pecuniary penalties to be imposed </w:t>
      </w:r>
      <w:r w:rsidR="00C56E57">
        <w:t xml:space="preserve">on Mazda </w:t>
      </w:r>
      <w:r w:rsidR="005A6EDC">
        <w:t xml:space="preserve">and any </w:t>
      </w:r>
      <w:r w:rsidR="002B7170">
        <w:t>additional</w:t>
      </w:r>
      <w:r w:rsidR="005A6EDC">
        <w:t xml:space="preserve"> relief. </w:t>
      </w:r>
      <w:r w:rsidR="00C56E57">
        <w:t xml:space="preserve"> These reasons deal with those questions.</w:t>
      </w:r>
    </w:p>
    <w:p w14:paraId="66BB3D00" w14:textId="3C73E471" w:rsidR="00DE254F" w:rsidRDefault="007C3488" w:rsidP="00AA13E5">
      <w:pPr>
        <w:pStyle w:val="Heading1"/>
      </w:pPr>
      <w:r>
        <w:rPr>
          <w:caps w:val="0"/>
        </w:rPr>
        <w:t>SUMMARY OF FINDINGS</w:t>
      </w:r>
    </w:p>
    <w:p w14:paraId="7842A908" w14:textId="2AECD97C" w:rsidR="00D2439F" w:rsidRDefault="007C3488" w:rsidP="007C3488">
      <w:pPr>
        <w:pStyle w:val="ParaNumbering"/>
        <w:numPr>
          <w:ilvl w:val="0"/>
          <w:numId w:val="0"/>
        </w:numPr>
        <w:ind w:hanging="720"/>
      </w:pPr>
      <w:r>
        <w:rPr>
          <w:sz w:val="20"/>
        </w:rPr>
        <w:t>5</w:t>
      </w:r>
      <w:r>
        <w:rPr>
          <w:sz w:val="20"/>
        </w:rPr>
        <w:tab/>
      </w:r>
      <w:r w:rsidR="00C751EA">
        <w:t>I</w:t>
      </w:r>
      <w:r w:rsidR="00D70248">
        <w:t xml:space="preserve"> found</w:t>
      </w:r>
      <w:r w:rsidR="00D14DD8">
        <w:t xml:space="preserve"> </w:t>
      </w:r>
      <w:r w:rsidR="00D70248">
        <w:t>that Mazda made 49 false representations</w:t>
      </w:r>
      <w:r w:rsidR="00441583">
        <w:t xml:space="preserve"> </w:t>
      </w:r>
      <w:r w:rsidR="00D70248">
        <w:t xml:space="preserve">to nine consumers </w:t>
      </w:r>
      <w:r w:rsidR="00F95D7C">
        <w:t xml:space="preserve">in </w:t>
      </w:r>
      <w:r w:rsidR="00441583">
        <w:t xml:space="preserve">contravention of </w:t>
      </w:r>
      <w:r w:rsidR="00AB3AA4">
        <w:t>s</w:t>
      </w:r>
      <w:r w:rsidR="002F221C">
        <w:t>s</w:t>
      </w:r>
      <w:r w:rsidR="00AB3AA4">
        <w:t xml:space="preserve"> 18(1) and 29(1)(m) of the</w:t>
      </w:r>
      <w:r w:rsidR="00441583">
        <w:t xml:space="preserve"> ACL.</w:t>
      </w:r>
      <w:r w:rsidR="004955B1">
        <w:t xml:space="preserve">  The </w:t>
      </w:r>
      <w:r w:rsidR="0096669D">
        <w:t>false representations</w:t>
      </w:r>
      <w:r w:rsidR="00734CDF">
        <w:t xml:space="preserve"> related to</w:t>
      </w:r>
      <w:r w:rsidR="00DF6DF9">
        <w:t xml:space="preserve"> seven motor vehicles</w:t>
      </w:r>
      <w:r w:rsidR="00573294">
        <w:t xml:space="preserve"> purchased</w:t>
      </w:r>
      <w:r w:rsidR="000B0909">
        <w:t xml:space="preserve"> </w:t>
      </w:r>
      <w:r w:rsidR="00573294">
        <w:t>from Mazda dealers</w:t>
      </w:r>
      <w:r w:rsidR="001E0784">
        <w:t xml:space="preserve"> and</w:t>
      </w:r>
      <w:r w:rsidR="0036310F">
        <w:t xml:space="preserve"> </w:t>
      </w:r>
      <w:r w:rsidR="001E0784">
        <w:t xml:space="preserve">fell into </w:t>
      </w:r>
      <w:r w:rsidR="00D2439F">
        <w:t>the following two categories:</w:t>
      </w:r>
    </w:p>
    <w:p w14:paraId="2B3806D3" w14:textId="6483AF66" w:rsidR="00D2439F" w:rsidRDefault="007C3488" w:rsidP="007C3488">
      <w:pPr>
        <w:pStyle w:val="ListNo1alt"/>
        <w:numPr>
          <w:ilvl w:val="0"/>
          <w:numId w:val="0"/>
        </w:numPr>
        <w:tabs>
          <w:tab w:val="left" w:pos="720"/>
        </w:tabs>
        <w:ind w:left="720" w:hanging="720"/>
      </w:pPr>
      <w:r>
        <w:t>(a)</w:t>
      </w:r>
      <w:r>
        <w:tab/>
      </w:r>
      <w:r w:rsidR="0036310F">
        <w:t>f</w:t>
      </w:r>
      <w:r w:rsidR="00511B35">
        <w:t xml:space="preserve">alse representations concerning the existence or effect of consumer guarantees under Part </w:t>
      </w:r>
      <w:r w:rsidR="0053094E">
        <w:t>3</w:t>
      </w:r>
      <w:r w:rsidR="0053094E">
        <w:softHyphen/>
        <w:t>-2 of the ACL, and the rights or remedies available under Part 5-4 of the ACL; and</w:t>
      </w:r>
    </w:p>
    <w:p w14:paraId="11B60D80" w14:textId="2C737607" w:rsidR="0053094E" w:rsidRDefault="007C3488" w:rsidP="007C3488">
      <w:pPr>
        <w:pStyle w:val="ListNo1alt"/>
        <w:numPr>
          <w:ilvl w:val="0"/>
          <w:numId w:val="0"/>
        </w:numPr>
        <w:tabs>
          <w:tab w:val="left" w:pos="720"/>
        </w:tabs>
        <w:ind w:left="720" w:hanging="720"/>
      </w:pPr>
      <w:r>
        <w:lastRenderedPageBreak/>
        <w:t>(b)</w:t>
      </w:r>
      <w:r>
        <w:tab/>
      </w:r>
      <w:r w:rsidR="0036310F">
        <w:t>f</w:t>
      </w:r>
      <w:r w:rsidR="00C47C88">
        <w:t xml:space="preserve">alse representations concerning whether Mazda had reasonable grounds for forming the opinion that the </w:t>
      </w:r>
      <w:r w:rsidR="001C76F5">
        <w:t xml:space="preserve">consumer was not entitled to a refund or replacement vehicle at no cost to them under the </w:t>
      </w:r>
      <w:r w:rsidR="00762D10">
        <w:t>consumer guarantee</w:t>
      </w:r>
      <w:r w:rsidR="00394695">
        <w:t xml:space="preserve"> provisions of the ACL when it had no reasonable grounds for forming such an opinion.</w:t>
      </w:r>
    </w:p>
    <w:p w14:paraId="6FF67A3B" w14:textId="1534FA4F" w:rsidR="00605241" w:rsidRDefault="007C3488" w:rsidP="007C3488">
      <w:pPr>
        <w:pStyle w:val="ParaNumbering"/>
        <w:numPr>
          <w:ilvl w:val="0"/>
          <w:numId w:val="0"/>
        </w:numPr>
        <w:ind w:hanging="720"/>
      </w:pPr>
      <w:r>
        <w:rPr>
          <w:sz w:val="20"/>
        </w:rPr>
        <w:t>6</w:t>
      </w:r>
      <w:r>
        <w:rPr>
          <w:sz w:val="20"/>
        </w:rPr>
        <w:tab/>
      </w:r>
      <w:r w:rsidR="00605241">
        <w:t>In its written submissions in relation to penalty</w:t>
      </w:r>
      <w:r w:rsidR="00F7071E">
        <w:t xml:space="preserve"> and other relief,</w:t>
      </w:r>
      <w:r w:rsidR="00605241">
        <w:t xml:space="preserve"> the </w:t>
      </w:r>
      <w:r w:rsidR="00D73FB7">
        <w:t>ACCC</w:t>
      </w:r>
      <w:r w:rsidR="00605241">
        <w:t xml:space="preserve"> included a short description of the false representations found with respect to each of the consumers</w:t>
      </w:r>
      <w:r w:rsidR="005F1CB1">
        <w:t>;</w:t>
      </w:r>
      <w:r w:rsidR="00605241">
        <w:t xml:space="preserve"> instances where Mazda failed to comply with its own internal processes</w:t>
      </w:r>
      <w:r w:rsidR="005F1CB1">
        <w:t>;</w:t>
      </w:r>
      <w:r w:rsidR="00605241">
        <w:t xml:space="preserve"> and relevant findings of fact.  Although these reasons should be read with, and assume an understanding of, </w:t>
      </w:r>
      <w:r w:rsidR="003F623C">
        <w:t>the Liability</w:t>
      </w:r>
      <w:r w:rsidR="00605241">
        <w:t xml:space="preserve"> </w:t>
      </w:r>
      <w:r w:rsidR="00B969DE">
        <w:t>Judgment</w:t>
      </w:r>
      <w:r w:rsidR="00605241">
        <w:t xml:space="preserve">, the summary that is set out below, which </w:t>
      </w:r>
      <w:r w:rsidR="00582B8B">
        <w:t>I have adopted</w:t>
      </w:r>
      <w:r w:rsidR="00605241">
        <w:t xml:space="preserve"> largely from the ACCC’s submissions, </w:t>
      </w:r>
      <w:r w:rsidR="005F1CB1">
        <w:t>is</w:t>
      </w:r>
      <w:r w:rsidR="00605241">
        <w:t xml:space="preserve"> sufficient </w:t>
      </w:r>
      <w:r w:rsidR="00B95564">
        <w:t xml:space="preserve">for </w:t>
      </w:r>
      <w:r w:rsidR="00605241">
        <w:t xml:space="preserve">present purposes. </w:t>
      </w:r>
    </w:p>
    <w:p w14:paraId="0FE2D0FB" w14:textId="30FC8DDE" w:rsidR="00A60799" w:rsidRDefault="009C70CB" w:rsidP="00AA13E5">
      <w:pPr>
        <w:pStyle w:val="Heading2"/>
      </w:pPr>
      <w:r>
        <w:t>Consumer RC</w:t>
      </w:r>
    </w:p>
    <w:p w14:paraId="2DB5F4E4" w14:textId="6ED670D8" w:rsidR="001D6998" w:rsidRDefault="007C3488" w:rsidP="007C3488">
      <w:pPr>
        <w:pStyle w:val="ParaNumbering"/>
        <w:numPr>
          <w:ilvl w:val="0"/>
          <w:numId w:val="0"/>
        </w:numPr>
        <w:ind w:hanging="720"/>
      </w:pPr>
      <w:bookmarkStart w:id="33" w:name="_Ref158017299"/>
      <w:r>
        <w:rPr>
          <w:sz w:val="20"/>
        </w:rPr>
        <w:t>7</w:t>
      </w:r>
      <w:r>
        <w:rPr>
          <w:sz w:val="20"/>
        </w:rPr>
        <w:tab/>
      </w:r>
      <w:r w:rsidR="001D6998">
        <w:t>In November 2014, RC purchased a Mazda 2 Neo 5 door hatch for $18,990 from Eagers in Queensland, relying on the car to earn</w:t>
      </w:r>
      <w:r w:rsidR="001D6998">
        <w:rPr>
          <w:spacing w:val="-2"/>
        </w:rPr>
        <w:t xml:space="preserve"> </w:t>
      </w:r>
      <w:r w:rsidR="001D6998">
        <w:t>an income.</w:t>
      </w:r>
      <w:r w:rsidR="001D6998">
        <w:rPr>
          <w:spacing w:val="40"/>
        </w:rPr>
        <w:t xml:space="preserve"> </w:t>
      </w:r>
      <w:r w:rsidR="0043030D">
        <w:rPr>
          <w:spacing w:val="40"/>
        </w:rPr>
        <w:t xml:space="preserve"> </w:t>
      </w:r>
      <w:r w:rsidR="001D6998">
        <w:t>In the next three years, RC had ongoing, unresolved issues with the car.</w:t>
      </w:r>
      <w:r w:rsidR="001D6998">
        <w:rPr>
          <w:spacing w:val="40"/>
        </w:rPr>
        <w:t xml:space="preserve"> </w:t>
      </w:r>
      <w:r w:rsidR="00650CA5">
        <w:rPr>
          <w:spacing w:val="40"/>
        </w:rPr>
        <w:t xml:space="preserve"> </w:t>
      </w:r>
      <w:r w:rsidR="001D6998">
        <w:t xml:space="preserve">The problems escalated in 2017. </w:t>
      </w:r>
      <w:r w:rsidR="00650CA5">
        <w:t xml:space="preserve"> </w:t>
      </w:r>
      <w:r w:rsidR="006D5CB0">
        <w:t>In June 2017, t</w:t>
      </w:r>
      <w:r w:rsidR="001D6998">
        <w:t xml:space="preserve">he car went into limp mode and the engine light came on. </w:t>
      </w:r>
      <w:r w:rsidR="0092694F">
        <w:t xml:space="preserve"> In September 2017, t</w:t>
      </w:r>
      <w:r w:rsidR="001D6998">
        <w:t>he car lost power when</w:t>
      </w:r>
      <w:r w:rsidR="001D6998">
        <w:rPr>
          <w:spacing w:val="-2"/>
        </w:rPr>
        <w:t xml:space="preserve"> </w:t>
      </w:r>
      <w:r w:rsidR="001D6998">
        <w:t>RC</w:t>
      </w:r>
      <w:r w:rsidR="001D6998">
        <w:rPr>
          <w:spacing w:val="-2"/>
        </w:rPr>
        <w:t xml:space="preserve"> </w:t>
      </w:r>
      <w:r w:rsidR="001D6998">
        <w:t>was</w:t>
      </w:r>
      <w:r w:rsidR="001D6998">
        <w:rPr>
          <w:spacing w:val="-1"/>
        </w:rPr>
        <w:t xml:space="preserve"> </w:t>
      </w:r>
      <w:r w:rsidR="001D6998">
        <w:t>driving</w:t>
      </w:r>
      <w:r w:rsidR="001D6998">
        <w:rPr>
          <w:spacing w:val="-2"/>
        </w:rPr>
        <w:t xml:space="preserve"> </w:t>
      </w:r>
      <w:r w:rsidR="001D6998">
        <w:t>at 100</w:t>
      </w:r>
      <w:r w:rsidR="001D6998">
        <w:rPr>
          <w:spacing w:val="-2"/>
        </w:rPr>
        <w:t xml:space="preserve"> </w:t>
      </w:r>
      <w:r w:rsidR="001D6998">
        <w:t>km/hour on</w:t>
      </w:r>
      <w:r w:rsidR="001D6998">
        <w:rPr>
          <w:spacing w:val="-4"/>
        </w:rPr>
        <w:t xml:space="preserve"> </w:t>
      </w:r>
      <w:r w:rsidR="001D6998">
        <w:t>the</w:t>
      </w:r>
      <w:r w:rsidR="001D6998">
        <w:rPr>
          <w:spacing w:val="-2"/>
        </w:rPr>
        <w:t xml:space="preserve"> </w:t>
      </w:r>
      <w:r w:rsidR="001D6998">
        <w:t>Centenary</w:t>
      </w:r>
      <w:r w:rsidR="001D6998">
        <w:rPr>
          <w:spacing w:val="-1"/>
        </w:rPr>
        <w:t xml:space="preserve"> </w:t>
      </w:r>
      <w:r w:rsidR="001D6998">
        <w:t>Highway</w:t>
      </w:r>
      <w:r w:rsidR="00650CA5">
        <w:t>,</w:t>
      </w:r>
      <w:r w:rsidR="001D6998">
        <w:rPr>
          <w:spacing w:val="-1"/>
        </w:rPr>
        <w:t xml:space="preserve"> </w:t>
      </w:r>
      <w:r w:rsidR="001D6998">
        <w:t>so</w:t>
      </w:r>
      <w:r w:rsidR="001D6998">
        <w:rPr>
          <w:spacing w:val="-4"/>
        </w:rPr>
        <w:t xml:space="preserve"> </w:t>
      </w:r>
      <w:r w:rsidR="001D6998">
        <w:t>she</w:t>
      </w:r>
      <w:r w:rsidR="001D6998">
        <w:rPr>
          <w:spacing w:val="-2"/>
        </w:rPr>
        <w:t xml:space="preserve"> </w:t>
      </w:r>
      <w:r w:rsidR="001D6998">
        <w:t>had</w:t>
      </w:r>
      <w:r w:rsidR="001D6998">
        <w:rPr>
          <w:spacing w:val="-2"/>
        </w:rPr>
        <w:t xml:space="preserve"> </w:t>
      </w:r>
      <w:r w:rsidR="001D6998">
        <w:t>to pull</w:t>
      </w:r>
      <w:r w:rsidR="001D6998">
        <w:rPr>
          <w:spacing w:val="-8"/>
        </w:rPr>
        <w:t xml:space="preserve"> </w:t>
      </w:r>
      <w:r w:rsidR="001D6998">
        <w:t>over</w:t>
      </w:r>
      <w:r w:rsidR="001D6998">
        <w:rPr>
          <w:spacing w:val="-6"/>
        </w:rPr>
        <w:t xml:space="preserve"> </w:t>
      </w:r>
      <w:r w:rsidR="001D6998">
        <w:t>in</w:t>
      </w:r>
      <w:r w:rsidR="001D6998">
        <w:rPr>
          <w:spacing w:val="-10"/>
        </w:rPr>
        <w:t xml:space="preserve"> </w:t>
      </w:r>
      <w:r w:rsidR="001D6998">
        <w:t>an</w:t>
      </w:r>
      <w:r w:rsidR="001D6998">
        <w:rPr>
          <w:spacing w:val="-7"/>
        </w:rPr>
        <w:t xml:space="preserve"> </w:t>
      </w:r>
      <w:r w:rsidR="001D6998">
        <w:t>emergency</w:t>
      </w:r>
      <w:r w:rsidR="001D6998">
        <w:rPr>
          <w:spacing w:val="-7"/>
        </w:rPr>
        <w:t xml:space="preserve"> </w:t>
      </w:r>
      <w:r w:rsidR="001D6998">
        <w:t>lane,</w:t>
      </w:r>
      <w:r w:rsidR="001D6998">
        <w:rPr>
          <w:spacing w:val="-6"/>
        </w:rPr>
        <w:t xml:space="preserve"> </w:t>
      </w:r>
      <w:r w:rsidR="001D6998">
        <w:t>after</w:t>
      </w:r>
      <w:r w:rsidR="001D6998">
        <w:rPr>
          <w:spacing w:val="-6"/>
        </w:rPr>
        <w:t xml:space="preserve"> </w:t>
      </w:r>
      <w:r w:rsidR="001D6998">
        <w:t>which</w:t>
      </w:r>
      <w:r w:rsidR="001D6998">
        <w:rPr>
          <w:spacing w:val="-10"/>
        </w:rPr>
        <w:t xml:space="preserve"> </w:t>
      </w:r>
      <w:r w:rsidR="001D6998">
        <w:t>she</w:t>
      </w:r>
      <w:r w:rsidR="001D6998">
        <w:rPr>
          <w:spacing w:val="-10"/>
        </w:rPr>
        <w:t xml:space="preserve"> </w:t>
      </w:r>
      <w:r w:rsidR="001D6998">
        <w:t>expressed</w:t>
      </w:r>
      <w:r w:rsidR="001D6998">
        <w:rPr>
          <w:spacing w:val="-7"/>
        </w:rPr>
        <w:t xml:space="preserve"> </w:t>
      </w:r>
      <w:r w:rsidR="001D6998">
        <w:t>fears</w:t>
      </w:r>
      <w:r w:rsidR="001D6998">
        <w:rPr>
          <w:spacing w:val="-9"/>
        </w:rPr>
        <w:t xml:space="preserve"> </w:t>
      </w:r>
      <w:r w:rsidR="001D6998">
        <w:t>for her</w:t>
      </w:r>
      <w:r w:rsidR="001D6998">
        <w:rPr>
          <w:spacing w:val="-8"/>
        </w:rPr>
        <w:t xml:space="preserve"> </w:t>
      </w:r>
      <w:r w:rsidR="001D6998">
        <w:t>safety.</w:t>
      </w:r>
      <w:r w:rsidR="0092694F">
        <w:t xml:space="preserve"> </w:t>
      </w:r>
      <w:r w:rsidR="001D6998">
        <w:rPr>
          <w:spacing w:val="-10"/>
        </w:rPr>
        <w:t xml:space="preserve"> </w:t>
      </w:r>
      <w:r w:rsidR="001D6998">
        <w:t>The</w:t>
      </w:r>
      <w:r w:rsidR="001D6998">
        <w:rPr>
          <w:spacing w:val="-9"/>
        </w:rPr>
        <w:t xml:space="preserve"> </w:t>
      </w:r>
      <w:r w:rsidR="001D6998">
        <w:t>car</w:t>
      </w:r>
      <w:r w:rsidR="001D6998">
        <w:rPr>
          <w:spacing w:val="-8"/>
        </w:rPr>
        <w:t xml:space="preserve"> </w:t>
      </w:r>
      <w:r w:rsidR="001D6998">
        <w:t>was</w:t>
      </w:r>
      <w:r w:rsidR="001D6998">
        <w:rPr>
          <w:spacing w:val="-11"/>
        </w:rPr>
        <w:t xml:space="preserve"> </w:t>
      </w:r>
      <w:r w:rsidR="001D6998">
        <w:t>towed</w:t>
      </w:r>
      <w:r w:rsidR="001D6998">
        <w:rPr>
          <w:spacing w:val="-9"/>
        </w:rPr>
        <w:t xml:space="preserve"> </w:t>
      </w:r>
      <w:r w:rsidR="001D6998">
        <w:t>to</w:t>
      </w:r>
      <w:r w:rsidR="001D6998">
        <w:rPr>
          <w:spacing w:val="-11"/>
        </w:rPr>
        <w:t xml:space="preserve"> </w:t>
      </w:r>
      <w:r w:rsidR="001D6998">
        <w:t>the</w:t>
      </w:r>
      <w:r w:rsidR="001D6998">
        <w:rPr>
          <w:spacing w:val="-11"/>
        </w:rPr>
        <w:t xml:space="preserve"> </w:t>
      </w:r>
      <w:r w:rsidR="001D6998">
        <w:t>dealer</w:t>
      </w:r>
      <w:r w:rsidR="001D6998">
        <w:rPr>
          <w:spacing w:val="-8"/>
        </w:rPr>
        <w:t xml:space="preserve"> </w:t>
      </w:r>
      <w:r w:rsidR="001D6998">
        <w:t>where</w:t>
      </w:r>
      <w:r w:rsidR="001D6998">
        <w:rPr>
          <w:spacing w:val="-11"/>
        </w:rPr>
        <w:t xml:space="preserve"> </w:t>
      </w:r>
      <w:r w:rsidR="001D6998">
        <w:t>it</w:t>
      </w:r>
      <w:r w:rsidR="001D6998">
        <w:rPr>
          <w:spacing w:val="-10"/>
        </w:rPr>
        <w:t xml:space="preserve"> </w:t>
      </w:r>
      <w:r w:rsidR="001D6998">
        <w:t>remained</w:t>
      </w:r>
      <w:r w:rsidR="001D6998">
        <w:rPr>
          <w:spacing w:val="-11"/>
        </w:rPr>
        <w:t xml:space="preserve"> </w:t>
      </w:r>
      <w:r w:rsidR="001D6998">
        <w:t>for</w:t>
      </w:r>
      <w:r w:rsidR="001D6998">
        <w:rPr>
          <w:spacing w:val="-10"/>
        </w:rPr>
        <w:t xml:space="preserve"> </w:t>
      </w:r>
      <w:r w:rsidR="001D6998">
        <w:t>more</w:t>
      </w:r>
      <w:r w:rsidR="001D6998">
        <w:rPr>
          <w:spacing w:val="-11"/>
        </w:rPr>
        <w:t xml:space="preserve"> </w:t>
      </w:r>
      <w:r w:rsidR="001D6998">
        <w:t>than</w:t>
      </w:r>
      <w:r w:rsidR="001D6998">
        <w:rPr>
          <w:spacing w:val="-9"/>
        </w:rPr>
        <w:t xml:space="preserve"> </w:t>
      </w:r>
      <w:r w:rsidR="00650CA5">
        <w:t>two</w:t>
      </w:r>
      <w:r w:rsidR="001D6998">
        <w:rPr>
          <w:spacing w:val="-11"/>
        </w:rPr>
        <w:t xml:space="preserve"> </w:t>
      </w:r>
      <w:r w:rsidR="001D6998">
        <w:t xml:space="preserve">months. </w:t>
      </w:r>
      <w:r w:rsidR="0092694F">
        <w:t xml:space="preserve"> </w:t>
      </w:r>
      <w:r w:rsidR="00580F7E">
        <w:t xml:space="preserve">In January 2018, after </w:t>
      </w:r>
      <w:r w:rsidR="001D6998">
        <w:t>her car</w:t>
      </w:r>
      <w:r w:rsidR="001D6998">
        <w:rPr>
          <w:spacing w:val="-3"/>
        </w:rPr>
        <w:t xml:space="preserve"> </w:t>
      </w:r>
      <w:r w:rsidR="001D6998">
        <w:t>lost</w:t>
      </w:r>
      <w:r w:rsidR="001D6998">
        <w:rPr>
          <w:spacing w:val="-2"/>
        </w:rPr>
        <w:t xml:space="preserve"> </w:t>
      </w:r>
      <w:r w:rsidR="001D6998">
        <w:t>power</w:t>
      </w:r>
      <w:r w:rsidR="001D6998">
        <w:rPr>
          <w:spacing w:val="-3"/>
        </w:rPr>
        <w:t xml:space="preserve"> </w:t>
      </w:r>
      <w:r w:rsidR="001D6998">
        <w:t>again</w:t>
      </w:r>
      <w:r w:rsidR="001D6998">
        <w:rPr>
          <w:spacing w:val="-2"/>
        </w:rPr>
        <w:t xml:space="preserve"> </w:t>
      </w:r>
      <w:r w:rsidR="001D6998">
        <w:t>in</w:t>
      </w:r>
      <w:r w:rsidR="001D6998">
        <w:rPr>
          <w:spacing w:val="-2"/>
        </w:rPr>
        <w:t xml:space="preserve"> </w:t>
      </w:r>
      <w:r w:rsidR="001D6998">
        <w:t>a</w:t>
      </w:r>
      <w:r w:rsidR="001D6998">
        <w:rPr>
          <w:spacing w:val="-4"/>
        </w:rPr>
        <w:t xml:space="preserve"> </w:t>
      </w:r>
      <w:r w:rsidR="001D6998">
        <w:t>suburban</w:t>
      </w:r>
      <w:r w:rsidR="001D6998">
        <w:rPr>
          <w:spacing w:val="-4"/>
        </w:rPr>
        <w:t xml:space="preserve"> </w:t>
      </w:r>
      <w:r w:rsidR="001D6998">
        <w:t>street</w:t>
      </w:r>
      <w:r w:rsidR="00DF02B1">
        <w:t>,</w:t>
      </w:r>
      <w:r w:rsidR="001D6998">
        <w:rPr>
          <w:spacing w:val="-2"/>
        </w:rPr>
        <w:t xml:space="preserve"> </w:t>
      </w:r>
      <w:r w:rsidR="001D6998">
        <w:t>the</w:t>
      </w:r>
      <w:r w:rsidR="001D6998">
        <w:rPr>
          <w:spacing w:val="-4"/>
        </w:rPr>
        <w:t xml:space="preserve"> </w:t>
      </w:r>
      <w:r w:rsidR="001D6998">
        <w:t>dealer</w:t>
      </w:r>
      <w:r w:rsidR="001D6998">
        <w:rPr>
          <w:spacing w:val="-3"/>
        </w:rPr>
        <w:t xml:space="preserve"> </w:t>
      </w:r>
      <w:r w:rsidR="001D6998">
        <w:t>told</w:t>
      </w:r>
      <w:r w:rsidR="001D6998">
        <w:rPr>
          <w:spacing w:val="-2"/>
        </w:rPr>
        <w:t xml:space="preserve"> </w:t>
      </w:r>
      <w:r w:rsidR="001D6998">
        <w:t>RC that there had “</w:t>
      </w:r>
      <w:r w:rsidR="001D6998" w:rsidRPr="00FA1FF4">
        <w:t>likely been a major engine failure</w:t>
      </w:r>
      <w:r w:rsidR="001D6998">
        <w:t>” and the engine was replaced.</w:t>
      </w:r>
      <w:r w:rsidR="001D6998">
        <w:rPr>
          <w:spacing w:val="40"/>
        </w:rPr>
        <w:t xml:space="preserve"> </w:t>
      </w:r>
      <w:r w:rsidR="00271CD2">
        <w:rPr>
          <w:spacing w:val="40"/>
        </w:rPr>
        <w:t xml:space="preserve"> </w:t>
      </w:r>
      <w:r w:rsidR="001D6998">
        <w:t>RC</w:t>
      </w:r>
      <w:r w:rsidR="001D6998">
        <w:rPr>
          <w:spacing w:val="-12"/>
        </w:rPr>
        <w:t xml:space="preserve"> </w:t>
      </w:r>
      <w:r w:rsidR="001D6998">
        <w:t>rejected</w:t>
      </w:r>
      <w:r w:rsidR="001D6998">
        <w:rPr>
          <w:spacing w:val="-11"/>
        </w:rPr>
        <w:t xml:space="preserve"> </w:t>
      </w:r>
      <w:r w:rsidR="001D6998">
        <w:t>the</w:t>
      </w:r>
      <w:r w:rsidR="001D6998">
        <w:rPr>
          <w:spacing w:val="-11"/>
        </w:rPr>
        <w:t xml:space="preserve"> </w:t>
      </w:r>
      <w:r w:rsidR="001D6998">
        <w:t>vehicle</w:t>
      </w:r>
      <w:r w:rsidR="001D6998">
        <w:rPr>
          <w:spacing w:val="-9"/>
        </w:rPr>
        <w:t xml:space="preserve"> </w:t>
      </w:r>
      <w:r w:rsidR="001D6998">
        <w:t>on</w:t>
      </w:r>
      <w:r w:rsidR="001D6998">
        <w:rPr>
          <w:spacing w:val="-10"/>
        </w:rPr>
        <w:t xml:space="preserve"> </w:t>
      </w:r>
      <w:r w:rsidR="001D6998">
        <w:t>23</w:t>
      </w:r>
      <w:r w:rsidR="001D6998">
        <w:rPr>
          <w:spacing w:val="-11"/>
        </w:rPr>
        <w:t xml:space="preserve"> </w:t>
      </w:r>
      <w:r w:rsidR="001D6998">
        <w:t>January</w:t>
      </w:r>
      <w:r w:rsidR="001D6998">
        <w:rPr>
          <w:spacing w:val="-8"/>
        </w:rPr>
        <w:t xml:space="preserve"> </w:t>
      </w:r>
      <w:r w:rsidR="001D6998">
        <w:t>2018</w:t>
      </w:r>
      <w:r w:rsidR="001D6998">
        <w:rPr>
          <w:spacing w:val="-9"/>
        </w:rPr>
        <w:t xml:space="preserve"> </w:t>
      </w:r>
      <w:r w:rsidR="001D6998">
        <w:t>and</w:t>
      </w:r>
      <w:r w:rsidR="001D6998">
        <w:rPr>
          <w:spacing w:val="-11"/>
        </w:rPr>
        <w:t xml:space="preserve"> </w:t>
      </w:r>
      <w:r w:rsidR="001D6998">
        <w:t>again</w:t>
      </w:r>
      <w:r w:rsidR="001D6998">
        <w:rPr>
          <w:spacing w:val="-11"/>
        </w:rPr>
        <w:t xml:space="preserve"> </w:t>
      </w:r>
      <w:r w:rsidR="001D6998">
        <w:t>on</w:t>
      </w:r>
      <w:r w:rsidR="001D6998">
        <w:rPr>
          <w:spacing w:val="-10"/>
        </w:rPr>
        <w:t xml:space="preserve"> </w:t>
      </w:r>
      <w:r w:rsidR="001D6998">
        <w:t>24</w:t>
      </w:r>
      <w:r w:rsidR="001D6998">
        <w:rPr>
          <w:spacing w:val="-11"/>
        </w:rPr>
        <w:t xml:space="preserve"> </w:t>
      </w:r>
      <w:r w:rsidR="001D6998">
        <w:t>January 2018 and asked for a refund.</w:t>
      </w:r>
      <w:r w:rsidR="00F91D23">
        <w:rPr>
          <w:spacing w:val="40"/>
        </w:rPr>
        <w:t xml:space="preserve">  </w:t>
      </w:r>
      <w:r w:rsidR="00DF5CC7">
        <w:t>O</w:t>
      </w:r>
      <w:r w:rsidR="001D6998">
        <w:t>n 24 January 2018, Mazda denied RC’s request.</w:t>
      </w:r>
      <w:r w:rsidR="001D6998">
        <w:rPr>
          <w:spacing w:val="40"/>
        </w:rPr>
        <w:t xml:space="preserve"> </w:t>
      </w:r>
      <w:r w:rsidR="00271CD2">
        <w:rPr>
          <w:spacing w:val="40"/>
        </w:rPr>
        <w:t xml:space="preserve"> </w:t>
      </w:r>
      <w:r w:rsidR="001D6998">
        <w:t>She was offered a “partial refund” of $13,000</w:t>
      </w:r>
      <w:r w:rsidR="00DF5CC7">
        <w:t>,</w:t>
      </w:r>
      <w:r w:rsidR="001D6998">
        <w:t xml:space="preserve"> which she ultimately accepted.</w:t>
      </w:r>
      <w:r w:rsidR="001D6998">
        <w:rPr>
          <w:spacing w:val="40"/>
        </w:rPr>
        <w:t xml:space="preserve"> </w:t>
      </w:r>
      <w:r w:rsidR="00F91D23">
        <w:rPr>
          <w:spacing w:val="40"/>
        </w:rPr>
        <w:t xml:space="preserve"> </w:t>
      </w:r>
      <w:r w:rsidR="001D6998">
        <w:t>As a result, RC had to pay about $4,000 owing on her car loan and</w:t>
      </w:r>
      <w:r w:rsidR="001D6998">
        <w:rPr>
          <w:spacing w:val="-3"/>
        </w:rPr>
        <w:t xml:space="preserve"> </w:t>
      </w:r>
      <w:r w:rsidR="001D6998">
        <w:t>an</w:t>
      </w:r>
      <w:r w:rsidR="001D6998">
        <w:rPr>
          <w:spacing w:val="-3"/>
        </w:rPr>
        <w:t xml:space="preserve"> </w:t>
      </w:r>
      <w:r w:rsidR="001D6998">
        <w:t>additional</w:t>
      </w:r>
      <w:r w:rsidR="001D6998">
        <w:rPr>
          <w:spacing w:val="-4"/>
        </w:rPr>
        <w:t xml:space="preserve"> </w:t>
      </w:r>
      <w:r w:rsidR="001D6998">
        <w:t>“pay</w:t>
      </w:r>
      <w:r w:rsidR="001D6998">
        <w:rPr>
          <w:spacing w:val="-3"/>
        </w:rPr>
        <w:t xml:space="preserve"> </w:t>
      </w:r>
      <w:r w:rsidR="001D6998">
        <w:t>out”</w:t>
      </w:r>
      <w:r w:rsidR="001D6998">
        <w:rPr>
          <w:spacing w:val="-4"/>
        </w:rPr>
        <w:t xml:space="preserve"> </w:t>
      </w:r>
      <w:r w:rsidR="001D6998">
        <w:t>fee</w:t>
      </w:r>
      <w:r w:rsidR="001D6998">
        <w:rPr>
          <w:spacing w:val="-3"/>
        </w:rPr>
        <w:t xml:space="preserve"> </w:t>
      </w:r>
      <w:r w:rsidR="001D6998">
        <w:t>for</w:t>
      </w:r>
      <w:r w:rsidR="001D6998">
        <w:rPr>
          <w:spacing w:val="-2"/>
        </w:rPr>
        <w:t xml:space="preserve"> </w:t>
      </w:r>
      <w:r w:rsidR="001D6998">
        <w:t>early</w:t>
      </w:r>
      <w:r w:rsidR="001D6998">
        <w:rPr>
          <w:spacing w:val="-5"/>
        </w:rPr>
        <w:t xml:space="preserve"> </w:t>
      </w:r>
      <w:r w:rsidR="001D6998">
        <w:t>termination</w:t>
      </w:r>
      <w:r w:rsidR="001D6998">
        <w:rPr>
          <w:spacing w:val="-3"/>
        </w:rPr>
        <w:t xml:space="preserve"> </w:t>
      </w:r>
      <w:r w:rsidR="001D6998">
        <w:t>of</w:t>
      </w:r>
      <w:r w:rsidR="001D6998">
        <w:rPr>
          <w:spacing w:val="-2"/>
        </w:rPr>
        <w:t xml:space="preserve"> </w:t>
      </w:r>
      <w:r w:rsidR="001D6998">
        <w:t>the</w:t>
      </w:r>
      <w:r w:rsidR="001D6998">
        <w:rPr>
          <w:spacing w:val="-3"/>
        </w:rPr>
        <w:t xml:space="preserve"> </w:t>
      </w:r>
      <w:r w:rsidR="001D6998">
        <w:t>loan.</w:t>
      </w:r>
      <w:r w:rsidR="001D6998">
        <w:rPr>
          <w:spacing w:val="40"/>
        </w:rPr>
        <w:t xml:space="preserve"> </w:t>
      </w:r>
      <w:r w:rsidR="00271CD2">
        <w:rPr>
          <w:spacing w:val="40"/>
        </w:rPr>
        <w:t xml:space="preserve"> </w:t>
      </w:r>
      <w:r w:rsidR="001D6998">
        <w:t>RC</w:t>
      </w:r>
      <w:r w:rsidR="001D6998">
        <w:rPr>
          <w:spacing w:val="-4"/>
        </w:rPr>
        <w:t xml:space="preserve"> </w:t>
      </w:r>
      <w:r w:rsidR="001D6998">
        <w:t>then</w:t>
      </w:r>
      <w:r w:rsidR="001D6998">
        <w:rPr>
          <w:spacing w:val="-6"/>
        </w:rPr>
        <w:t xml:space="preserve"> </w:t>
      </w:r>
      <w:r w:rsidR="001D6998">
        <w:t>purchased</w:t>
      </w:r>
      <w:r w:rsidR="001D6998">
        <w:rPr>
          <w:spacing w:val="-3"/>
        </w:rPr>
        <w:t xml:space="preserve"> </w:t>
      </w:r>
      <w:r w:rsidR="001D6998">
        <w:t>a Holden for about $20,000, borrowing money from her partner for the deposit.</w:t>
      </w:r>
      <w:bookmarkEnd w:id="33"/>
    </w:p>
    <w:p w14:paraId="60A17F9A" w14:textId="1A634EE5" w:rsidR="0004075B" w:rsidRDefault="007C3488" w:rsidP="007C3488">
      <w:pPr>
        <w:pStyle w:val="ParaNumbering"/>
        <w:numPr>
          <w:ilvl w:val="0"/>
          <w:numId w:val="0"/>
        </w:numPr>
        <w:ind w:hanging="720"/>
      </w:pPr>
      <w:r>
        <w:rPr>
          <w:sz w:val="20"/>
        </w:rPr>
        <w:t>8</w:t>
      </w:r>
      <w:r>
        <w:rPr>
          <w:sz w:val="20"/>
        </w:rPr>
        <w:tab/>
      </w:r>
      <w:r w:rsidR="0004075B">
        <w:t>I</w:t>
      </w:r>
      <w:r w:rsidR="0004075B">
        <w:rPr>
          <w:spacing w:val="-7"/>
        </w:rPr>
        <w:t xml:space="preserve"> </w:t>
      </w:r>
      <w:r w:rsidR="0004075B">
        <w:t>found</w:t>
      </w:r>
      <w:r w:rsidR="0004075B">
        <w:rPr>
          <w:spacing w:val="-10"/>
        </w:rPr>
        <w:t xml:space="preserve"> </w:t>
      </w:r>
      <w:r w:rsidR="0004075B">
        <w:t>that</w:t>
      </w:r>
      <w:r w:rsidR="0004075B">
        <w:rPr>
          <w:spacing w:val="-8"/>
        </w:rPr>
        <w:t xml:space="preserve"> </w:t>
      </w:r>
      <w:r w:rsidR="0004075B">
        <w:t>Mazda</w:t>
      </w:r>
      <w:r w:rsidR="0004075B">
        <w:rPr>
          <w:spacing w:val="-10"/>
        </w:rPr>
        <w:t xml:space="preserve"> </w:t>
      </w:r>
      <w:r w:rsidR="0004075B">
        <w:t>made</w:t>
      </w:r>
      <w:r w:rsidR="0004075B">
        <w:rPr>
          <w:spacing w:val="-7"/>
        </w:rPr>
        <w:t xml:space="preserve"> </w:t>
      </w:r>
      <w:r w:rsidR="0004075B">
        <w:t>12</w:t>
      </w:r>
      <w:r w:rsidR="0004075B">
        <w:rPr>
          <w:spacing w:val="-10"/>
        </w:rPr>
        <w:t xml:space="preserve"> </w:t>
      </w:r>
      <w:r w:rsidR="0004075B">
        <w:t>false</w:t>
      </w:r>
      <w:r w:rsidR="0004075B">
        <w:rPr>
          <w:spacing w:val="-7"/>
        </w:rPr>
        <w:t xml:space="preserve"> </w:t>
      </w:r>
      <w:r w:rsidR="0004075B">
        <w:t>representations</w:t>
      </w:r>
      <w:r w:rsidR="0004075B">
        <w:rPr>
          <w:spacing w:val="-7"/>
        </w:rPr>
        <w:t xml:space="preserve"> </w:t>
      </w:r>
      <w:r w:rsidR="0004075B">
        <w:t>to</w:t>
      </w:r>
      <w:r w:rsidR="0004075B">
        <w:rPr>
          <w:spacing w:val="-10"/>
        </w:rPr>
        <w:t xml:space="preserve"> </w:t>
      </w:r>
      <w:r w:rsidR="0004075B">
        <w:t xml:space="preserve">RC. </w:t>
      </w:r>
      <w:r w:rsidR="00271CD2">
        <w:t xml:space="preserve"> </w:t>
      </w:r>
      <w:r w:rsidR="0004075B">
        <w:t>She had at least 13 conversations with Mazda representatives from 13 June 2017 to 16</w:t>
      </w:r>
      <w:r w:rsidR="0004075B">
        <w:rPr>
          <w:spacing w:val="-2"/>
        </w:rPr>
        <w:t xml:space="preserve"> </w:t>
      </w:r>
      <w:r w:rsidR="0004075B">
        <w:t>March 2018, some very lengthy.</w:t>
      </w:r>
      <w:r w:rsidR="0004075B">
        <w:rPr>
          <w:spacing w:val="40"/>
        </w:rPr>
        <w:t xml:space="preserve">  </w:t>
      </w:r>
      <w:r w:rsidR="00AE1F1E">
        <w:rPr>
          <w:spacing w:val="40"/>
        </w:rPr>
        <w:t xml:space="preserve">I held </w:t>
      </w:r>
      <w:r w:rsidR="00DF5CC7">
        <w:rPr>
          <w:spacing w:val="40"/>
        </w:rPr>
        <w:t xml:space="preserve">in summary </w:t>
      </w:r>
      <w:r w:rsidR="00AE1F1E">
        <w:rPr>
          <w:spacing w:val="40"/>
        </w:rPr>
        <w:t xml:space="preserve">that </w:t>
      </w:r>
      <w:r w:rsidR="00AE1F1E">
        <w:t>f</w:t>
      </w:r>
      <w:r w:rsidR="0004075B">
        <w:t>ive conversations and two Mazda letters involve</w:t>
      </w:r>
      <w:r w:rsidR="00AE1F1E">
        <w:t>d</w:t>
      </w:r>
      <w:r w:rsidR="0004075B">
        <w:t xml:space="preserve"> contraventions.</w:t>
      </w:r>
      <w:r w:rsidR="0004075B">
        <w:rPr>
          <w:spacing w:val="40"/>
        </w:rPr>
        <w:t xml:space="preserve"> </w:t>
      </w:r>
      <w:r w:rsidR="00AC5415">
        <w:rPr>
          <w:spacing w:val="40"/>
        </w:rPr>
        <w:t xml:space="preserve"> </w:t>
      </w:r>
      <w:r w:rsidR="0004075B">
        <w:t>Further, on 5 February 2018, a Mazda representative told</w:t>
      </w:r>
      <w:r w:rsidR="0004075B">
        <w:rPr>
          <w:spacing w:val="-16"/>
        </w:rPr>
        <w:t xml:space="preserve"> </w:t>
      </w:r>
      <w:r w:rsidR="0004075B">
        <w:t>RC</w:t>
      </w:r>
      <w:r w:rsidR="0004075B">
        <w:rPr>
          <w:spacing w:val="-15"/>
        </w:rPr>
        <w:t xml:space="preserve"> </w:t>
      </w:r>
      <w:r w:rsidR="0004075B">
        <w:t>that</w:t>
      </w:r>
      <w:r w:rsidR="0004075B">
        <w:rPr>
          <w:spacing w:val="-15"/>
        </w:rPr>
        <w:t xml:space="preserve"> </w:t>
      </w:r>
      <w:r w:rsidR="0004075B">
        <w:t>her</w:t>
      </w:r>
      <w:r w:rsidR="0004075B">
        <w:rPr>
          <w:spacing w:val="-16"/>
        </w:rPr>
        <w:t xml:space="preserve"> </w:t>
      </w:r>
      <w:r w:rsidR="0004075B">
        <w:t>request</w:t>
      </w:r>
      <w:r w:rsidR="0004075B">
        <w:rPr>
          <w:spacing w:val="-15"/>
        </w:rPr>
        <w:t xml:space="preserve"> </w:t>
      </w:r>
      <w:r w:rsidR="0004075B">
        <w:t>for</w:t>
      </w:r>
      <w:r w:rsidR="0004075B">
        <w:rPr>
          <w:spacing w:val="-15"/>
        </w:rPr>
        <w:t xml:space="preserve"> </w:t>
      </w:r>
      <w:r w:rsidR="0004075B">
        <w:t>a</w:t>
      </w:r>
      <w:r w:rsidR="0004075B">
        <w:rPr>
          <w:spacing w:val="-15"/>
        </w:rPr>
        <w:t xml:space="preserve"> </w:t>
      </w:r>
      <w:r w:rsidR="0004075B">
        <w:t>refund</w:t>
      </w:r>
      <w:r w:rsidR="0004075B">
        <w:rPr>
          <w:spacing w:val="-16"/>
        </w:rPr>
        <w:t xml:space="preserve"> </w:t>
      </w:r>
      <w:r w:rsidR="0004075B">
        <w:t>was</w:t>
      </w:r>
      <w:r w:rsidR="0004075B">
        <w:rPr>
          <w:spacing w:val="-15"/>
        </w:rPr>
        <w:t xml:space="preserve"> </w:t>
      </w:r>
      <w:r w:rsidR="0004075B">
        <w:t>“under</w:t>
      </w:r>
      <w:r w:rsidR="0004075B">
        <w:rPr>
          <w:spacing w:val="-15"/>
        </w:rPr>
        <w:t xml:space="preserve"> </w:t>
      </w:r>
      <w:r w:rsidR="0004075B">
        <w:t>review</w:t>
      </w:r>
      <w:r w:rsidR="0004075B">
        <w:rPr>
          <w:spacing w:val="-16"/>
        </w:rPr>
        <w:t xml:space="preserve"> </w:t>
      </w:r>
      <w:r w:rsidR="0004075B">
        <w:t>with</w:t>
      </w:r>
      <w:r w:rsidR="0004075B">
        <w:rPr>
          <w:spacing w:val="-15"/>
        </w:rPr>
        <w:t xml:space="preserve"> </w:t>
      </w:r>
      <w:r w:rsidR="0004075B">
        <w:t>management”</w:t>
      </w:r>
      <w:r w:rsidR="00DF5CC7">
        <w:t>.  N</w:t>
      </w:r>
      <w:r w:rsidR="00AC03AE">
        <w:t xml:space="preserve">o evidence was adduced that this was, in fact, the case. </w:t>
      </w:r>
    </w:p>
    <w:p w14:paraId="397E0C50" w14:textId="733D86A5" w:rsidR="00897178" w:rsidRDefault="007C3488" w:rsidP="007C3488">
      <w:pPr>
        <w:pStyle w:val="ParaNumbering"/>
        <w:numPr>
          <w:ilvl w:val="0"/>
          <w:numId w:val="0"/>
        </w:numPr>
        <w:ind w:hanging="720"/>
      </w:pPr>
      <w:r>
        <w:rPr>
          <w:sz w:val="20"/>
        </w:rPr>
        <w:t>9</w:t>
      </w:r>
      <w:r>
        <w:rPr>
          <w:sz w:val="20"/>
        </w:rPr>
        <w:tab/>
      </w:r>
      <w:r w:rsidR="00897178">
        <w:t xml:space="preserve">With respect to Consumer RC I </w:t>
      </w:r>
      <w:r w:rsidR="00867C71">
        <w:t>also found that:</w:t>
      </w:r>
    </w:p>
    <w:p w14:paraId="7FC2D013" w14:textId="19588045" w:rsidR="00867C71" w:rsidRDefault="007C3488" w:rsidP="007C3488">
      <w:pPr>
        <w:pStyle w:val="ListNo1alt"/>
        <w:numPr>
          <w:ilvl w:val="0"/>
          <w:numId w:val="0"/>
        </w:numPr>
        <w:tabs>
          <w:tab w:val="left" w:pos="720"/>
        </w:tabs>
        <w:ind w:left="720" w:hanging="720"/>
      </w:pPr>
      <w:r>
        <w:lastRenderedPageBreak/>
        <w:t>(a)</w:t>
      </w:r>
      <w:r>
        <w:tab/>
      </w:r>
      <w:r w:rsidR="00F96F85">
        <w:t xml:space="preserve">her rejection of the </w:t>
      </w:r>
      <w:r w:rsidR="00E2443C">
        <w:t>vehicle was unequivocal</w:t>
      </w:r>
      <w:r w:rsidR="008150B0">
        <w:t xml:space="preserve"> (</w:t>
      </w:r>
      <w:r w:rsidR="00DE1734">
        <w:t xml:space="preserve">Liability Judgment </w:t>
      </w:r>
      <w:r w:rsidR="00E2443C">
        <w:t>[268]</w:t>
      </w:r>
      <w:proofErr w:type="gramStart"/>
      <w:r w:rsidR="008150B0">
        <w:t>)</w:t>
      </w:r>
      <w:r w:rsidR="00401CD7">
        <w:t>;</w:t>
      </w:r>
      <w:proofErr w:type="gramEnd"/>
    </w:p>
    <w:p w14:paraId="157B90E2" w14:textId="7B0C1397" w:rsidR="00E2443C" w:rsidRDefault="007C3488" w:rsidP="007C3488">
      <w:pPr>
        <w:pStyle w:val="ListNo1alt"/>
        <w:numPr>
          <w:ilvl w:val="0"/>
          <w:numId w:val="0"/>
        </w:numPr>
        <w:tabs>
          <w:tab w:val="left" w:pos="720"/>
        </w:tabs>
        <w:ind w:left="720" w:hanging="720"/>
      </w:pPr>
      <w:r>
        <w:t>(b)</w:t>
      </w:r>
      <w:r>
        <w:tab/>
      </w:r>
      <w:r w:rsidR="00DD6B25">
        <w:t xml:space="preserve">Mazda did not give any proper or genuine consideration </w:t>
      </w:r>
      <w:r w:rsidR="009A3206">
        <w:t>to whether RC was entitled to a refund or replacement</w:t>
      </w:r>
      <w:r w:rsidR="008150B0">
        <w:t xml:space="preserve"> (</w:t>
      </w:r>
      <w:r w:rsidR="00DE1734">
        <w:t xml:space="preserve">Liability Judgment </w:t>
      </w:r>
      <w:r w:rsidR="00366FFD">
        <w:t>[271]</w:t>
      </w:r>
      <w:proofErr w:type="gramStart"/>
      <w:r w:rsidR="008150B0">
        <w:t>)</w:t>
      </w:r>
      <w:r w:rsidR="00401CD7">
        <w:t>;</w:t>
      </w:r>
      <w:proofErr w:type="gramEnd"/>
    </w:p>
    <w:p w14:paraId="6D5A5802" w14:textId="6B1AB7DA" w:rsidR="00366FFD" w:rsidRDefault="007C3488" w:rsidP="007C3488">
      <w:pPr>
        <w:pStyle w:val="ListNo1alt"/>
        <w:numPr>
          <w:ilvl w:val="0"/>
          <w:numId w:val="0"/>
        </w:numPr>
        <w:tabs>
          <w:tab w:val="left" w:pos="720"/>
        </w:tabs>
        <w:ind w:left="720" w:hanging="720"/>
      </w:pPr>
      <w:r>
        <w:t>(c)</w:t>
      </w:r>
      <w:r>
        <w:tab/>
      </w:r>
      <w:r w:rsidR="00366FFD">
        <w:t xml:space="preserve">Mazda </w:t>
      </w:r>
      <w:r w:rsidR="008F1786">
        <w:t>sought to dissuade RC from continuing with her requests, and sought to negotiate a commercial outcome with her</w:t>
      </w:r>
      <w:r w:rsidR="004F506E">
        <w:t>,</w:t>
      </w:r>
      <w:r w:rsidR="00401CD7">
        <w:t xml:space="preserve"> instead of considering her requests under the ACL</w:t>
      </w:r>
      <w:r w:rsidR="008150B0">
        <w:t xml:space="preserve"> (</w:t>
      </w:r>
      <w:r w:rsidR="00DE1734">
        <w:t xml:space="preserve">Liability Judgment </w:t>
      </w:r>
      <w:r w:rsidR="00401CD7">
        <w:t>[273]</w:t>
      </w:r>
      <w:proofErr w:type="gramStart"/>
      <w:r w:rsidR="008150B0">
        <w:t>)</w:t>
      </w:r>
      <w:r w:rsidR="00401CD7">
        <w:t>;</w:t>
      </w:r>
      <w:proofErr w:type="gramEnd"/>
    </w:p>
    <w:p w14:paraId="110243EF" w14:textId="022F4946" w:rsidR="00401CD7" w:rsidRDefault="007C3488" w:rsidP="007C3488">
      <w:pPr>
        <w:pStyle w:val="ListNo1alt"/>
        <w:numPr>
          <w:ilvl w:val="0"/>
          <w:numId w:val="0"/>
        </w:numPr>
        <w:tabs>
          <w:tab w:val="left" w:pos="720"/>
        </w:tabs>
        <w:ind w:left="720" w:hanging="720"/>
      </w:pPr>
      <w:r>
        <w:t>(d)</w:t>
      </w:r>
      <w:r>
        <w:tab/>
      </w:r>
      <w:r w:rsidR="00BA37B0">
        <w:t>Mazda was clearly wrong to tell RC that the age and mileage of her vehicle could be taken into account when providing a remedy under the ACL</w:t>
      </w:r>
      <w:r w:rsidR="008150B0">
        <w:t xml:space="preserve"> (</w:t>
      </w:r>
      <w:r w:rsidR="00042DD8">
        <w:t>Liability Judgment</w:t>
      </w:r>
      <w:r w:rsidR="002A190B">
        <w:t xml:space="preserve"> [273]</w:t>
      </w:r>
      <w:proofErr w:type="gramStart"/>
      <w:r w:rsidR="008150B0">
        <w:t>)</w:t>
      </w:r>
      <w:r w:rsidR="00BA37B0">
        <w:t>;</w:t>
      </w:r>
      <w:proofErr w:type="gramEnd"/>
    </w:p>
    <w:p w14:paraId="421BE548" w14:textId="6FC8B75C" w:rsidR="00BA37B0" w:rsidRDefault="007C3488" w:rsidP="007C3488">
      <w:pPr>
        <w:pStyle w:val="ListNo1alt"/>
        <w:numPr>
          <w:ilvl w:val="0"/>
          <w:numId w:val="0"/>
        </w:numPr>
        <w:tabs>
          <w:tab w:val="left" w:pos="720"/>
        </w:tabs>
        <w:ind w:left="720" w:hanging="720"/>
      </w:pPr>
      <w:r>
        <w:t>(e)</w:t>
      </w:r>
      <w:r>
        <w:tab/>
      </w:r>
      <w:r w:rsidR="002A190B">
        <w:t>RC was in a lesser bargaining position than Mazda</w:t>
      </w:r>
      <w:r w:rsidR="008150B0">
        <w:t xml:space="preserve"> (</w:t>
      </w:r>
      <w:r w:rsidR="00042DD8">
        <w:t>Liability Judgment</w:t>
      </w:r>
      <w:r w:rsidR="00A94B4B">
        <w:t xml:space="preserve"> [</w:t>
      </w:r>
      <w:r w:rsidR="0013009D">
        <w:t>274]</w:t>
      </w:r>
      <w:r w:rsidR="008150B0">
        <w:t>)</w:t>
      </w:r>
      <w:r w:rsidR="00042DD8">
        <w:t>; and</w:t>
      </w:r>
    </w:p>
    <w:p w14:paraId="4C6BF22A" w14:textId="67D19EDF" w:rsidR="002A190B" w:rsidRDefault="007C3488" w:rsidP="007C3488">
      <w:pPr>
        <w:pStyle w:val="ListNo1alt"/>
        <w:numPr>
          <w:ilvl w:val="0"/>
          <w:numId w:val="0"/>
        </w:numPr>
        <w:tabs>
          <w:tab w:val="left" w:pos="720"/>
        </w:tabs>
        <w:ind w:left="720" w:hanging="720"/>
      </w:pPr>
      <w:r>
        <w:t>(f)</w:t>
      </w:r>
      <w:r>
        <w:tab/>
      </w:r>
      <w:r w:rsidR="00754A7D">
        <w:t xml:space="preserve">Mazda’s conduct with respect to </w:t>
      </w:r>
      <w:r w:rsidR="00A94B4B">
        <w:t>RC</w:t>
      </w:r>
      <w:r w:rsidR="00754A7D">
        <w:t xml:space="preserve"> could be characterised as </w:t>
      </w:r>
      <w:r w:rsidR="00A94B4B">
        <w:t>being “given the run around” and “appalling customer service”</w:t>
      </w:r>
      <w:r w:rsidR="00DA62ED">
        <w:t xml:space="preserve"> (</w:t>
      </w:r>
      <w:r w:rsidR="00B82085">
        <w:t xml:space="preserve">Liability Judgment </w:t>
      </w:r>
      <w:r w:rsidR="0013009D">
        <w:t>[</w:t>
      </w:r>
      <w:r w:rsidR="005E7D81">
        <w:t>279]</w:t>
      </w:r>
      <w:proofErr w:type="gramStart"/>
      <w:r w:rsidR="00DA62ED">
        <w:t>–</w:t>
      </w:r>
      <w:r w:rsidR="005E7D81">
        <w:t>[</w:t>
      </w:r>
      <w:proofErr w:type="gramEnd"/>
      <w:r w:rsidR="005E7D81">
        <w:t>282]</w:t>
      </w:r>
      <w:r w:rsidR="00DA62ED">
        <w:t>)</w:t>
      </w:r>
      <w:r w:rsidR="005E7D81">
        <w:t>.</w:t>
      </w:r>
    </w:p>
    <w:p w14:paraId="74C1E58A" w14:textId="2E114F83" w:rsidR="008F00BD" w:rsidRDefault="00B02AC3" w:rsidP="00AA13E5">
      <w:pPr>
        <w:pStyle w:val="Heading2"/>
      </w:pPr>
      <w:r>
        <w:t>C</w:t>
      </w:r>
      <w:r w:rsidR="00041312">
        <w:t>onsumers CT and MT</w:t>
      </w:r>
    </w:p>
    <w:p w14:paraId="2A193A86" w14:textId="03A83A4F" w:rsidR="00041312" w:rsidRDefault="007C3488" w:rsidP="007C3488">
      <w:pPr>
        <w:pStyle w:val="ParaNumbering"/>
        <w:numPr>
          <w:ilvl w:val="0"/>
          <w:numId w:val="0"/>
        </w:numPr>
        <w:ind w:hanging="720"/>
      </w:pPr>
      <w:r>
        <w:rPr>
          <w:sz w:val="20"/>
        </w:rPr>
        <w:t>10</w:t>
      </w:r>
      <w:r>
        <w:rPr>
          <w:sz w:val="20"/>
        </w:rPr>
        <w:tab/>
      </w:r>
      <w:r w:rsidR="008A6394">
        <w:t xml:space="preserve">In July 2016, </w:t>
      </w:r>
      <w:proofErr w:type="gramStart"/>
      <w:r w:rsidR="008A6394">
        <w:t>CT</w:t>
      </w:r>
      <w:proofErr w:type="gramEnd"/>
      <w:r w:rsidR="008A6394">
        <w:t xml:space="preserve"> and MT (a married couple) purchased a Mazda CX-5 Akera diesel for $52,160 </w:t>
      </w:r>
      <w:r w:rsidR="00BE6AA4">
        <w:t>from West End Mazda in N</w:t>
      </w:r>
      <w:r w:rsidR="001D71F9">
        <w:t>SW</w:t>
      </w:r>
      <w:r w:rsidR="00BE6AA4">
        <w:t xml:space="preserve">.  Five months </w:t>
      </w:r>
      <w:r w:rsidR="001209F3">
        <w:t>later</w:t>
      </w:r>
      <w:r w:rsidR="00BE6AA4">
        <w:t xml:space="preserve">, they began to have problems with the vehicle’s adaptive headlights. </w:t>
      </w:r>
      <w:r w:rsidR="00015DC8">
        <w:t xml:space="preserve"> </w:t>
      </w:r>
      <w:r w:rsidR="00BE6AA4">
        <w:t xml:space="preserve">Between November to </w:t>
      </w:r>
      <w:proofErr w:type="gramStart"/>
      <w:r w:rsidR="00BE6AA4">
        <w:t>December</w:t>
      </w:r>
      <w:r w:rsidR="00BE6AA4">
        <w:rPr>
          <w:spacing w:val="-10"/>
        </w:rPr>
        <w:t xml:space="preserve"> </w:t>
      </w:r>
      <w:r w:rsidR="00BE6AA4">
        <w:t>2016</w:t>
      </w:r>
      <w:proofErr w:type="gramEnd"/>
      <w:r w:rsidR="00BE6AA4">
        <w:rPr>
          <w:spacing w:val="-10"/>
        </w:rPr>
        <w:t xml:space="preserve"> </w:t>
      </w:r>
      <w:r w:rsidR="00BE6AA4">
        <w:t>they</w:t>
      </w:r>
      <w:r w:rsidR="00BE6AA4">
        <w:rPr>
          <w:spacing w:val="-11"/>
        </w:rPr>
        <w:t xml:space="preserve"> </w:t>
      </w:r>
      <w:r w:rsidR="00BE6AA4">
        <w:t>took</w:t>
      </w:r>
      <w:r w:rsidR="00BE6AA4">
        <w:rPr>
          <w:spacing w:val="-8"/>
        </w:rPr>
        <w:t xml:space="preserve"> </w:t>
      </w:r>
      <w:r w:rsidR="00BE6AA4">
        <w:t>the</w:t>
      </w:r>
      <w:r w:rsidR="00BE6AA4">
        <w:rPr>
          <w:spacing w:val="-10"/>
        </w:rPr>
        <w:t xml:space="preserve"> </w:t>
      </w:r>
      <w:r w:rsidR="00BE6AA4">
        <w:t>car</w:t>
      </w:r>
      <w:r w:rsidR="00BE6AA4">
        <w:rPr>
          <w:spacing w:val="-10"/>
        </w:rPr>
        <w:t xml:space="preserve"> </w:t>
      </w:r>
      <w:r w:rsidR="00BE6AA4">
        <w:t>to</w:t>
      </w:r>
      <w:r w:rsidR="00BE6AA4">
        <w:rPr>
          <w:spacing w:val="-10"/>
        </w:rPr>
        <w:t xml:space="preserve"> </w:t>
      </w:r>
      <w:r w:rsidR="00BE6AA4">
        <w:t>the</w:t>
      </w:r>
      <w:r w:rsidR="00BE6AA4">
        <w:rPr>
          <w:spacing w:val="-11"/>
        </w:rPr>
        <w:t xml:space="preserve"> </w:t>
      </w:r>
      <w:r w:rsidR="00BE6AA4">
        <w:t>dealer</w:t>
      </w:r>
      <w:r w:rsidR="00BE6AA4">
        <w:rPr>
          <w:spacing w:val="-10"/>
        </w:rPr>
        <w:t xml:space="preserve"> </w:t>
      </w:r>
      <w:r w:rsidR="00BE6AA4">
        <w:t>four</w:t>
      </w:r>
      <w:r w:rsidR="00BE6AA4">
        <w:rPr>
          <w:spacing w:val="-8"/>
        </w:rPr>
        <w:t xml:space="preserve"> </w:t>
      </w:r>
      <w:r w:rsidR="00BE6AA4">
        <w:t>times.</w:t>
      </w:r>
      <w:r w:rsidR="00BE6AA4">
        <w:rPr>
          <w:spacing w:val="-10"/>
        </w:rPr>
        <w:t xml:space="preserve"> </w:t>
      </w:r>
      <w:r w:rsidR="00015DC8">
        <w:rPr>
          <w:spacing w:val="-10"/>
        </w:rPr>
        <w:t xml:space="preserve"> </w:t>
      </w:r>
      <w:r w:rsidR="00BE6AA4">
        <w:t>Initial</w:t>
      </w:r>
      <w:r w:rsidR="00BE6AA4">
        <w:rPr>
          <w:spacing w:val="-9"/>
        </w:rPr>
        <w:t xml:space="preserve"> </w:t>
      </w:r>
      <w:r w:rsidR="00BE6AA4">
        <w:t>repair</w:t>
      </w:r>
      <w:r w:rsidR="00BE6AA4">
        <w:rPr>
          <w:spacing w:val="-8"/>
        </w:rPr>
        <w:t xml:space="preserve"> </w:t>
      </w:r>
      <w:r w:rsidR="00BE6AA4">
        <w:t>work</w:t>
      </w:r>
      <w:r w:rsidR="00BE6AA4">
        <w:rPr>
          <w:spacing w:val="-10"/>
        </w:rPr>
        <w:t xml:space="preserve"> </w:t>
      </w:r>
      <w:r w:rsidR="00BE6AA4">
        <w:t>took</w:t>
      </w:r>
      <w:r w:rsidR="00BE6AA4">
        <w:rPr>
          <w:spacing w:val="-11"/>
        </w:rPr>
        <w:t xml:space="preserve"> </w:t>
      </w:r>
      <w:r w:rsidR="00BE6AA4">
        <w:t>place in</w:t>
      </w:r>
      <w:r w:rsidR="00BE6AA4">
        <w:rPr>
          <w:spacing w:val="-2"/>
        </w:rPr>
        <w:t xml:space="preserve"> </w:t>
      </w:r>
      <w:r w:rsidR="00BE6AA4">
        <w:t>January</w:t>
      </w:r>
      <w:r w:rsidR="00BE6AA4">
        <w:rPr>
          <w:spacing w:val="-4"/>
        </w:rPr>
        <w:t xml:space="preserve"> </w:t>
      </w:r>
      <w:r w:rsidR="00BE6AA4">
        <w:t>2017.</w:t>
      </w:r>
      <w:r w:rsidR="00BE6AA4">
        <w:rPr>
          <w:spacing w:val="40"/>
        </w:rPr>
        <w:t xml:space="preserve"> </w:t>
      </w:r>
      <w:r w:rsidR="00015DC8">
        <w:rPr>
          <w:spacing w:val="40"/>
        </w:rPr>
        <w:t xml:space="preserve"> </w:t>
      </w:r>
      <w:r w:rsidR="00BE6AA4">
        <w:t>In</w:t>
      </w:r>
      <w:r w:rsidR="00BE6AA4">
        <w:rPr>
          <w:spacing w:val="-6"/>
        </w:rPr>
        <w:t xml:space="preserve"> </w:t>
      </w:r>
      <w:r w:rsidR="00BE6AA4">
        <w:t>mid-May</w:t>
      </w:r>
      <w:r w:rsidR="00BE6AA4">
        <w:rPr>
          <w:spacing w:val="-4"/>
        </w:rPr>
        <w:t xml:space="preserve"> </w:t>
      </w:r>
      <w:r w:rsidR="00BE6AA4">
        <w:t>2017,</w:t>
      </w:r>
      <w:r w:rsidR="00BE6AA4">
        <w:rPr>
          <w:spacing w:val="-3"/>
        </w:rPr>
        <w:t xml:space="preserve"> </w:t>
      </w:r>
      <w:r w:rsidR="00BE6AA4">
        <w:t>MT</w:t>
      </w:r>
      <w:r w:rsidR="00BE6AA4">
        <w:rPr>
          <w:spacing w:val="-4"/>
        </w:rPr>
        <w:t xml:space="preserve"> </w:t>
      </w:r>
      <w:r w:rsidR="00BE6AA4">
        <w:t>almost</w:t>
      </w:r>
      <w:r w:rsidR="00BE6AA4">
        <w:rPr>
          <w:spacing w:val="-2"/>
        </w:rPr>
        <w:t xml:space="preserve"> </w:t>
      </w:r>
      <w:r w:rsidR="00BE6AA4">
        <w:t>hit</w:t>
      </w:r>
      <w:r w:rsidR="00BE6AA4">
        <w:rPr>
          <w:spacing w:val="-2"/>
        </w:rPr>
        <w:t xml:space="preserve"> </w:t>
      </w:r>
      <w:r w:rsidR="00BE6AA4">
        <w:t>a</w:t>
      </w:r>
      <w:r w:rsidR="00BE6AA4">
        <w:rPr>
          <w:spacing w:val="-4"/>
        </w:rPr>
        <w:t xml:space="preserve"> </w:t>
      </w:r>
      <w:r w:rsidR="00BE6AA4">
        <w:t>suitcase</w:t>
      </w:r>
      <w:r w:rsidR="00BE6AA4">
        <w:rPr>
          <w:spacing w:val="-4"/>
        </w:rPr>
        <w:t xml:space="preserve"> </w:t>
      </w:r>
      <w:r w:rsidR="00BE6AA4">
        <w:t>on</w:t>
      </w:r>
      <w:r w:rsidR="00BE6AA4">
        <w:rPr>
          <w:spacing w:val="-4"/>
        </w:rPr>
        <w:t xml:space="preserve"> </w:t>
      </w:r>
      <w:r w:rsidR="00BE6AA4">
        <w:t>the</w:t>
      </w:r>
      <w:r w:rsidR="00BE6AA4">
        <w:rPr>
          <w:spacing w:val="-4"/>
        </w:rPr>
        <w:t xml:space="preserve"> </w:t>
      </w:r>
      <w:r w:rsidR="00BE6AA4">
        <w:t>highway</w:t>
      </w:r>
      <w:r w:rsidR="00BE6AA4">
        <w:rPr>
          <w:spacing w:val="-1"/>
        </w:rPr>
        <w:t xml:space="preserve"> </w:t>
      </w:r>
      <w:r w:rsidR="00BE6AA4">
        <w:t>because she</w:t>
      </w:r>
      <w:r w:rsidR="00BE6AA4">
        <w:rPr>
          <w:spacing w:val="-6"/>
        </w:rPr>
        <w:t xml:space="preserve"> </w:t>
      </w:r>
      <w:r w:rsidR="00BE6AA4">
        <w:t>could</w:t>
      </w:r>
      <w:r w:rsidR="00BE6AA4">
        <w:rPr>
          <w:spacing w:val="-6"/>
        </w:rPr>
        <w:t xml:space="preserve"> </w:t>
      </w:r>
      <w:r w:rsidR="00BE6AA4">
        <w:t>not</w:t>
      </w:r>
      <w:r w:rsidR="00BE6AA4">
        <w:rPr>
          <w:spacing w:val="-5"/>
        </w:rPr>
        <w:t xml:space="preserve"> </w:t>
      </w:r>
      <w:r w:rsidR="00BE6AA4">
        <w:t>see</w:t>
      </w:r>
      <w:r w:rsidR="00BE6AA4">
        <w:rPr>
          <w:spacing w:val="-9"/>
        </w:rPr>
        <w:t xml:space="preserve"> </w:t>
      </w:r>
      <w:r w:rsidR="00BE6AA4">
        <w:t>in</w:t>
      </w:r>
      <w:r w:rsidR="00BE6AA4">
        <w:rPr>
          <w:spacing w:val="-6"/>
        </w:rPr>
        <w:t xml:space="preserve"> </w:t>
      </w:r>
      <w:r w:rsidR="00BE6AA4">
        <w:t>front</w:t>
      </w:r>
      <w:r w:rsidR="00BE6AA4">
        <w:rPr>
          <w:spacing w:val="-7"/>
        </w:rPr>
        <w:t xml:space="preserve"> </w:t>
      </w:r>
      <w:r w:rsidR="00BE6AA4">
        <w:t>of</w:t>
      </w:r>
      <w:r w:rsidR="00BE6AA4">
        <w:rPr>
          <w:spacing w:val="-5"/>
        </w:rPr>
        <w:t xml:space="preserve"> </w:t>
      </w:r>
      <w:r w:rsidR="00BE6AA4">
        <w:t>the</w:t>
      </w:r>
      <w:r w:rsidR="00BE6AA4">
        <w:rPr>
          <w:spacing w:val="-9"/>
        </w:rPr>
        <w:t xml:space="preserve"> </w:t>
      </w:r>
      <w:r w:rsidR="00BE6AA4">
        <w:t>car</w:t>
      </w:r>
      <w:r w:rsidR="00BE6AA4">
        <w:rPr>
          <w:spacing w:val="-8"/>
        </w:rPr>
        <w:t xml:space="preserve"> </w:t>
      </w:r>
      <w:r w:rsidR="00BE6AA4">
        <w:t>at</w:t>
      </w:r>
      <w:r w:rsidR="00BE6AA4">
        <w:rPr>
          <w:spacing w:val="-5"/>
        </w:rPr>
        <w:t xml:space="preserve"> </w:t>
      </w:r>
      <w:r w:rsidR="00BE6AA4">
        <w:t>night,</w:t>
      </w:r>
      <w:r w:rsidR="00BE6AA4">
        <w:rPr>
          <w:spacing w:val="-5"/>
        </w:rPr>
        <w:t xml:space="preserve"> </w:t>
      </w:r>
      <w:r w:rsidR="00BE6AA4">
        <w:t>leading</w:t>
      </w:r>
      <w:r w:rsidR="00BE6AA4">
        <w:rPr>
          <w:spacing w:val="-6"/>
        </w:rPr>
        <w:t xml:space="preserve"> </w:t>
      </w:r>
      <w:r w:rsidR="00BE6AA4">
        <w:t>to</w:t>
      </w:r>
      <w:r w:rsidR="00BE6AA4">
        <w:rPr>
          <w:spacing w:val="-6"/>
        </w:rPr>
        <w:t xml:space="preserve"> </w:t>
      </w:r>
      <w:r w:rsidR="00BE6AA4">
        <w:t>further</w:t>
      </w:r>
      <w:r w:rsidR="00BE6AA4">
        <w:rPr>
          <w:spacing w:val="-8"/>
        </w:rPr>
        <w:t xml:space="preserve"> </w:t>
      </w:r>
      <w:r w:rsidR="00BE6AA4">
        <w:t>repair</w:t>
      </w:r>
      <w:r w:rsidR="00BE6AA4">
        <w:rPr>
          <w:spacing w:val="-5"/>
        </w:rPr>
        <w:t xml:space="preserve"> </w:t>
      </w:r>
      <w:r w:rsidR="00BE6AA4">
        <w:t>attempts.</w:t>
      </w:r>
      <w:r w:rsidR="00D65FB0">
        <w:t xml:space="preserve">  </w:t>
      </w:r>
      <w:r w:rsidR="004D7536">
        <w:t xml:space="preserve">On 30 May 2017, CT and MT took photos of the headlight beams </w:t>
      </w:r>
      <w:r w:rsidR="00D52D3D">
        <w:t>at night to show to the dealer’s service manager.  In early June 2017, a family holiday was cancelled because they could not drive the car at night.  They rejected the vehicle on 11 June 2017</w:t>
      </w:r>
      <w:r w:rsidR="001209F3">
        <w:t>,</w:t>
      </w:r>
      <w:r w:rsidR="00D52D3D">
        <w:t xml:space="preserve"> after CT concluded </w:t>
      </w:r>
      <w:r w:rsidR="008659E0">
        <w:t>(</w:t>
      </w:r>
      <w:r w:rsidR="00D52D3D">
        <w:t xml:space="preserve">from </w:t>
      </w:r>
      <w:r w:rsidR="008659E0">
        <w:t xml:space="preserve">publicly available material on </w:t>
      </w:r>
      <w:r w:rsidR="00D52D3D">
        <w:t>the ACCC website</w:t>
      </w:r>
      <w:r w:rsidR="008659E0">
        <w:t>)</w:t>
      </w:r>
      <w:r w:rsidR="00D52D3D">
        <w:t xml:space="preserve"> that the car’s problems were a “major failure”</w:t>
      </w:r>
      <w:r w:rsidR="008659E0">
        <w:t xml:space="preserve"> within the meaning of the ACL</w:t>
      </w:r>
      <w:r w:rsidR="00D52D3D">
        <w:t>.</w:t>
      </w:r>
      <w:r w:rsidR="005B3A36">
        <w:t xml:space="preserve">  They asked for a refund or replacement vehicle from Mazda without success </w:t>
      </w:r>
      <w:r w:rsidR="0070471A">
        <w:t>throughout June to August 2017.  On 28 August 2017, they rejected the car again.  Mazda offered CT and MT two free services and an extended warranty in September 2017.</w:t>
      </w:r>
      <w:r w:rsidR="00734D89">
        <w:t xml:space="preserve">  </w:t>
      </w:r>
      <w:r w:rsidR="008D67E7">
        <w:t>On 17 November 2017, CT and MT commenced proceedings in the NSW Civil and Administrative Tribunal</w:t>
      </w:r>
      <w:r w:rsidR="00074545">
        <w:t xml:space="preserve"> </w:t>
      </w:r>
      <w:r w:rsidR="00192AA1">
        <w:t>(</w:t>
      </w:r>
      <w:r w:rsidR="00192AA1" w:rsidRPr="00192AA1">
        <w:rPr>
          <w:b/>
          <w:bCs/>
        </w:rPr>
        <w:t>NCAT</w:t>
      </w:r>
      <w:r w:rsidR="00192AA1">
        <w:t xml:space="preserve">) </w:t>
      </w:r>
      <w:r w:rsidR="00074545" w:rsidRPr="00192AA1">
        <w:t>seeking</w:t>
      </w:r>
      <w:r w:rsidR="00074545">
        <w:t xml:space="preserve"> a full refund of the purchase price.  </w:t>
      </w:r>
      <w:r w:rsidR="00F41350">
        <w:t>In December 2017, Mazda offered CT and MT a new vehicle or refund</w:t>
      </w:r>
      <w:r w:rsidR="00922EF3">
        <w:t xml:space="preserve">.  CT and MT accepted Mazda’s offer of a replacement vehicle. </w:t>
      </w:r>
    </w:p>
    <w:p w14:paraId="28B94B84" w14:textId="07528440" w:rsidR="00192AA1" w:rsidRDefault="007C3488" w:rsidP="007C3488">
      <w:pPr>
        <w:pStyle w:val="ParaNumbering"/>
        <w:numPr>
          <w:ilvl w:val="0"/>
          <w:numId w:val="0"/>
        </w:numPr>
        <w:ind w:hanging="720"/>
      </w:pPr>
      <w:r>
        <w:rPr>
          <w:sz w:val="20"/>
        </w:rPr>
        <w:t>11</w:t>
      </w:r>
      <w:r>
        <w:rPr>
          <w:sz w:val="20"/>
        </w:rPr>
        <w:tab/>
      </w:r>
      <w:r w:rsidR="00192AA1">
        <w:t xml:space="preserve">I found that Mazda made 10 false representations to CT and MT.  They had at least 12 calls with Mazda personnel (one of which </w:t>
      </w:r>
      <w:r w:rsidR="005F09F8">
        <w:t>lasted</w:t>
      </w:r>
      <w:r w:rsidR="00192AA1">
        <w:t xml:space="preserve"> more than </w:t>
      </w:r>
      <w:r w:rsidR="00C3333E">
        <w:t>two</w:t>
      </w:r>
      <w:r w:rsidR="00192AA1">
        <w:t xml:space="preserve"> hours), lengthy email exchanges and had to institute proceedings in </w:t>
      </w:r>
      <w:r w:rsidR="00B51EB8">
        <w:t xml:space="preserve">the NCAT before getting redress.  I held that four of the calls with Mazda involved contraventions, as was a </w:t>
      </w:r>
      <w:r w:rsidR="000C400C">
        <w:t>letter from Mazda</w:t>
      </w:r>
      <w:r w:rsidR="00B51EB8">
        <w:t xml:space="preserve"> to CT and MT. </w:t>
      </w:r>
    </w:p>
    <w:p w14:paraId="64118A9A" w14:textId="1E60EC36" w:rsidR="005B2256" w:rsidRDefault="007C3488" w:rsidP="007C3488">
      <w:pPr>
        <w:pStyle w:val="ParaNumbering"/>
        <w:numPr>
          <w:ilvl w:val="0"/>
          <w:numId w:val="0"/>
        </w:numPr>
        <w:ind w:hanging="720"/>
      </w:pPr>
      <w:r>
        <w:rPr>
          <w:sz w:val="20"/>
        </w:rPr>
        <w:lastRenderedPageBreak/>
        <w:t>12</w:t>
      </w:r>
      <w:r>
        <w:rPr>
          <w:sz w:val="20"/>
        </w:rPr>
        <w:tab/>
      </w:r>
      <w:r w:rsidR="005B2256">
        <w:t>I also found that:</w:t>
      </w:r>
    </w:p>
    <w:p w14:paraId="6C8E9475" w14:textId="22908C3E" w:rsidR="005B2256" w:rsidRDefault="007C3488" w:rsidP="007C3488">
      <w:pPr>
        <w:pStyle w:val="ListNo1alt"/>
        <w:numPr>
          <w:ilvl w:val="0"/>
          <w:numId w:val="0"/>
        </w:numPr>
        <w:tabs>
          <w:tab w:val="left" w:pos="720"/>
        </w:tabs>
        <w:ind w:left="720" w:hanging="720"/>
      </w:pPr>
      <w:r>
        <w:t>(a)</w:t>
      </w:r>
      <w:r>
        <w:tab/>
      </w:r>
      <w:r w:rsidR="00D45DE6">
        <w:t>CT and MT were the victims of appalling customer service</w:t>
      </w:r>
      <w:r w:rsidR="00915703">
        <w:t xml:space="preserve"> (</w:t>
      </w:r>
      <w:r w:rsidR="00DB631C">
        <w:t>Liability Judgment</w:t>
      </w:r>
      <w:r w:rsidR="00D45DE6">
        <w:t xml:space="preserve"> </w:t>
      </w:r>
      <w:r w:rsidR="00674F65">
        <w:t>[400]</w:t>
      </w:r>
      <w:proofErr w:type="gramStart"/>
      <w:r w:rsidR="00915703">
        <w:t>)</w:t>
      </w:r>
      <w:r w:rsidR="00E00FCE">
        <w:t>;</w:t>
      </w:r>
      <w:proofErr w:type="gramEnd"/>
    </w:p>
    <w:p w14:paraId="7CE1A288" w14:textId="195D1237" w:rsidR="00E00FCE" w:rsidRDefault="007C3488" w:rsidP="007C3488">
      <w:pPr>
        <w:pStyle w:val="ListNo1alt"/>
        <w:numPr>
          <w:ilvl w:val="0"/>
          <w:numId w:val="0"/>
        </w:numPr>
        <w:tabs>
          <w:tab w:val="left" w:pos="720"/>
        </w:tabs>
        <w:ind w:left="720" w:hanging="720"/>
      </w:pPr>
      <w:r>
        <w:t>(b)</w:t>
      </w:r>
      <w:r>
        <w:tab/>
      </w:r>
      <w:r w:rsidR="00E00FCE">
        <w:t xml:space="preserve">Any reasonable consumer in their position would be justified in thinking they </w:t>
      </w:r>
      <w:r w:rsidR="00861361">
        <w:t>we</w:t>
      </w:r>
      <w:r w:rsidR="00E00FCE">
        <w:t>re being “given the run around”</w:t>
      </w:r>
      <w:r w:rsidR="00915703">
        <w:t xml:space="preserve"> (</w:t>
      </w:r>
      <w:r w:rsidR="00DB631C">
        <w:t>Liability Judgment</w:t>
      </w:r>
      <w:r w:rsidR="00E00FCE">
        <w:t xml:space="preserve"> [401]</w:t>
      </w:r>
      <w:proofErr w:type="gramStart"/>
      <w:r w:rsidR="00915703">
        <w:t>)</w:t>
      </w:r>
      <w:r w:rsidR="00E00FCE">
        <w:t>;</w:t>
      </w:r>
      <w:proofErr w:type="gramEnd"/>
    </w:p>
    <w:p w14:paraId="378757CD" w14:textId="397D5CC7" w:rsidR="00443865" w:rsidRDefault="007C3488" w:rsidP="007C3488">
      <w:pPr>
        <w:pStyle w:val="ListNo1alt"/>
        <w:numPr>
          <w:ilvl w:val="0"/>
          <w:numId w:val="0"/>
        </w:numPr>
        <w:tabs>
          <w:tab w:val="left" w:pos="720"/>
        </w:tabs>
        <w:ind w:left="720" w:hanging="720"/>
      </w:pPr>
      <w:r>
        <w:t>(c)</w:t>
      </w:r>
      <w:r>
        <w:tab/>
      </w:r>
      <w:r w:rsidR="00443865">
        <w:t>there was limited evidence of any internal consideration by Mazda of CT and MT’s unequivocal request for a refund or replacement</w:t>
      </w:r>
      <w:r w:rsidR="00915703">
        <w:t xml:space="preserve"> (</w:t>
      </w:r>
      <w:r w:rsidR="00B3766E">
        <w:t>Liability Judgment</w:t>
      </w:r>
      <w:r w:rsidR="00443865">
        <w:t xml:space="preserve"> [</w:t>
      </w:r>
      <w:r w:rsidR="009039BC">
        <w:t>354]</w:t>
      </w:r>
      <w:proofErr w:type="gramStart"/>
      <w:r w:rsidR="00915703">
        <w:t>)</w:t>
      </w:r>
      <w:r w:rsidR="009039BC">
        <w:t>;</w:t>
      </w:r>
      <w:proofErr w:type="gramEnd"/>
    </w:p>
    <w:p w14:paraId="721C67BA" w14:textId="4690BBB1" w:rsidR="009039BC" w:rsidRDefault="007C3488" w:rsidP="007C3488">
      <w:pPr>
        <w:pStyle w:val="ListNo1alt"/>
        <w:numPr>
          <w:ilvl w:val="0"/>
          <w:numId w:val="0"/>
        </w:numPr>
        <w:tabs>
          <w:tab w:val="left" w:pos="720"/>
        </w:tabs>
        <w:ind w:left="720" w:hanging="720"/>
      </w:pPr>
      <w:r>
        <w:t>(d)</w:t>
      </w:r>
      <w:r>
        <w:tab/>
      </w:r>
      <w:r w:rsidR="00C76404">
        <w:t xml:space="preserve">the evidence showed that Mazda never properly explored the question of whether the failure with the headlights </w:t>
      </w:r>
      <w:proofErr w:type="gramStart"/>
      <w:r w:rsidR="00C76404">
        <w:t>was a major failure</w:t>
      </w:r>
      <w:proofErr w:type="gramEnd"/>
      <w:r w:rsidR="00C76404">
        <w:t xml:space="preserve">, </w:t>
      </w:r>
      <w:r w:rsidR="001A7713">
        <w:t>in circumstances where CT and MT had taken the vehicle back to the dealer 13 times, and where safety concerns were</w:t>
      </w:r>
      <w:r w:rsidR="00790990">
        <w:t xml:space="preserve"> very real</w:t>
      </w:r>
      <w:r w:rsidR="00915703">
        <w:t xml:space="preserve"> (</w:t>
      </w:r>
      <w:r w:rsidR="00DC2EF1">
        <w:t xml:space="preserve">Liability Judgment </w:t>
      </w:r>
      <w:r w:rsidR="00790990">
        <w:t>[372]</w:t>
      </w:r>
      <w:r w:rsidR="00915703">
        <w:t>)</w:t>
      </w:r>
      <w:r w:rsidR="00790990">
        <w:t>; and</w:t>
      </w:r>
    </w:p>
    <w:p w14:paraId="3C2FC374" w14:textId="26773749" w:rsidR="009039BC" w:rsidRDefault="007C3488" w:rsidP="007C3488">
      <w:pPr>
        <w:pStyle w:val="ListNo1alt"/>
        <w:numPr>
          <w:ilvl w:val="0"/>
          <w:numId w:val="0"/>
        </w:numPr>
        <w:tabs>
          <w:tab w:val="left" w:pos="720"/>
        </w:tabs>
        <w:ind w:left="720" w:hanging="720"/>
      </w:pPr>
      <w:r>
        <w:t>(e)</w:t>
      </w:r>
      <w:r>
        <w:tab/>
      </w:r>
      <w:r w:rsidR="006136CB">
        <w:t>it was only when NCAT proceedings were issued that Mazda appeared to take their claim for</w:t>
      </w:r>
      <w:r w:rsidR="00720229">
        <w:t xml:space="preserve"> a</w:t>
      </w:r>
      <w:r w:rsidR="006136CB">
        <w:t xml:space="preserve"> replacement vehicle seriously</w:t>
      </w:r>
      <w:r w:rsidR="00071800">
        <w:t xml:space="preserve"> (</w:t>
      </w:r>
      <w:r w:rsidR="004A7DE7">
        <w:t>Liability Judgment</w:t>
      </w:r>
      <w:r w:rsidR="006136CB">
        <w:t xml:space="preserve"> [401]</w:t>
      </w:r>
      <w:r w:rsidR="00071800">
        <w:t>)</w:t>
      </w:r>
      <w:r w:rsidR="00C323C7">
        <w:t>.</w:t>
      </w:r>
    </w:p>
    <w:p w14:paraId="32FBE564" w14:textId="7142C880" w:rsidR="00041312" w:rsidRDefault="00041312" w:rsidP="00AA13E5">
      <w:pPr>
        <w:pStyle w:val="Heading2"/>
      </w:pPr>
      <w:r>
        <w:t xml:space="preserve">Consumers </w:t>
      </w:r>
      <w:r w:rsidR="009161A3">
        <w:t>SB and KB</w:t>
      </w:r>
    </w:p>
    <w:p w14:paraId="0733F4F1" w14:textId="1762056F" w:rsidR="009871B1" w:rsidRDefault="007C3488" w:rsidP="007C3488">
      <w:pPr>
        <w:pStyle w:val="ParaNumbering"/>
        <w:numPr>
          <w:ilvl w:val="0"/>
          <w:numId w:val="0"/>
        </w:numPr>
        <w:ind w:hanging="720"/>
      </w:pPr>
      <w:r>
        <w:rPr>
          <w:sz w:val="20"/>
        </w:rPr>
        <w:t>13</w:t>
      </w:r>
      <w:r>
        <w:rPr>
          <w:sz w:val="20"/>
        </w:rPr>
        <w:tab/>
      </w:r>
      <w:r w:rsidR="009871B1">
        <w:t xml:space="preserve">In May 2013, </w:t>
      </w:r>
      <w:proofErr w:type="gramStart"/>
      <w:r w:rsidR="009871B1">
        <w:t>SB</w:t>
      </w:r>
      <w:proofErr w:type="gramEnd"/>
      <w:r w:rsidR="009871B1">
        <w:t xml:space="preserve"> and KB (a married couple) purchased a Mazda CX-5 Maxx Sport Diesel AWD as a family car, for holidays and SB’s work, for the total purchase price of</w:t>
      </w:r>
      <w:r w:rsidR="00AF1096">
        <w:t xml:space="preserve"> </w:t>
      </w:r>
      <w:r w:rsidR="009871B1">
        <w:t xml:space="preserve">$42,000. </w:t>
      </w:r>
      <w:r w:rsidR="00AF1096">
        <w:t xml:space="preserve"> </w:t>
      </w:r>
      <w:r w:rsidR="009871B1">
        <w:t xml:space="preserve">Between 2015 and 2017, they had three engine failures and a starter motor failure. </w:t>
      </w:r>
      <w:r w:rsidR="00260B38">
        <w:t xml:space="preserve"> </w:t>
      </w:r>
      <w:r w:rsidR="009871B1">
        <w:t>The first time the engine failed, SB was driving along the Pacific Highway</w:t>
      </w:r>
      <w:r w:rsidR="003C633A">
        <w:t xml:space="preserve"> on 8 April 2015</w:t>
      </w:r>
      <w:r w:rsidR="009871B1">
        <w:t xml:space="preserve"> at about 110km/hour. </w:t>
      </w:r>
      <w:r w:rsidR="00AC1742">
        <w:t xml:space="preserve"> </w:t>
      </w:r>
      <w:r w:rsidR="009871B1">
        <w:t>The Mazda checklist after replacing the engine stated, “ACL Major Failure: Yes”</w:t>
      </w:r>
      <w:r w:rsidR="007B1BA6">
        <w:t>.</w:t>
      </w:r>
      <w:r w:rsidR="009871B1">
        <w:t xml:space="preserve"> </w:t>
      </w:r>
      <w:r w:rsidR="00AC1742">
        <w:t xml:space="preserve"> </w:t>
      </w:r>
      <w:r w:rsidR="009871B1">
        <w:t xml:space="preserve">The issued happened again at 110km/hour </w:t>
      </w:r>
      <w:r w:rsidR="003C633A">
        <w:t xml:space="preserve">on </w:t>
      </w:r>
      <w:r w:rsidR="009871B1">
        <w:t xml:space="preserve">18 July 2015. </w:t>
      </w:r>
      <w:r w:rsidR="002E0371">
        <w:t xml:space="preserve"> </w:t>
      </w:r>
      <w:r w:rsidR="009871B1">
        <w:t xml:space="preserve">SB/KB asked for the car to be replaced. </w:t>
      </w:r>
      <w:r w:rsidR="002E0371">
        <w:t xml:space="preserve"> </w:t>
      </w:r>
      <w:r w:rsidR="009871B1">
        <w:t xml:space="preserve">The dealer said there was “absolutely no way” Mazda would do this. </w:t>
      </w:r>
      <w:r w:rsidR="002C6099">
        <w:t xml:space="preserve"> </w:t>
      </w:r>
      <w:r w:rsidR="009871B1">
        <w:t xml:space="preserve">Then the starter motor failed and had to be replaced </w:t>
      </w:r>
      <w:r w:rsidR="0079189C">
        <w:t xml:space="preserve">in </w:t>
      </w:r>
      <w:r w:rsidR="009871B1">
        <w:t xml:space="preserve">April 2016. </w:t>
      </w:r>
      <w:r w:rsidR="002C6099">
        <w:t xml:space="preserve"> </w:t>
      </w:r>
      <w:r w:rsidR="009871B1">
        <w:t xml:space="preserve">Further problems led to a second engine replacement </w:t>
      </w:r>
      <w:r w:rsidR="006B0E3D">
        <w:t xml:space="preserve">in </w:t>
      </w:r>
      <w:r w:rsidR="009871B1">
        <w:t>July 2017</w:t>
      </w:r>
      <w:r w:rsidR="006B0E3D">
        <w:t xml:space="preserve">, and </w:t>
      </w:r>
      <w:r w:rsidR="009871B1">
        <w:t xml:space="preserve">Mazda rejected KB’s request for a new car. </w:t>
      </w:r>
      <w:r w:rsidR="002C6099">
        <w:t xml:space="preserve"> </w:t>
      </w:r>
      <w:r w:rsidR="009871B1">
        <w:t>The</w:t>
      </w:r>
      <w:r w:rsidR="00DA7243">
        <w:t xml:space="preserve"> car</w:t>
      </w:r>
      <w:r w:rsidR="009871B1">
        <w:t xml:space="preserve"> suffered a further engine failure when </w:t>
      </w:r>
      <w:r w:rsidR="00DA7243">
        <w:t xml:space="preserve">their daughter was </w:t>
      </w:r>
      <w:r w:rsidR="009871B1">
        <w:t xml:space="preserve">driving the car along the M1/F3 </w:t>
      </w:r>
      <w:r w:rsidR="001E22BF">
        <w:t xml:space="preserve">in </w:t>
      </w:r>
      <w:r w:rsidR="009871B1">
        <w:t xml:space="preserve">February 2018. </w:t>
      </w:r>
      <w:r w:rsidR="002C6099">
        <w:t xml:space="preserve"> </w:t>
      </w:r>
      <w:r w:rsidR="009871B1">
        <w:t xml:space="preserve">SB/KB </w:t>
      </w:r>
      <w:r w:rsidR="00467D8B">
        <w:t xml:space="preserve">then </w:t>
      </w:r>
      <w:r w:rsidR="009871B1">
        <w:t xml:space="preserve">commenced NCAT proceedings. </w:t>
      </w:r>
      <w:r w:rsidR="002C6099">
        <w:t xml:space="preserve"> </w:t>
      </w:r>
      <w:r w:rsidR="009871B1">
        <w:t>When the car filled with fumes on the way to the NCAT hearing</w:t>
      </w:r>
      <w:r w:rsidR="00467D8B">
        <w:t xml:space="preserve"> in April 2018</w:t>
      </w:r>
      <w:r w:rsidR="009871B1">
        <w:t xml:space="preserve">, SB rejected the car a final time, </w:t>
      </w:r>
      <w:r w:rsidR="00690A0B">
        <w:t>leaving it at the</w:t>
      </w:r>
      <w:r w:rsidR="009871B1">
        <w:t xml:space="preserve"> dealer</w:t>
      </w:r>
      <w:r w:rsidR="00CD1973">
        <w:t xml:space="preserve">, insisting </w:t>
      </w:r>
      <w:r w:rsidR="000B075B">
        <w:t>that</w:t>
      </w:r>
      <w:r w:rsidR="009871B1">
        <w:t xml:space="preserve"> “the car is </w:t>
      </w:r>
      <w:proofErr w:type="gramStart"/>
      <w:r w:rsidR="009871B1">
        <w:t>unsafe</w:t>
      </w:r>
      <w:proofErr w:type="gramEnd"/>
      <w:r w:rsidR="009871B1">
        <w:t xml:space="preserve"> and I don’t want it”. </w:t>
      </w:r>
      <w:r w:rsidR="002C6099">
        <w:t xml:space="preserve"> </w:t>
      </w:r>
      <w:r w:rsidR="009871B1">
        <w:t>Mazda rejected SB</w:t>
      </w:r>
      <w:r w:rsidR="0087581A">
        <w:t xml:space="preserve"> and </w:t>
      </w:r>
      <w:r w:rsidR="009871B1">
        <w:t xml:space="preserve">KB’s request for a new car. </w:t>
      </w:r>
      <w:r w:rsidR="00692228">
        <w:t xml:space="preserve"> </w:t>
      </w:r>
      <w:r w:rsidR="009871B1">
        <w:t xml:space="preserve">Mazda’s internal consideration lacked the round table / </w:t>
      </w:r>
      <w:r w:rsidR="00C42148">
        <w:t>e</w:t>
      </w:r>
      <w:r w:rsidR="009871B1">
        <w:t xml:space="preserve">xecutive </w:t>
      </w:r>
      <w:r w:rsidR="00156CFE">
        <w:t>p</w:t>
      </w:r>
      <w:r w:rsidR="009871B1">
        <w:t xml:space="preserve">anel process. </w:t>
      </w:r>
      <w:r w:rsidR="00692228">
        <w:t xml:space="preserve"> </w:t>
      </w:r>
      <w:r w:rsidR="009871B1">
        <w:t>Prior to the NCAT hearing, the most Mazda was prepared to offer SB</w:t>
      </w:r>
      <w:r w:rsidR="001345FD">
        <w:t xml:space="preserve"> and </w:t>
      </w:r>
      <w:r w:rsidR="009871B1">
        <w:t xml:space="preserve">KB was $5,000 as part of a “changeover” to a new Mazda vehicle (which SB called a “rubbish offer”). </w:t>
      </w:r>
      <w:r w:rsidR="00820878">
        <w:t xml:space="preserve"> </w:t>
      </w:r>
      <w:r w:rsidR="009871B1">
        <w:t xml:space="preserve">The NCAT proceeding was settled at the first directions hearing. </w:t>
      </w:r>
      <w:r w:rsidR="00820878">
        <w:t xml:space="preserve"> </w:t>
      </w:r>
      <w:r w:rsidR="009871B1">
        <w:t xml:space="preserve">Mazda agreed to pay SB the sum of $16,000. </w:t>
      </w:r>
      <w:r w:rsidR="00820878">
        <w:t xml:space="preserve"> </w:t>
      </w:r>
      <w:r w:rsidR="009871B1">
        <w:t>As a result, SB and KB were left with a debt of $21,000.</w:t>
      </w:r>
    </w:p>
    <w:p w14:paraId="2FA10AB1" w14:textId="79C1B5A2" w:rsidR="009161A3" w:rsidRDefault="007C3488" w:rsidP="007C3488">
      <w:pPr>
        <w:pStyle w:val="ParaNumbering"/>
        <w:numPr>
          <w:ilvl w:val="0"/>
          <w:numId w:val="0"/>
        </w:numPr>
        <w:ind w:hanging="720"/>
      </w:pPr>
      <w:r>
        <w:rPr>
          <w:sz w:val="20"/>
        </w:rPr>
        <w:lastRenderedPageBreak/>
        <w:t>14</w:t>
      </w:r>
      <w:r>
        <w:rPr>
          <w:sz w:val="20"/>
        </w:rPr>
        <w:tab/>
      </w:r>
      <w:r w:rsidR="002D097F">
        <w:t>I found that Mazda made eight false representations to SB and KB in four lengthy telephone calls.  SB and KB had at least 11 conversations with Mazda representatives from July 2017 to April 2018 as well as attempts to deal with Mazda via its website, emails, correspondence, and the NCAT hearing.</w:t>
      </w:r>
    </w:p>
    <w:p w14:paraId="136CB9A8" w14:textId="41411B50" w:rsidR="005B1922" w:rsidRDefault="007C3488" w:rsidP="007C3488">
      <w:pPr>
        <w:pStyle w:val="ParaNumbering"/>
        <w:numPr>
          <w:ilvl w:val="0"/>
          <w:numId w:val="0"/>
        </w:numPr>
        <w:ind w:hanging="720"/>
      </w:pPr>
      <w:r>
        <w:rPr>
          <w:sz w:val="20"/>
        </w:rPr>
        <w:t>15</w:t>
      </w:r>
      <w:r>
        <w:rPr>
          <w:sz w:val="20"/>
        </w:rPr>
        <w:tab/>
      </w:r>
      <w:r w:rsidR="005B1922">
        <w:t xml:space="preserve">I </w:t>
      </w:r>
      <w:r w:rsidR="00AD37F3">
        <w:t>also</w:t>
      </w:r>
      <w:r w:rsidR="005B1922">
        <w:t xml:space="preserve"> found that SB and KB were subject to appalling customer service</w:t>
      </w:r>
      <w:r w:rsidR="00BA16D8">
        <w:t xml:space="preserve"> (</w:t>
      </w:r>
      <w:r w:rsidR="005D5667">
        <w:t>Liability Judgment</w:t>
      </w:r>
      <w:r w:rsidR="005B1922">
        <w:t xml:space="preserve"> [510]</w:t>
      </w:r>
      <w:r w:rsidR="00BA16D8">
        <w:t>)</w:t>
      </w:r>
      <w:r w:rsidR="005B1922">
        <w:t>.</w:t>
      </w:r>
    </w:p>
    <w:p w14:paraId="605492FA" w14:textId="2BCF18ED" w:rsidR="009161A3" w:rsidRDefault="009161A3" w:rsidP="00AA13E5">
      <w:pPr>
        <w:pStyle w:val="Heading2"/>
      </w:pPr>
      <w:r>
        <w:t>Consumer MG</w:t>
      </w:r>
    </w:p>
    <w:p w14:paraId="5B894DDE" w14:textId="44245797" w:rsidR="009161A3" w:rsidRDefault="007C3488" w:rsidP="007C3488">
      <w:pPr>
        <w:pStyle w:val="ParaNumbering"/>
        <w:numPr>
          <w:ilvl w:val="0"/>
          <w:numId w:val="0"/>
        </w:numPr>
        <w:ind w:hanging="720"/>
      </w:pPr>
      <w:r>
        <w:rPr>
          <w:sz w:val="20"/>
        </w:rPr>
        <w:t>16</w:t>
      </w:r>
      <w:r>
        <w:rPr>
          <w:sz w:val="20"/>
        </w:rPr>
        <w:tab/>
      </w:r>
      <w:r w:rsidR="00AD37F3">
        <w:t>In June 2013, MG purchased</w:t>
      </w:r>
      <w:r w:rsidR="00F9478E">
        <w:t xml:space="preserve"> </w:t>
      </w:r>
      <w:r w:rsidR="00F9478E" w:rsidRPr="00F9478E">
        <w:t>a Mazda 6 Diesel Touring Wagon from Maitland City Motor in NSW for $46,663, primarily for work</w:t>
      </w:r>
      <w:r w:rsidR="00925605">
        <w:t xml:space="preserve"> purposes</w:t>
      </w:r>
      <w:r w:rsidR="00F9478E" w:rsidRPr="00F9478E">
        <w:t xml:space="preserve">. </w:t>
      </w:r>
      <w:r w:rsidR="004E382B">
        <w:t xml:space="preserve"> </w:t>
      </w:r>
      <w:r w:rsidR="00F9478E" w:rsidRPr="00F9478E">
        <w:t>The vehicle had to hav</w:t>
      </w:r>
      <w:r w:rsidR="00225A00">
        <w:t xml:space="preserve">e, </w:t>
      </w:r>
      <w:r w:rsidR="00F9478E" w:rsidRPr="00F9478E">
        <w:t>inter alia</w:t>
      </w:r>
      <w:r w:rsidR="00225A00">
        <w:t>,</w:t>
      </w:r>
      <w:r w:rsidR="00F9478E" w:rsidRPr="00F9478E">
        <w:t xml:space="preserve"> three engine replacements over four years, as well as a new </w:t>
      </w:r>
      <w:proofErr w:type="gramStart"/>
      <w:r w:rsidR="00F9478E" w:rsidRPr="00F9478E">
        <w:t>turbo-</w:t>
      </w:r>
      <w:proofErr w:type="spellStart"/>
      <w:r w:rsidR="00F9478E" w:rsidRPr="00F9478E">
        <w:t>charger</w:t>
      </w:r>
      <w:proofErr w:type="spellEnd"/>
      <w:proofErr w:type="gramEnd"/>
      <w:r w:rsidR="00F9478E" w:rsidRPr="00F9478E">
        <w:t xml:space="preserve"> and camshaft. </w:t>
      </w:r>
      <w:r w:rsidR="004E382B">
        <w:t xml:space="preserve"> </w:t>
      </w:r>
      <w:r w:rsidR="00F9478E" w:rsidRPr="00F9478E">
        <w:t>On the first occasion</w:t>
      </w:r>
      <w:r w:rsidR="00B07C04">
        <w:t xml:space="preserve"> in February 2015</w:t>
      </w:r>
      <w:r w:rsidR="00F9478E" w:rsidRPr="00F9478E">
        <w:t xml:space="preserve">, MG experienced a “rock hard” brake pedal and warning lights when driving home on the Hunter Expressway at 100km/hour. </w:t>
      </w:r>
      <w:r w:rsidR="004E382B">
        <w:t xml:space="preserve"> </w:t>
      </w:r>
      <w:r w:rsidR="00F9478E" w:rsidRPr="00F9478E">
        <w:t xml:space="preserve">MG was told there was a recall on the camshaft, which had to be replaced. </w:t>
      </w:r>
      <w:r w:rsidR="00F869C9">
        <w:t xml:space="preserve"> </w:t>
      </w:r>
      <w:r w:rsidR="00F9478E" w:rsidRPr="00F9478E">
        <w:t>Mazda opened the Maestro</w:t>
      </w:r>
      <w:r w:rsidR="00E12BB6">
        <w:t xml:space="preserve"> (Mazda’s </w:t>
      </w:r>
      <w:r w:rsidR="00A27D40">
        <w:t>contact management system)</w:t>
      </w:r>
      <w:r w:rsidR="00F9478E" w:rsidRPr="00F9478E">
        <w:t xml:space="preserve"> case as, “HEADS UP – CAMSHAFT – ACL”. </w:t>
      </w:r>
      <w:r w:rsidR="007B1BA6">
        <w:t xml:space="preserve"> </w:t>
      </w:r>
      <w:r w:rsidR="00F9478E" w:rsidRPr="00F9478E">
        <w:t xml:space="preserve">The post-repair checklist stated, “ACL Major Failure: yes”. </w:t>
      </w:r>
      <w:r w:rsidR="00900765">
        <w:t xml:space="preserve"> </w:t>
      </w:r>
      <w:r w:rsidR="00F9478E" w:rsidRPr="00F9478E">
        <w:t xml:space="preserve">After collecting the vehicle, MG inquired with the dealer about getting a refund or replacement and was told this was “pretty unlikely”. </w:t>
      </w:r>
      <w:r w:rsidR="00027CDB">
        <w:t xml:space="preserve"> In May to June 2015, f</w:t>
      </w:r>
      <w:r w:rsidR="00F9478E" w:rsidRPr="00F9478E">
        <w:t xml:space="preserve">urther issues led to the first engine replacement. </w:t>
      </w:r>
      <w:r w:rsidR="00900765">
        <w:t xml:space="preserve"> </w:t>
      </w:r>
      <w:r w:rsidR="00C6540C">
        <w:t xml:space="preserve">In June 2015, </w:t>
      </w:r>
      <w:r w:rsidR="00F9478E" w:rsidRPr="00F9478E">
        <w:t xml:space="preserve">MG told Mazda that he wanted the car </w:t>
      </w:r>
      <w:r w:rsidR="00C6540C">
        <w:t xml:space="preserve">replaced, which I </w:t>
      </w:r>
      <w:r w:rsidR="00F9478E" w:rsidRPr="00F9478E">
        <w:t>held to be a rej</w:t>
      </w:r>
      <w:r w:rsidR="00C6540C">
        <w:t>ection</w:t>
      </w:r>
      <w:r w:rsidR="00F9478E" w:rsidRPr="00F9478E">
        <w:t xml:space="preserve">. </w:t>
      </w:r>
      <w:r w:rsidR="00900765">
        <w:t xml:space="preserve"> </w:t>
      </w:r>
      <w:r w:rsidR="00F9478E" w:rsidRPr="00F9478E">
        <w:t xml:space="preserve">About a year later, further issues led to the second engine replacement </w:t>
      </w:r>
      <w:r w:rsidR="00C6540C">
        <w:t xml:space="preserve">in </w:t>
      </w:r>
      <w:r w:rsidR="00F9478E" w:rsidRPr="00F9478E">
        <w:t xml:space="preserve">November 2016. </w:t>
      </w:r>
      <w:r w:rsidR="00900765">
        <w:t xml:space="preserve"> </w:t>
      </w:r>
      <w:r w:rsidR="00F9478E" w:rsidRPr="00F9478E">
        <w:t>About a year after that,</w:t>
      </w:r>
      <w:r w:rsidR="00F33928">
        <w:t xml:space="preserve"> in August 2017, </w:t>
      </w:r>
      <w:r w:rsidR="00F9478E" w:rsidRPr="00F9478E">
        <w:t>the power steering and brakes faile</w:t>
      </w:r>
      <w:r w:rsidR="00F33928">
        <w:t>d</w:t>
      </w:r>
      <w:r w:rsidR="00F9478E" w:rsidRPr="00F9478E">
        <w:t xml:space="preserve">. </w:t>
      </w:r>
      <w:r w:rsidR="00F33928">
        <w:t xml:space="preserve"> A</w:t>
      </w:r>
      <w:r w:rsidR="00F9478E" w:rsidRPr="00F9478E">
        <w:t xml:space="preserve"> third engine replacement was required </w:t>
      </w:r>
      <w:r w:rsidR="00F33928">
        <w:t xml:space="preserve">in </w:t>
      </w:r>
      <w:r w:rsidR="00F9478E" w:rsidRPr="00F9478E">
        <w:t xml:space="preserve">September 2018. </w:t>
      </w:r>
      <w:r w:rsidR="00900765">
        <w:t xml:space="preserve"> </w:t>
      </w:r>
      <w:r w:rsidR="00F9478E" w:rsidRPr="00F9478E">
        <w:t>At this time, MG told the dealer, “</w:t>
      </w:r>
      <w:r w:rsidR="00AA5371">
        <w:t>[k]</w:t>
      </w:r>
      <w:proofErr w:type="spellStart"/>
      <w:r w:rsidR="00F9478E" w:rsidRPr="00F9478E">
        <w:t>eep</w:t>
      </w:r>
      <w:proofErr w:type="spellEnd"/>
      <w:r w:rsidR="00F9478E" w:rsidRPr="00F9478E">
        <w:t xml:space="preserve"> the car; I don’t want it anymore”. </w:t>
      </w:r>
      <w:r w:rsidR="00AA5371">
        <w:t xml:space="preserve"> </w:t>
      </w:r>
      <w:r w:rsidR="00F9478E" w:rsidRPr="00F9478E">
        <w:t xml:space="preserve">After inspecting MG’s vehicle before the third engine replacement in July 2018, a Mazda FTS (Field Technical Specialist) told the dealer to contact Mazda “as this vehicle has already had two engine replacements for the same issue”. </w:t>
      </w:r>
      <w:r w:rsidR="002213C0">
        <w:t xml:space="preserve"> </w:t>
      </w:r>
      <w:r w:rsidR="00F9478E" w:rsidRPr="00F9478E">
        <w:t xml:space="preserve">However, two days later, a Mazda Customer Advocate told MG that a replacement car was “unlikely”. </w:t>
      </w:r>
      <w:r w:rsidR="002213C0">
        <w:t xml:space="preserve"> </w:t>
      </w:r>
      <w:r w:rsidR="00F9478E" w:rsidRPr="00F9478E">
        <w:t xml:space="preserve">Mazda offered MG a 50% contribution to the “changeover costs” </w:t>
      </w:r>
      <w:r w:rsidR="003718FA">
        <w:t xml:space="preserve">in </w:t>
      </w:r>
      <w:r w:rsidR="00F9478E" w:rsidRPr="00F9478E">
        <w:t xml:space="preserve">August 2018. </w:t>
      </w:r>
      <w:r w:rsidR="002213C0">
        <w:t xml:space="preserve"> </w:t>
      </w:r>
      <w:r w:rsidR="00F9478E" w:rsidRPr="00F9478E">
        <w:t xml:space="preserve">Subsequently, Mazda offered MG $17,000 towards a new vehicle, which he accepted. </w:t>
      </w:r>
      <w:r w:rsidR="002213C0">
        <w:t xml:space="preserve"> </w:t>
      </w:r>
      <w:r w:rsidR="00F9478E" w:rsidRPr="00F9478E">
        <w:t>He paid $17,700 himself.</w:t>
      </w:r>
    </w:p>
    <w:p w14:paraId="18535F01" w14:textId="26EF4485" w:rsidR="00F16FB6" w:rsidRDefault="007C3488" w:rsidP="007C3488">
      <w:pPr>
        <w:pStyle w:val="ParaNumbering"/>
        <w:numPr>
          <w:ilvl w:val="0"/>
          <w:numId w:val="0"/>
        </w:numPr>
        <w:ind w:hanging="720"/>
      </w:pPr>
      <w:r>
        <w:rPr>
          <w:sz w:val="20"/>
        </w:rPr>
        <w:t>17</w:t>
      </w:r>
      <w:r>
        <w:rPr>
          <w:sz w:val="20"/>
        </w:rPr>
        <w:tab/>
      </w:r>
      <w:r w:rsidR="00F16FB6">
        <w:t>I found that Mazda made six false representations to MG in three calls and one email.  MG had at least seven conversation</w:t>
      </w:r>
      <w:r w:rsidR="00065E85">
        <w:t>s</w:t>
      </w:r>
      <w:r w:rsidR="00F16FB6">
        <w:t xml:space="preserve"> with Mazda representatives throughout the relevant period as well as website and email contact</w:t>
      </w:r>
      <w:r w:rsidR="00EF501B">
        <w:t>.</w:t>
      </w:r>
    </w:p>
    <w:p w14:paraId="70EB1409" w14:textId="739E9CB8" w:rsidR="00EB3A84" w:rsidRDefault="007C3488" w:rsidP="007C3488">
      <w:pPr>
        <w:pStyle w:val="ParaNumbering"/>
        <w:numPr>
          <w:ilvl w:val="0"/>
          <w:numId w:val="0"/>
        </w:numPr>
        <w:ind w:hanging="720"/>
      </w:pPr>
      <w:r>
        <w:rPr>
          <w:sz w:val="20"/>
        </w:rPr>
        <w:t>18</w:t>
      </w:r>
      <w:r>
        <w:rPr>
          <w:sz w:val="20"/>
        </w:rPr>
        <w:tab/>
      </w:r>
      <w:r w:rsidR="00EB3A84">
        <w:t>I also found that MG was the subject of appalling customer service, and rightfully frustrated with the situation that he found himself in</w:t>
      </w:r>
      <w:r w:rsidR="00B838E4">
        <w:t xml:space="preserve"> (</w:t>
      </w:r>
      <w:r w:rsidR="00576739">
        <w:t>Liability Judgment</w:t>
      </w:r>
      <w:r w:rsidR="00EB3A84">
        <w:t xml:space="preserve"> [594]</w:t>
      </w:r>
      <w:r w:rsidR="00B838E4">
        <w:t>)</w:t>
      </w:r>
      <w:r w:rsidR="00EB3A84">
        <w:t>.</w:t>
      </w:r>
    </w:p>
    <w:p w14:paraId="7B16DDC1" w14:textId="696F589B" w:rsidR="009161A3" w:rsidRDefault="00701A87" w:rsidP="00AA13E5">
      <w:pPr>
        <w:pStyle w:val="Heading2"/>
      </w:pPr>
      <w:r>
        <w:lastRenderedPageBreak/>
        <w:t>Consumers TK and MK</w:t>
      </w:r>
    </w:p>
    <w:p w14:paraId="532A5C4E" w14:textId="272FE631" w:rsidR="001659F5" w:rsidRPr="001659F5" w:rsidRDefault="007C3488" w:rsidP="007C3488">
      <w:pPr>
        <w:pStyle w:val="ParaNumbering"/>
        <w:numPr>
          <w:ilvl w:val="0"/>
          <w:numId w:val="0"/>
        </w:numPr>
        <w:ind w:hanging="720"/>
      </w:pPr>
      <w:r w:rsidRPr="001659F5">
        <w:rPr>
          <w:sz w:val="20"/>
        </w:rPr>
        <w:t>19</w:t>
      </w:r>
      <w:r w:rsidRPr="001659F5">
        <w:rPr>
          <w:sz w:val="20"/>
        </w:rPr>
        <w:tab/>
      </w:r>
      <w:r w:rsidR="003211C7">
        <w:t xml:space="preserve">In May </w:t>
      </w:r>
      <w:r w:rsidR="001659F5" w:rsidRPr="001659F5">
        <w:t xml:space="preserve">2017, </w:t>
      </w:r>
      <w:proofErr w:type="gramStart"/>
      <w:r w:rsidR="001659F5" w:rsidRPr="001659F5">
        <w:t>TK</w:t>
      </w:r>
      <w:proofErr w:type="gramEnd"/>
      <w:r w:rsidR="001659F5" w:rsidRPr="001659F5">
        <w:t xml:space="preserve"> and MK (a married couple) purchased a Mazda BT-50 3.2L dual cab utility XTR for $55,000 to travel around Australia with a new caravan. </w:t>
      </w:r>
      <w:r w:rsidR="006221BB">
        <w:t xml:space="preserve"> </w:t>
      </w:r>
      <w:r w:rsidR="001659F5" w:rsidRPr="001659F5">
        <w:t xml:space="preserve">Their vehicle issues included an engine and turbo replacement within five months of purchase, whilst they were on holiday. </w:t>
      </w:r>
      <w:r w:rsidR="00D8273B">
        <w:t xml:space="preserve"> </w:t>
      </w:r>
      <w:r w:rsidR="001659F5" w:rsidRPr="001659F5">
        <w:t xml:space="preserve">In December 2018, the car stalled and lost power while approaching a roundabout. </w:t>
      </w:r>
      <w:r w:rsidR="00D8273B">
        <w:t xml:space="preserve"> </w:t>
      </w:r>
      <w:r w:rsidR="001659F5" w:rsidRPr="001659F5">
        <w:t xml:space="preserve">The stalling problem happened four other times, as well as other issues with the electric braking system locking the brakes on the caravan </w:t>
      </w:r>
      <w:r w:rsidR="00770F88">
        <w:t xml:space="preserve">in </w:t>
      </w:r>
      <w:r w:rsidR="001659F5" w:rsidRPr="001659F5">
        <w:t xml:space="preserve">February 2019. </w:t>
      </w:r>
      <w:r w:rsidR="00211EE1">
        <w:t xml:space="preserve"> </w:t>
      </w:r>
      <w:r w:rsidR="001659F5" w:rsidRPr="001659F5">
        <w:t xml:space="preserve">TK notified Mazda of the stalling problems, which led to tests on the vehicle. </w:t>
      </w:r>
      <w:r w:rsidR="00211EE1">
        <w:t xml:space="preserve"> </w:t>
      </w:r>
      <w:r w:rsidR="001659F5" w:rsidRPr="001659F5">
        <w:t xml:space="preserve">TK repeated her safety concerns to Mazda representatives many times. </w:t>
      </w:r>
      <w:r w:rsidR="00211EE1">
        <w:t xml:space="preserve"> </w:t>
      </w:r>
      <w:r w:rsidR="001659F5" w:rsidRPr="001659F5">
        <w:t>Mazda retained the vehicle for lengthy periods</w:t>
      </w:r>
      <w:r w:rsidR="001659F5" w:rsidRPr="00C9338A">
        <w:t>, seeking to replicate the fault</w:t>
      </w:r>
      <w:r w:rsidR="001659F5" w:rsidRPr="001659F5">
        <w:t xml:space="preserve"> </w:t>
      </w:r>
      <w:r w:rsidR="00F765CA">
        <w:t>—</w:t>
      </w:r>
      <w:r w:rsidR="001659F5" w:rsidRPr="001659F5">
        <w:t xml:space="preserve"> the stalling continued. </w:t>
      </w:r>
      <w:r w:rsidR="00211EE1">
        <w:t xml:space="preserve"> </w:t>
      </w:r>
      <w:r w:rsidR="001659F5" w:rsidRPr="001659F5">
        <w:t xml:space="preserve">TK and MK had to defer trips because they did not have their vehicle and could not tow their caravan. </w:t>
      </w:r>
      <w:r w:rsidR="00211EE1">
        <w:t xml:space="preserve"> </w:t>
      </w:r>
      <w:r w:rsidR="001659F5" w:rsidRPr="001659F5">
        <w:t xml:space="preserve">TK rejected the vehicle on four agreed occasions. </w:t>
      </w:r>
      <w:r w:rsidR="00211EE1">
        <w:t xml:space="preserve"> </w:t>
      </w:r>
      <w:r w:rsidR="001659F5" w:rsidRPr="001659F5">
        <w:t xml:space="preserve">However, Mazda’s round table / executive panel deferred TK’s request for a refund several times on the basis that “vehicle diagnosis should continue” even though the problems persisted into 2019. </w:t>
      </w:r>
      <w:r w:rsidR="00211EE1">
        <w:t xml:space="preserve"> </w:t>
      </w:r>
      <w:r w:rsidR="001659F5" w:rsidRPr="001659F5">
        <w:t xml:space="preserve">In August 2019, two years after TK and MK first rejected the vehicle, Mazda’s executive panel offered them a full refund, only after TK called into a radio show and Mazda’s PR team intervened. </w:t>
      </w:r>
      <w:r w:rsidR="00483275">
        <w:t xml:space="preserve"> </w:t>
      </w:r>
      <w:r w:rsidR="001659F5" w:rsidRPr="001659F5">
        <w:t>The offer was accepted.</w:t>
      </w:r>
    </w:p>
    <w:p w14:paraId="7C8BBA49" w14:textId="5ED186DE" w:rsidR="00701A87" w:rsidRDefault="007C3488" w:rsidP="007C3488">
      <w:pPr>
        <w:pStyle w:val="ParaNumbering"/>
        <w:numPr>
          <w:ilvl w:val="0"/>
          <w:numId w:val="0"/>
        </w:numPr>
        <w:ind w:hanging="720"/>
      </w:pPr>
      <w:r>
        <w:rPr>
          <w:sz w:val="20"/>
        </w:rPr>
        <w:t>20</w:t>
      </w:r>
      <w:r>
        <w:rPr>
          <w:sz w:val="20"/>
        </w:rPr>
        <w:tab/>
      </w:r>
      <w:r w:rsidR="00026EFE">
        <w:t>I found that Mazda made five false repre</w:t>
      </w:r>
      <w:r w:rsidR="003A7438">
        <w:t xml:space="preserve">sentations to TK in three telephone calls and two letters.  TK </w:t>
      </w:r>
      <w:r w:rsidR="003B4379">
        <w:t>had</w:t>
      </w:r>
      <w:r w:rsidR="003A7438">
        <w:t xml:space="preserve"> at least 38 conversations with Mazda representatives (many </w:t>
      </w:r>
      <w:r w:rsidR="003B488C">
        <w:t>lengthy) throughout the relevant period, and other contacts in writing.</w:t>
      </w:r>
    </w:p>
    <w:p w14:paraId="788C451A" w14:textId="12CD08A6" w:rsidR="00F223E0" w:rsidRDefault="007C3488" w:rsidP="007C3488">
      <w:pPr>
        <w:pStyle w:val="ParaNumbering"/>
        <w:numPr>
          <w:ilvl w:val="0"/>
          <w:numId w:val="0"/>
        </w:numPr>
        <w:ind w:hanging="720"/>
      </w:pPr>
      <w:r>
        <w:rPr>
          <w:sz w:val="20"/>
        </w:rPr>
        <w:t>21</w:t>
      </w:r>
      <w:r>
        <w:rPr>
          <w:sz w:val="20"/>
        </w:rPr>
        <w:tab/>
      </w:r>
      <w:r w:rsidR="00F223E0">
        <w:t>I also found that:</w:t>
      </w:r>
    </w:p>
    <w:p w14:paraId="1F484235" w14:textId="77299F31" w:rsidR="00027D62" w:rsidRDefault="007C3488" w:rsidP="007C3488">
      <w:pPr>
        <w:pStyle w:val="ListNo1alt"/>
        <w:numPr>
          <w:ilvl w:val="0"/>
          <w:numId w:val="0"/>
        </w:numPr>
        <w:tabs>
          <w:tab w:val="left" w:pos="720"/>
        </w:tabs>
        <w:ind w:left="720" w:hanging="720"/>
      </w:pPr>
      <w:r>
        <w:t>(a)</w:t>
      </w:r>
      <w:r>
        <w:tab/>
      </w:r>
      <w:r w:rsidR="00027D62">
        <w:t xml:space="preserve">TK and MK’s concerns were </w:t>
      </w:r>
      <w:r w:rsidR="00A159DB">
        <w:t xml:space="preserve">“fobbed off” for a very long time, and they were justified in thinking that Mazda did not believe </w:t>
      </w:r>
      <w:r w:rsidR="00427A01">
        <w:t>their word, ins</w:t>
      </w:r>
      <w:r w:rsidR="001C56DB">
        <w:t>isting that whatever the problem with the vehicle may have been, it was not a “manufacturing” concern and therefore did not entitle them to a refund or replacement under the ACL, and nor would any problem be conceded until a dealer could “replicate” it</w:t>
      </w:r>
      <w:r w:rsidR="00B655DC">
        <w:t xml:space="preserve"> (</w:t>
      </w:r>
      <w:r w:rsidR="00340228">
        <w:t xml:space="preserve">Liability Judgment </w:t>
      </w:r>
      <w:r w:rsidR="001C56DB">
        <w:t>[774</w:t>
      </w:r>
      <w:r w:rsidR="00B23899">
        <w:t>]</w:t>
      </w:r>
      <w:r w:rsidR="00B655DC">
        <w:t>)</w:t>
      </w:r>
      <w:r w:rsidR="00B23899">
        <w:t>;</w:t>
      </w:r>
    </w:p>
    <w:p w14:paraId="2E45AAD7" w14:textId="459B7022" w:rsidR="00B23899" w:rsidRDefault="007C3488" w:rsidP="007C3488">
      <w:pPr>
        <w:pStyle w:val="ListNo1alt"/>
        <w:numPr>
          <w:ilvl w:val="0"/>
          <w:numId w:val="0"/>
        </w:numPr>
        <w:tabs>
          <w:tab w:val="left" w:pos="720"/>
        </w:tabs>
        <w:ind w:left="720" w:hanging="720"/>
      </w:pPr>
      <w:r>
        <w:t>(b)</w:t>
      </w:r>
      <w:r>
        <w:tab/>
      </w:r>
      <w:r w:rsidR="00B23899">
        <w:t>TK and MK were subject to appalling customer service</w:t>
      </w:r>
      <w:r w:rsidR="001164D5">
        <w:t xml:space="preserve"> (Liability Judgment [774])</w:t>
      </w:r>
      <w:r w:rsidR="00B23899">
        <w:t>.</w:t>
      </w:r>
    </w:p>
    <w:p w14:paraId="39762E69" w14:textId="1FA6BC85" w:rsidR="009E34A1" w:rsidRDefault="009E34A1" w:rsidP="00AA13E5">
      <w:pPr>
        <w:pStyle w:val="Heading2"/>
      </w:pPr>
      <w:r>
        <w:t>Consumer LC (formerly LS)</w:t>
      </w:r>
    </w:p>
    <w:p w14:paraId="1BCC45CC" w14:textId="356D8531" w:rsidR="002D2562" w:rsidRDefault="007C3488" w:rsidP="007C3488">
      <w:pPr>
        <w:pStyle w:val="ParaNumbering"/>
        <w:numPr>
          <w:ilvl w:val="0"/>
          <w:numId w:val="0"/>
        </w:numPr>
        <w:ind w:hanging="720"/>
      </w:pPr>
      <w:r>
        <w:rPr>
          <w:sz w:val="20"/>
        </w:rPr>
        <w:t>22</w:t>
      </w:r>
      <w:r>
        <w:rPr>
          <w:sz w:val="20"/>
        </w:rPr>
        <w:tab/>
      </w:r>
      <w:r w:rsidR="00883C3B">
        <w:t xml:space="preserve">In August 2015, </w:t>
      </w:r>
      <w:r w:rsidR="00A96819" w:rsidRPr="00A96819">
        <w:t>LC purchased a Mazda CX-3 A 6A Akari Diesel All Wheel Drive for</w:t>
      </w:r>
      <w:r w:rsidR="00B65998">
        <w:t xml:space="preserve"> </w:t>
      </w:r>
      <w:r w:rsidR="00A96819" w:rsidRPr="00A96819">
        <w:t xml:space="preserve">$38,508 (less a $9,208 trade-in) from Grand Prix Sales, Aspley in Queensland. </w:t>
      </w:r>
      <w:r w:rsidR="008E74E1">
        <w:t xml:space="preserve"> </w:t>
      </w:r>
      <w:r w:rsidR="00A96819" w:rsidRPr="00A96819">
        <w:t xml:space="preserve">She used the car for personal reasons and work (driving 30,000km/year as a business development manager). </w:t>
      </w:r>
      <w:r w:rsidR="00230768">
        <w:t xml:space="preserve"> </w:t>
      </w:r>
      <w:r w:rsidR="00A96819" w:rsidRPr="00A96819">
        <w:t xml:space="preserve">Several months after purchase her car started jerking. </w:t>
      </w:r>
      <w:r w:rsidR="00230768">
        <w:t xml:space="preserve"> </w:t>
      </w:r>
      <w:r w:rsidR="00A96819" w:rsidRPr="00A96819">
        <w:t xml:space="preserve">By November, the jerking was </w:t>
      </w:r>
      <w:proofErr w:type="gramStart"/>
      <w:r w:rsidR="00A96819" w:rsidRPr="00A96819">
        <w:t>intensive</w:t>
      </w:r>
      <w:proofErr w:type="gramEnd"/>
      <w:r w:rsidR="00A96819" w:rsidRPr="00A96819">
        <w:t xml:space="preserve"> </w:t>
      </w:r>
      <w:r w:rsidR="00A96819" w:rsidRPr="00A96819">
        <w:lastRenderedPageBreak/>
        <w:t xml:space="preserve">and the car was losing power. </w:t>
      </w:r>
      <w:r w:rsidR="00230768">
        <w:t xml:space="preserve"> </w:t>
      </w:r>
      <w:r w:rsidR="00A96819" w:rsidRPr="00A96819">
        <w:t xml:space="preserve">The vehicle transmission was replaced in January 2016. </w:t>
      </w:r>
      <w:r w:rsidR="00230768">
        <w:t xml:space="preserve"> </w:t>
      </w:r>
      <w:r w:rsidR="00A96819" w:rsidRPr="00A96819">
        <w:t>Mazda opened a Maestro case with “</w:t>
      </w:r>
      <w:r w:rsidR="00A96819" w:rsidRPr="00972289">
        <w:t>Heads-up Possible Major Failure. Transmission Failure. PAR approved.</w:t>
      </w:r>
      <w:r w:rsidR="00A96819" w:rsidRPr="00A96819">
        <w:t>” The Customer Advocate entered a note, “</w:t>
      </w:r>
      <w:r w:rsidR="00A96819" w:rsidRPr="00972289">
        <w:t>AUTO TRANS FAILURE – ACL VOR</w:t>
      </w:r>
      <w:r w:rsidR="00A96819" w:rsidRPr="00A96819">
        <w:t xml:space="preserve">”. </w:t>
      </w:r>
      <w:r w:rsidR="00B3002B">
        <w:t xml:space="preserve"> </w:t>
      </w:r>
      <w:r w:rsidR="00A96819" w:rsidRPr="00A96819">
        <w:t>About a year later, the car experienced intermitt</w:t>
      </w:r>
      <w:r w:rsidR="001F2EB7">
        <w:t>ent</w:t>
      </w:r>
      <w:r w:rsidR="00A96819" w:rsidRPr="00A96819">
        <w:t xml:space="preserve"> power loss again, the problem becoming progressively worse. </w:t>
      </w:r>
      <w:r w:rsidR="00B3002B">
        <w:t xml:space="preserve"> </w:t>
      </w:r>
      <w:r w:rsidR="00A96819" w:rsidRPr="00A96819">
        <w:t xml:space="preserve">Sometimes the car jerked or coughed or spluttered when LC was driving uphill. </w:t>
      </w:r>
      <w:r w:rsidR="00B3002B">
        <w:t xml:space="preserve"> </w:t>
      </w:r>
      <w:r w:rsidR="00A96819" w:rsidRPr="00A96819">
        <w:t xml:space="preserve">At least once, she lost power when driving at 110km/hour on the highway. </w:t>
      </w:r>
      <w:r w:rsidR="00B3002B">
        <w:t xml:space="preserve"> </w:t>
      </w:r>
      <w:r w:rsidR="00A96819" w:rsidRPr="00A96819">
        <w:t xml:space="preserve">By mid-2017 the problems were occurring daily. </w:t>
      </w:r>
      <w:r w:rsidR="00B3002B">
        <w:t xml:space="preserve"> </w:t>
      </w:r>
      <w:r w:rsidR="00A96819" w:rsidRPr="00A96819">
        <w:t xml:space="preserve">After doing some online research as to her rights, LC rejected the vehicle in June 2017. </w:t>
      </w:r>
      <w:r w:rsidR="00B3002B">
        <w:t xml:space="preserve"> </w:t>
      </w:r>
      <w:r w:rsidR="00A96819" w:rsidRPr="00A96819">
        <w:t xml:space="preserve">On 3 July 2017, the engine was replaced. </w:t>
      </w:r>
      <w:r w:rsidR="00B3002B">
        <w:t xml:space="preserve"> </w:t>
      </w:r>
      <w:r w:rsidR="00A96819" w:rsidRPr="00A96819">
        <w:t xml:space="preserve">Two days later she rejected the car again and asked for a replacement pursuant to the ACL. </w:t>
      </w:r>
      <w:r w:rsidR="00B3002B">
        <w:t xml:space="preserve"> </w:t>
      </w:r>
      <w:r w:rsidR="00A96819" w:rsidRPr="00A96819">
        <w:t xml:space="preserve">About a week later she rejected the car again during a call with a Mazda Customer Advocate (later found to involve false representations made to her). </w:t>
      </w:r>
      <w:r w:rsidR="00634E53">
        <w:t xml:space="preserve"> </w:t>
      </w:r>
      <w:r w:rsidR="00A96819" w:rsidRPr="00A96819">
        <w:t>LC’s pleas for a new car based on “</w:t>
      </w:r>
      <w:r w:rsidR="00A96819" w:rsidRPr="00634E53">
        <w:t>2 MAJOR FAILS</w:t>
      </w:r>
      <w:r w:rsidR="00A96819" w:rsidRPr="00A96819">
        <w:t xml:space="preserve">” was ignored by Mazda. </w:t>
      </w:r>
      <w:r w:rsidR="00634E53">
        <w:t xml:space="preserve"> </w:t>
      </w:r>
      <w:r w:rsidR="00A96819" w:rsidRPr="00A96819">
        <w:t xml:space="preserve">The most Mazda was prepared to offer LC was an extra year’s warranty and two free services. </w:t>
      </w:r>
      <w:r w:rsidR="00634E53">
        <w:t xml:space="preserve"> </w:t>
      </w:r>
      <w:r w:rsidR="00A96819" w:rsidRPr="00A96819">
        <w:t xml:space="preserve">Mazda failed to follow its internal round table / </w:t>
      </w:r>
      <w:r w:rsidR="00C42148">
        <w:t>e</w:t>
      </w:r>
      <w:r w:rsidR="00A96819" w:rsidRPr="00A96819">
        <w:t>xecutive</w:t>
      </w:r>
      <w:r w:rsidR="00634E53">
        <w:t xml:space="preserve"> </w:t>
      </w:r>
      <w:r w:rsidR="00C42148">
        <w:t>p</w:t>
      </w:r>
      <w:r w:rsidR="00A96819" w:rsidRPr="00A96819">
        <w:t xml:space="preserve">anel processes. </w:t>
      </w:r>
      <w:r w:rsidR="00CA6B99">
        <w:t xml:space="preserve"> </w:t>
      </w:r>
      <w:r w:rsidR="00A96819" w:rsidRPr="00A96819">
        <w:t>In December 2017, she</w:t>
      </w:r>
      <w:r w:rsidR="002D2562">
        <w:t xml:space="preserve"> accepted</w:t>
      </w:r>
      <w:r w:rsidR="002D2562">
        <w:rPr>
          <w:spacing w:val="-4"/>
        </w:rPr>
        <w:t xml:space="preserve"> </w:t>
      </w:r>
      <w:r w:rsidR="002D2562">
        <w:t>the</w:t>
      </w:r>
      <w:r w:rsidR="002D2562">
        <w:rPr>
          <w:spacing w:val="-2"/>
        </w:rPr>
        <w:t xml:space="preserve"> </w:t>
      </w:r>
      <w:r w:rsidR="002D2562">
        <w:t xml:space="preserve">offer. </w:t>
      </w:r>
      <w:r w:rsidR="00CA6B99">
        <w:t xml:space="preserve"> </w:t>
      </w:r>
      <w:r w:rsidR="002D2562">
        <w:t>As</w:t>
      </w:r>
      <w:r w:rsidR="002D2562">
        <w:rPr>
          <w:spacing w:val="-1"/>
        </w:rPr>
        <w:t xml:space="preserve"> </w:t>
      </w:r>
      <w:r w:rsidR="002D2562">
        <w:t>at</w:t>
      </w:r>
      <w:r w:rsidR="002D2562">
        <w:rPr>
          <w:spacing w:val="-3"/>
        </w:rPr>
        <w:t xml:space="preserve"> </w:t>
      </w:r>
      <w:r w:rsidR="002D2562">
        <w:t>the</w:t>
      </w:r>
      <w:r w:rsidR="002D2562">
        <w:rPr>
          <w:spacing w:val="-2"/>
        </w:rPr>
        <w:t xml:space="preserve"> </w:t>
      </w:r>
      <w:r w:rsidR="002D2562">
        <w:t>date</w:t>
      </w:r>
      <w:r w:rsidR="002D2562">
        <w:rPr>
          <w:spacing w:val="-2"/>
        </w:rPr>
        <w:t xml:space="preserve"> </w:t>
      </w:r>
      <w:r w:rsidR="002D2562">
        <w:t>of</w:t>
      </w:r>
      <w:r w:rsidR="002D2562">
        <w:rPr>
          <w:spacing w:val="-3"/>
        </w:rPr>
        <w:t xml:space="preserve"> </w:t>
      </w:r>
      <w:r w:rsidR="002D2562">
        <w:t>the</w:t>
      </w:r>
      <w:r w:rsidR="002D2562">
        <w:rPr>
          <w:spacing w:val="-2"/>
        </w:rPr>
        <w:t xml:space="preserve"> </w:t>
      </w:r>
      <w:r w:rsidR="002D2562">
        <w:t>trial, LC</w:t>
      </w:r>
      <w:r w:rsidR="002D2562">
        <w:rPr>
          <w:spacing w:val="-2"/>
        </w:rPr>
        <w:t xml:space="preserve"> </w:t>
      </w:r>
      <w:r w:rsidR="002D2562">
        <w:t>remained</w:t>
      </w:r>
      <w:r w:rsidR="002D2562">
        <w:rPr>
          <w:spacing w:val="-2"/>
        </w:rPr>
        <w:t xml:space="preserve"> </w:t>
      </w:r>
      <w:r w:rsidR="002D2562">
        <w:t>in</w:t>
      </w:r>
      <w:r w:rsidR="002D2562">
        <w:rPr>
          <w:spacing w:val="-2"/>
        </w:rPr>
        <w:t xml:space="preserve"> </w:t>
      </w:r>
      <w:r w:rsidR="002D2562">
        <w:t>the</w:t>
      </w:r>
      <w:r w:rsidR="002D2562">
        <w:rPr>
          <w:spacing w:val="-2"/>
        </w:rPr>
        <w:t xml:space="preserve"> </w:t>
      </w:r>
      <w:r w:rsidR="002D2562">
        <w:t>same</w:t>
      </w:r>
      <w:r w:rsidR="002D2562">
        <w:rPr>
          <w:spacing w:val="-2"/>
        </w:rPr>
        <w:t xml:space="preserve"> </w:t>
      </w:r>
      <w:r w:rsidR="002D2562">
        <w:t>car, and</w:t>
      </w:r>
      <w:r w:rsidR="002D2562">
        <w:rPr>
          <w:spacing w:val="-2"/>
        </w:rPr>
        <w:t xml:space="preserve"> </w:t>
      </w:r>
      <w:r w:rsidR="002D2562">
        <w:t>could not afford to purchase a new car.</w:t>
      </w:r>
    </w:p>
    <w:p w14:paraId="15DE78BC" w14:textId="05EECE50" w:rsidR="00A96819" w:rsidRDefault="007C3488" w:rsidP="007C3488">
      <w:pPr>
        <w:pStyle w:val="ParaNumbering"/>
        <w:numPr>
          <w:ilvl w:val="0"/>
          <w:numId w:val="0"/>
        </w:numPr>
        <w:ind w:hanging="720"/>
      </w:pPr>
      <w:r>
        <w:rPr>
          <w:sz w:val="20"/>
        </w:rPr>
        <w:t>23</w:t>
      </w:r>
      <w:r>
        <w:rPr>
          <w:sz w:val="20"/>
        </w:rPr>
        <w:tab/>
      </w:r>
      <w:r w:rsidR="00B73A59">
        <w:t>I found that Mazda made six false representation</w:t>
      </w:r>
      <w:r w:rsidR="004D2209">
        <w:t>s</w:t>
      </w:r>
      <w:r w:rsidR="00B73A59">
        <w:t xml:space="preserve"> to LC in four telephone calls with her.  LC had at least eight conversations with Mazda representatives throughout the relevant period, as well as contact by email and many further exchanges with the Mazda dealer. </w:t>
      </w:r>
    </w:p>
    <w:p w14:paraId="07E5E7CA" w14:textId="7C8142DB" w:rsidR="009E34A1" w:rsidRDefault="007C3488" w:rsidP="007C3488">
      <w:pPr>
        <w:pStyle w:val="ParaNumbering"/>
        <w:numPr>
          <w:ilvl w:val="0"/>
          <w:numId w:val="0"/>
        </w:numPr>
        <w:ind w:hanging="720"/>
      </w:pPr>
      <w:r>
        <w:rPr>
          <w:sz w:val="20"/>
        </w:rPr>
        <w:t>24</w:t>
      </w:r>
      <w:r>
        <w:rPr>
          <w:sz w:val="20"/>
        </w:rPr>
        <w:tab/>
      </w:r>
      <w:r w:rsidR="00832CBD">
        <w:t>I also found that:</w:t>
      </w:r>
    </w:p>
    <w:p w14:paraId="506F4FE1" w14:textId="53E46847" w:rsidR="00832CBD" w:rsidRDefault="007C3488" w:rsidP="007C3488">
      <w:pPr>
        <w:pStyle w:val="ListNo1alt"/>
        <w:numPr>
          <w:ilvl w:val="0"/>
          <w:numId w:val="0"/>
        </w:numPr>
        <w:tabs>
          <w:tab w:val="left" w:pos="720"/>
        </w:tabs>
        <w:ind w:left="720" w:hanging="720"/>
      </w:pPr>
      <w:r>
        <w:t>(a)</w:t>
      </w:r>
      <w:r>
        <w:tab/>
      </w:r>
      <w:r w:rsidR="00CC76D6">
        <w:t xml:space="preserve">there was no evidence that anyone at Mazda ever gave LC’s request for a vehicle any apparent consideration, which was surely warranted in circumstances where the transmission had failed after four </w:t>
      </w:r>
      <w:r w:rsidR="00C17348">
        <w:t>months,</w:t>
      </w:r>
      <w:r w:rsidR="00CC76D6">
        <w:t xml:space="preserve"> and Mazda had noted it as an </w:t>
      </w:r>
      <w:r w:rsidR="00B33F49">
        <w:t>“</w:t>
      </w:r>
      <w:r w:rsidR="00CC76D6">
        <w:t>ACL</w:t>
      </w:r>
      <w:r w:rsidR="00B33F49">
        <w:t>”</w:t>
      </w:r>
      <w:r w:rsidR="00CC76D6">
        <w:t xml:space="preserve"> failure</w:t>
      </w:r>
      <w:r w:rsidR="00532DF2">
        <w:t xml:space="preserve"> (</w:t>
      </w:r>
      <w:r w:rsidR="00C17348">
        <w:t>Liability Judgment</w:t>
      </w:r>
      <w:r w:rsidR="00CC76D6">
        <w:t xml:space="preserve"> [823]</w:t>
      </w:r>
      <w:proofErr w:type="gramStart"/>
      <w:r w:rsidR="00B33F49">
        <w:t>)</w:t>
      </w:r>
      <w:r w:rsidR="00CC76D6">
        <w:t>;</w:t>
      </w:r>
      <w:proofErr w:type="gramEnd"/>
    </w:p>
    <w:p w14:paraId="23C1E582" w14:textId="607DC466" w:rsidR="00CC76D6" w:rsidRDefault="007C3488" w:rsidP="007C3488">
      <w:pPr>
        <w:pStyle w:val="ListNo1alt"/>
        <w:numPr>
          <w:ilvl w:val="0"/>
          <w:numId w:val="0"/>
        </w:numPr>
        <w:tabs>
          <w:tab w:val="left" w:pos="720"/>
        </w:tabs>
        <w:ind w:left="720" w:hanging="720"/>
      </w:pPr>
      <w:r>
        <w:t>(b)</w:t>
      </w:r>
      <w:r>
        <w:tab/>
      </w:r>
      <w:r w:rsidR="00CC76D6">
        <w:t>LC was subject to appalling customer service</w:t>
      </w:r>
      <w:r w:rsidR="001D731B">
        <w:t xml:space="preserve"> (</w:t>
      </w:r>
      <w:r w:rsidR="00CB3B4B">
        <w:t>Liability Judgment</w:t>
      </w:r>
      <w:r w:rsidR="002B7806">
        <w:t xml:space="preserve"> [855]</w:t>
      </w:r>
      <w:r w:rsidR="001D731B">
        <w:t>)</w:t>
      </w:r>
      <w:r w:rsidR="002B7806">
        <w:t>; and</w:t>
      </w:r>
    </w:p>
    <w:p w14:paraId="42857339" w14:textId="4B1ADC2F" w:rsidR="002B7806" w:rsidRDefault="007C3488" w:rsidP="007C3488">
      <w:pPr>
        <w:pStyle w:val="ListNo1alt"/>
        <w:numPr>
          <w:ilvl w:val="0"/>
          <w:numId w:val="0"/>
        </w:numPr>
        <w:tabs>
          <w:tab w:val="left" w:pos="720"/>
        </w:tabs>
        <w:ind w:left="720" w:hanging="720"/>
      </w:pPr>
      <w:r>
        <w:t>(c)</w:t>
      </w:r>
      <w:r>
        <w:tab/>
      </w:r>
      <w:r w:rsidR="002B7806">
        <w:t>LC was justified in remaining disappointed and frustrated at the outcome to which she agreed</w:t>
      </w:r>
      <w:r w:rsidR="001D731B">
        <w:t xml:space="preserve"> (</w:t>
      </w:r>
      <w:r w:rsidR="00CB3B4B">
        <w:t>Liability Judgment</w:t>
      </w:r>
      <w:r w:rsidR="00C5378F">
        <w:t xml:space="preserve"> [855]</w:t>
      </w:r>
      <w:r w:rsidR="00F11368">
        <w:t>)</w:t>
      </w:r>
      <w:r w:rsidR="00C5378F">
        <w:t>.</w:t>
      </w:r>
    </w:p>
    <w:p w14:paraId="211BE2CB" w14:textId="272C1A29" w:rsidR="008A48E6" w:rsidRDefault="008A48E6" w:rsidP="00AA13E5">
      <w:pPr>
        <w:pStyle w:val="Heading2"/>
      </w:pPr>
      <w:r>
        <w:t>Consumer EG</w:t>
      </w:r>
    </w:p>
    <w:p w14:paraId="2BF34B39" w14:textId="3545A013" w:rsidR="00AD3BC0" w:rsidRPr="00AD3BC0" w:rsidRDefault="007C3488" w:rsidP="007C3488">
      <w:pPr>
        <w:pStyle w:val="ParaNumbering"/>
        <w:numPr>
          <w:ilvl w:val="0"/>
          <w:numId w:val="0"/>
        </w:numPr>
        <w:ind w:hanging="720"/>
      </w:pPr>
      <w:r w:rsidRPr="00AD3BC0">
        <w:rPr>
          <w:sz w:val="20"/>
        </w:rPr>
        <w:t>25</w:t>
      </w:r>
      <w:r w:rsidRPr="00AD3BC0">
        <w:rPr>
          <w:sz w:val="20"/>
        </w:rPr>
        <w:tab/>
      </w:r>
      <w:r w:rsidR="00C5378F">
        <w:t xml:space="preserve">In December 2014, </w:t>
      </w:r>
      <w:r w:rsidR="00AD3BC0" w:rsidRPr="00AD3BC0">
        <w:t>EG purchased a Mazda2 for $17,350, less</w:t>
      </w:r>
      <w:r w:rsidR="00437AA2">
        <w:t xml:space="preserve"> a</w:t>
      </w:r>
      <w:r w:rsidR="00AD3BC0" w:rsidRPr="00AD3BC0">
        <w:t xml:space="preserve"> $4,000 trade-in from West End Mazda, Blacktown, NSW. </w:t>
      </w:r>
      <w:r w:rsidR="002812AB">
        <w:t xml:space="preserve"> </w:t>
      </w:r>
      <w:r w:rsidR="00AD3BC0" w:rsidRPr="00AD3BC0">
        <w:t xml:space="preserve">The issues included the car going into “rough idle”, an issue which began several weeks after purchase, and limp mode, a problem which began in February 2018. </w:t>
      </w:r>
      <w:r w:rsidR="00BC7C1A">
        <w:t xml:space="preserve"> </w:t>
      </w:r>
      <w:r w:rsidR="00AD3BC0" w:rsidRPr="00AD3BC0">
        <w:t xml:space="preserve">She left her car at a Mazda dealer for repairs in early July 2018. </w:t>
      </w:r>
      <w:r w:rsidR="006F68D8">
        <w:t xml:space="preserve"> </w:t>
      </w:r>
      <w:r w:rsidR="00AD3BC0" w:rsidRPr="00AD3BC0">
        <w:t xml:space="preserve">Mazda told the dealer that the </w:t>
      </w:r>
      <w:r w:rsidR="00AD3BC0" w:rsidRPr="00AD3BC0">
        <w:lastRenderedPageBreak/>
        <w:t xml:space="preserve">rough idle was a “known concern” and the issue was “currently under investigation”. </w:t>
      </w:r>
      <w:r w:rsidR="006F68D8">
        <w:t xml:space="preserve"> </w:t>
      </w:r>
      <w:r w:rsidR="00AD3BC0" w:rsidRPr="00AD3BC0">
        <w:t xml:space="preserve">In July 2018 and internally within Mazda, a Mazda case manager was instructed to contact EG. </w:t>
      </w:r>
      <w:r w:rsidR="00524C92">
        <w:t xml:space="preserve"> </w:t>
      </w:r>
      <w:r w:rsidR="00AD3BC0" w:rsidRPr="00AD3BC0">
        <w:t xml:space="preserve">She remained without her car for months. </w:t>
      </w:r>
      <w:r w:rsidR="006F68D8">
        <w:t xml:space="preserve"> </w:t>
      </w:r>
      <w:r w:rsidR="00AD3BC0" w:rsidRPr="00AD3BC0">
        <w:t xml:space="preserve">On 30 October 2018, whilst still without her car, it was found that she rejected it. </w:t>
      </w:r>
      <w:r w:rsidR="006F68D8">
        <w:t xml:space="preserve"> </w:t>
      </w:r>
      <w:r w:rsidR="00AD3BC0" w:rsidRPr="00AD3BC0">
        <w:t xml:space="preserve">She rejected the vehicle and asked again for a new vehicle on 5 November 2018. </w:t>
      </w:r>
      <w:r w:rsidR="006F68D8">
        <w:t xml:space="preserve"> </w:t>
      </w:r>
      <w:r w:rsidR="00AD3BC0" w:rsidRPr="00AD3BC0">
        <w:t xml:space="preserve">On 9 November 2018, the engine was replaced. </w:t>
      </w:r>
      <w:r w:rsidR="006F68D8">
        <w:t xml:space="preserve"> </w:t>
      </w:r>
      <w:r w:rsidR="00AD3BC0" w:rsidRPr="00AD3BC0">
        <w:t>However, Mazda’s executive panel rejected EG’s request for a new car, made on the basis that she had lost faith in the durability of the vehicle (noted in Mazda’s record), even though the information before it disclosed that she had been without her car “for over 4 months”, that a “solution to the problem could not be found”, that many repairs had been attempted “with no</w:t>
      </w:r>
      <w:r w:rsidR="00BE2A7E">
        <w:t xml:space="preserve"> </w:t>
      </w:r>
      <w:r w:rsidR="00BE2A7E" w:rsidRPr="008F5EBF">
        <w:t>positive outcome</w:t>
      </w:r>
      <w:r w:rsidR="00BE2A7E" w:rsidRPr="00BE2A7E">
        <w:t xml:space="preserve">” and that the engine had been replaced. </w:t>
      </w:r>
      <w:r w:rsidR="00825297">
        <w:t xml:space="preserve"> </w:t>
      </w:r>
      <w:r w:rsidR="00BE2A7E" w:rsidRPr="00BE2A7E">
        <w:t>The panel concluded (absent any reasoning or reference to the ACL), “</w:t>
      </w:r>
      <w:r w:rsidR="0064125D">
        <w:t>[a]</w:t>
      </w:r>
      <w:r w:rsidR="00BE2A7E" w:rsidRPr="008F5EBF">
        <w:t>greed unable to offer replacement vehicle. Offer extended warranty</w:t>
      </w:r>
      <w:r w:rsidR="00BE2A7E" w:rsidRPr="00BE2A7E">
        <w:t xml:space="preserve">”. </w:t>
      </w:r>
      <w:r w:rsidR="0024455C">
        <w:t xml:space="preserve"> </w:t>
      </w:r>
      <w:r w:rsidR="00BE2A7E" w:rsidRPr="00BE2A7E">
        <w:t xml:space="preserve">EG instituted NCAT proceedings </w:t>
      </w:r>
      <w:r w:rsidR="000343DF">
        <w:t xml:space="preserve">in </w:t>
      </w:r>
      <w:r w:rsidR="00BE2A7E" w:rsidRPr="00BE2A7E">
        <w:t xml:space="preserve">January 2019. </w:t>
      </w:r>
      <w:r w:rsidR="0024455C">
        <w:t xml:space="preserve"> </w:t>
      </w:r>
      <w:r w:rsidR="00BE2A7E" w:rsidRPr="00BE2A7E">
        <w:t xml:space="preserve">On 5 February 2019, in advance of the NCAT conciliation, the executive panel resolved to offer EG $500. </w:t>
      </w:r>
      <w:r w:rsidR="0024455C">
        <w:t xml:space="preserve"> </w:t>
      </w:r>
      <w:r w:rsidR="00BE2A7E" w:rsidRPr="00BE2A7E">
        <w:t>On the day of the NCAT hearing in February 2019, the matter was resolved with EG accepting $303 (less than the $500 Mazda had internally agreed to offer).  She subsequently traded in the vehicle for</w:t>
      </w:r>
      <w:r w:rsidR="00BE2A7E">
        <w:t xml:space="preserve"> </w:t>
      </w:r>
      <w:r w:rsidR="00BE2A7E" w:rsidRPr="00BE2A7E">
        <w:t>$7,500.</w:t>
      </w:r>
    </w:p>
    <w:p w14:paraId="139B59A5" w14:textId="6E89BDDC" w:rsidR="00C5378F" w:rsidRDefault="007C3488" w:rsidP="007C3488">
      <w:pPr>
        <w:pStyle w:val="ParaNumbering"/>
        <w:numPr>
          <w:ilvl w:val="0"/>
          <w:numId w:val="0"/>
        </w:numPr>
        <w:ind w:hanging="720"/>
      </w:pPr>
      <w:r>
        <w:rPr>
          <w:sz w:val="20"/>
        </w:rPr>
        <w:t>26</w:t>
      </w:r>
      <w:r>
        <w:rPr>
          <w:sz w:val="20"/>
        </w:rPr>
        <w:tab/>
      </w:r>
      <w:r w:rsidR="00BE2A7E">
        <w:t xml:space="preserve">I found that Mazda made two false representations to EG in one telephone call and one letter.  EG had at least 17 conversations with Mazda representatives from 17 July 2018 to 27 November 2018, as well as many communications with the dealer, written communications with Mazda, and exchanges during the NCAT proceedings. </w:t>
      </w:r>
    </w:p>
    <w:p w14:paraId="15F78772" w14:textId="653AAAFF" w:rsidR="007A7BFA" w:rsidRDefault="007C3488" w:rsidP="007C3488">
      <w:pPr>
        <w:pStyle w:val="ParaNumbering"/>
        <w:numPr>
          <w:ilvl w:val="0"/>
          <w:numId w:val="0"/>
        </w:numPr>
        <w:ind w:hanging="720"/>
      </w:pPr>
      <w:bookmarkStart w:id="34" w:name="_Ref158017327"/>
      <w:r>
        <w:rPr>
          <w:sz w:val="20"/>
        </w:rPr>
        <w:t>27</w:t>
      </w:r>
      <w:r>
        <w:rPr>
          <w:sz w:val="20"/>
        </w:rPr>
        <w:tab/>
      </w:r>
      <w:r w:rsidR="007A7BFA">
        <w:t>I further found that:</w:t>
      </w:r>
      <w:bookmarkEnd w:id="34"/>
    </w:p>
    <w:p w14:paraId="5413D730" w14:textId="4C2C941B" w:rsidR="007A7BFA" w:rsidRDefault="007C3488" w:rsidP="007C3488">
      <w:pPr>
        <w:pStyle w:val="ListNo1alt"/>
        <w:numPr>
          <w:ilvl w:val="0"/>
          <w:numId w:val="0"/>
        </w:numPr>
        <w:tabs>
          <w:tab w:val="left" w:pos="720"/>
        </w:tabs>
        <w:ind w:left="720" w:hanging="720"/>
      </w:pPr>
      <w:r>
        <w:t>(a)</w:t>
      </w:r>
      <w:r>
        <w:tab/>
      </w:r>
      <w:r w:rsidR="007A7BFA">
        <w:t>there was no evidence Mazda ever assessed EG’s requests for a replacement vehicle by reference to the consumer guarantee provisions of the ACL</w:t>
      </w:r>
      <w:r w:rsidR="00B6708F">
        <w:t xml:space="preserve"> (</w:t>
      </w:r>
      <w:r w:rsidR="00375E1A">
        <w:t>Liability Judgment</w:t>
      </w:r>
      <w:r w:rsidR="007A7BFA">
        <w:t xml:space="preserve"> [938]</w:t>
      </w:r>
      <w:proofErr w:type="gramStart"/>
      <w:r w:rsidR="00B6708F">
        <w:t>)</w:t>
      </w:r>
      <w:r w:rsidR="00DC34B2">
        <w:t>;</w:t>
      </w:r>
      <w:proofErr w:type="gramEnd"/>
    </w:p>
    <w:p w14:paraId="18331DD0" w14:textId="77928CB3" w:rsidR="007A7BFA" w:rsidRDefault="007C3488" w:rsidP="007C3488">
      <w:pPr>
        <w:pStyle w:val="ListNo1alt"/>
        <w:numPr>
          <w:ilvl w:val="0"/>
          <w:numId w:val="0"/>
        </w:numPr>
        <w:tabs>
          <w:tab w:val="left" w:pos="720"/>
        </w:tabs>
        <w:ind w:left="720" w:hanging="720"/>
      </w:pPr>
      <w:r>
        <w:t>(b)</w:t>
      </w:r>
      <w:r>
        <w:tab/>
      </w:r>
      <w:r w:rsidR="007A7BFA">
        <w:t>EG ended up with a “poor customer outcome”, and was justified in feeling worn down and worn out by being given the “run around”</w:t>
      </w:r>
      <w:r w:rsidR="00BE42B5">
        <w:t xml:space="preserve"> (</w:t>
      </w:r>
      <w:r w:rsidR="00C9641E">
        <w:t xml:space="preserve">Liability Judgment </w:t>
      </w:r>
      <w:r w:rsidR="007A7BFA">
        <w:t>[956]</w:t>
      </w:r>
      <w:r w:rsidR="00BE42B5">
        <w:t>)</w:t>
      </w:r>
      <w:r w:rsidR="007A7BFA">
        <w:t>;</w:t>
      </w:r>
      <w:r w:rsidR="002A2BA3">
        <w:t xml:space="preserve"> </w:t>
      </w:r>
      <w:r w:rsidR="00C9641E">
        <w:t>and</w:t>
      </w:r>
    </w:p>
    <w:p w14:paraId="618FCF27" w14:textId="1226DA54" w:rsidR="008A48E6" w:rsidRPr="008A48E6" w:rsidRDefault="007C3488" w:rsidP="007C3488">
      <w:pPr>
        <w:pStyle w:val="ListNo1alt"/>
        <w:numPr>
          <w:ilvl w:val="0"/>
          <w:numId w:val="0"/>
        </w:numPr>
        <w:tabs>
          <w:tab w:val="left" w:pos="720"/>
        </w:tabs>
        <w:ind w:left="720" w:hanging="720"/>
      </w:pPr>
      <w:r w:rsidRPr="008A48E6">
        <w:t>(c)</w:t>
      </w:r>
      <w:r w:rsidRPr="008A48E6">
        <w:tab/>
      </w:r>
      <w:r w:rsidR="007A7BFA">
        <w:t>EG was subject to appalling customer service</w:t>
      </w:r>
      <w:r w:rsidR="00F23EDD">
        <w:t xml:space="preserve"> (</w:t>
      </w:r>
      <w:r w:rsidR="00C9641E">
        <w:t xml:space="preserve">Liability Judgment </w:t>
      </w:r>
      <w:r w:rsidR="007A7BFA">
        <w:t>[956]</w:t>
      </w:r>
      <w:r w:rsidR="00F23EDD">
        <w:t>)</w:t>
      </w:r>
      <w:r w:rsidR="007A7BFA">
        <w:t>.</w:t>
      </w:r>
    </w:p>
    <w:p w14:paraId="457DD880" w14:textId="0502517C" w:rsidR="00541F0A" w:rsidRDefault="007C3488" w:rsidP="00AA13E5">
      <w:pPr>
        <w:pStyle w:val="Heading1"/>
      </w:pPr>
      <w:r>
        <w:rPr>
          <w:caps w:val="0"/>
        </w:rPr>
        <w:t>ADDITIONAL EVIDENCE</w:t>
      </w:r>
    </w:p>
    <w:p w14:paraId="4CDEF4BF" w14:textId="29ADF899" w:rsidR="00C95F78" w:rsidRDefault="007C3488" w:rsidP="007C3488">
      <w:pPr>
        <w:pStyle w:val="ParaNumbering"/>
        <w:numPr>
          <w:ilvl w:val="0"/>
          <w:numId w:val="0"/>
        </w:numPr>
        <w:ind w:hanging="720"/>
      </w:pPr>
      <w:r>
        <w:rPr>
          <w:sz w:val="20"/>
        </w:rPr>
        <w:t>28</w:t>
      </w:r>
      <w:r>
        <w:rPr>
          <w:sz w:val="20"/>
        </w:rPr>
        <w:tab/>
      </w:r>
      <w:r w:rsidR="00C95F78">
        <w:t xml:space="preserve">The only additional evidence before me on the question of relief </w:t>
      </w:r>
      <w:r w:rsidR="00F860A9">
        <w:t xml:space="preserve">concerned changes made to Mazda’s system in dealing with customer complaints and evidence </w:t>
      </w:r>
      <w:r w:rsidR="00CE39A3">
        <w:t xml:space="preserve">in relation to the financial position of Mazda and </w:t>
      </w:r>
      <w:r w:rsidR="00802C8F">
        <w:t xml:space="preserve">its parent company, </w:t>
      </w:r>
      <w:r w:rsidR="00CE39A3">
        <w:t xml:space="preserve">Mazda </w:t>
      </w:r>
      <w:r w:rsidR="00B95F2C">
        <w:t>Motor Corporation</w:t>
      </w:r>
      <w:r w:rsidR="00CE39A3">
        <w:t>.  That evidence was contained in the affidavits of</w:t>
      </w:r>
      <w:r w:rsidR="00877CB4">
        <w:t>:</w:t>
      </w:r>
    </w:p>
    <w:p w14:paraId="2647FD5A" w14:textId="27F97FF1" w:rsidR="00877CB4" w:rsidRDefault="007C3488" w:rsidP="007C3488">
      <w:pPr>
        <w:pStyle w:val="ListNo1alt"/>
        <w:numPr>
          <w:ilvl w:val="0"/>
          <w:numId w:val="0"/>
        </w:numPr>
        <w:tabs>
          <w:tab w:val="left" w:pos="720"/>
        </w:tabs>
        <w:ind w:left="720" w:hanging="720"/>
      </w:pPr>
      <w:r>
        <w:lastRenderedPageBreak/>
        <w:t>(a)</w:t>
      </w:r>
      <w:r>
        <w:tab/>
      </w:r>
      <w:r w:rsidR="000719F4">
        <w:t>Andrew John Christopher</w:t>
      </w:r>
      <w:r w:rsidR="00EC26F8">
        <w:t xml:space="preserve">, partner of Webb Henderson and </w:t>
      </w:r>
      <w:r w:rsidR="00DB1CBE">
        <w:t xml:space="preserve">solicitor </w:t>
      </w:r>
      <w:r w:rsidR="0068223B">
        <w:t>for the ACCC,</w:t>
      </w:r>
      <w:r w:rsidR="000719F4">
        <w:t xml:space="preserve"> sworn on 30 June </w:t>
      </w:r>
      <w:proofErr w:type="gramStart"/>
      <w:r w:rsidR="000719F4">
        <w:t>2023</w:t>
      </w:r>
      <w:r w:rsidR="0068223B">
        <w:t>;</w:t>
      </w:r>
      <w:proofErr w:type="gramEnd"/>
    </w:p>
    <w:p w14:paraId="03B5D845" w14:textId="1AB189A0" w:rsidR="0068223B" w:rsidRDefault="007C3488" w:rsidP="007C3488">
      <w:pPr>
        <w:pStyle w:val="ListNo1alt"/>
        <w:numPr>
          <w:ilvl w:val="0"/>
          <w:numId w:val="0"/>
        </w:numPr>
        <w:tabs>
          <w:tab w:val="left" w:pos="720"/>
        </w:tabs>
        <w:ind w:left="720" w:hanging="720"/>
      </w:pPr>
      <w:r>
        <w:t>(b)</w:t>
      </w:r>
      <w:r>
        <w:tab/>
      </w:r>
      <w:r w:rsidR="0068223B">
        <w:t>Kathryn Edghill</w:t>
      </w:r>
      <w:r w:rsidR="006E7338">
        <w:t>,</w:t>
      </w:r>
      <w:r w:rsidR="00EC26F8">
        <w:t xml:space="preserve"> partner of Mills Oakley and </w:t>
      </w:r>
      <w:r w:rsidR="006E7338">
        <w:t>solicitor for Mazda</w:t>
      </w:r>
      <w:r w:rsidR="00EC26F8">
        <w:t>,</w:t>
      </w:r>
      <w:r w:rsidR="006E7338">
        <w:t xml:space="preserve"> </w:t>
      </w:r>
      <w:r w:rsidR="00826632">
        <w:t xml:space="preserve">affirmed on 1 December </w:t>
      </w:r>
      <w:proofErr w:type="gramStart"/>
      <w:r w:rsidR="00826632">
        <w:t>2023;</w:t>
      </w:r>
      <w:proofErr w:type="gramEnd"/>
    </w:p>
    <w:p w14:paraId="3D0EF741" w14:textId="1728FE54" w:rsidR="00826632" w:rsidRDefault="007C3488" w:rsidP="007C3488">
      <w:pPr>
        <w:pStyle w:val="ListNo1alt"/>
        <w:numPr>
          <w:ilvl w:val="0"/>
          <w:numId w:val="0"/>
        </w:numPr>
        <w:tabs>
          <w:tab w:val="left" w:pos="720"/>
        </w:tabs>
        <w:ind w:left="720" w:hanging="720"/>
      </w:pPr>
      <w:r>
        <w:t>(c)</w:t>
      </w:r>
      <w:r>
        <w:tab/>
      </w:r>
      <w:r w:rsidR="00882E13">
        <w:t>Michael John Robins, Head of Legal</w:t>
      </w:r>
      <w:r w:rsidR="001F1F24">
        <w:t xml:space="preserve"> and General Counsel</w:t>
      </w:r>
      <w:r w:rsidR="00882E13">
        <w:t xml:space="preserve"> </w:t>
      </w:r>
      <w:r w:rsidR="001F1F24">
        <w:t>f</w:t>
      </w:r>
      <w:r w:rsidR="008D7C83">
        <w:t xml:space="preserve">or </w:t>
      </w:r>
      <w:r w:rsidR="00882E13">
        <w:t>Mazda, affirmed on 2</w:t>
      </w:r>
      <w:r w:rsidR="009F2D4F">
        <w:t>2</w:t>
      </w:r>
      <w:r w:rsidR="00882E13">
        <w:t xml:space="preserve"> August </w:t>
      </w:r>
      <w:proofErr w:type="gramStart"/>
      <w:r w:rsidR="00882E13">
        <w:t>2023;</w:t>
      </w:r>
      <w:proofErr w:type="gramEnd"/>
    </w:p>
    <w:p w14:paraId="5197EF4C" w14:textId="23588D14" w:rsidR="00882E13" w:rsidRDefault="007C3488" w:rsidP="007C3488">
      <w:pPr>
        <w:pStyle w:val="ListNo1alt"/>
        <w:numPr>
          <w:ilvl w:val="0"/>
          <w:numId w:val="0"/>
        </w:numPr>
        <w:tabs>
          <w:tab w:val="left" w:pos="720"/>
        </w:tabs>
        <w:ind w:left="720" w:hanging="720"/>
      </w:pPr>
      <w:r>
        <w:t>(d)</w:t>
      </w:r>
      <w:r>
        <w:tab/>
      </w:r>
      <w:r w:rsidR="00882E13">
        <w:t xml:space="preserve">Michael John Robins affirmed on </w:t>
      </w:r>
      <w:r w:rsidR="0018700F">
        <w:t>28 November 2023; and</w:t>
      </w:r>
    </w:p>
    <w:p w14:paraId="5AB09015" w14:textId="4F6651AF" w:rsidR="0018700F" w:rsidRDefault="007C3488" w:rsidP="007C3488">
      <w:pPr>
        <w:pStyle w:val="ListNo1alt"/>
        <w:numPr>
          <w:ilvl w:val="0"/>
          <w:numId w:val="0"/>
        </w:numPr>
        <w:tabs>
          <w:tab w:val="left" w:pos="720"/>
        </w:tabs>
        <w:ind w:left="720" w:hanging="720"/>
      </w:pPr>
      <w:r>
        <w:t>(e)</w:t>
      </w:r>
      <w:r>
        <w:tab/>
      </w:r>
      <w:r w:rsidR="0018700F">
        <w:t xml:space="preserve">Michael John Robins affirmed on </w:t>
      </w:r>
      <w:r w:rsidR="00624D15">
        <w:t>30 November 2023.</w:t>
      </w:r>
    </w:p>
    <w:p w14:paraId="4821B777" w14:textId="6278CD3C" w:rsidR="00250B76" w:rsidRDefault="007C3488" w:rsidP="007C3488">
      <w:pPr>
        <w:pStyle w:val="ParaNumbering"/>
        <w:numPr>
          <w:ilvl w:val="0"/>
          <w:numId w:val="0"/>
        </w:numPr>
        <w:ind w:hanging="720"/>
      </w:pPr>
      <w:r>
        <w:rPr>
          <w:sz w:val="20"/>
        </w:rPr>
        <w:t>29</w:t>
      </w:r>
      <w:r>
        <w:rPr>
          <w:sz w:val="20"/>
        </w:rPr>
        <w:tab/>
      </w:r>
      <w:r w:rsidR="00986FC0">
        <w:t xml:space="preserve">Mr Robins </w:t>
      </w:r>
      <w:r w:rsidR="009D2B40">
        <w:t xml:space="preserve">gave evidence </w:t>
      </w:r>
      <w:r w:rsidR="00F40020">
        <w:t xml:space="preserve">about </w:t>
      </w:r>
      <w:r w:rsidR="00986FC0">
        <w:t xml:space="preserve">changes to Mazda’s </w:t>
      </w:r>
      <w:r w:rsidR="00A70F3C">
        <w:t xml:space="preserve">consumer complaints process since </w:t>
      </w:r>
      <w:r w:rsidR="006B5B3C">
        <w:t xml:space="preserve">the </w:t>
      </w:r>
      <w:r w:rsidR="00A70F3C">
        <w:t xml:space="preserve">publication of </w:t>
      </w:r>
      <w:r w:rsidR="00C4153B">
        <w:t>the</w:t>
      </w:r>
      <w:r w:rsidR="00A70F3C">
        <w:t xml:space="preserve"> Liability </w:t>
      </w:r>
      <w:r w:rsidR="00C9338A">
        <w:t>Judgment</w:t>
      </w:r>
      <w:r w:rsidR="00E958ED">
        <w:t xml:space="preserve"> and </w:t>
      </w:r>
      <w:r w:rsidR="00F40020">
        <w:t xml:space="preserve">the making of the </w:t>
      </w:r>
      <w:r w:rsidR="00E958ED">
        <w:t>Declarations</w:t>
      </w:r>
      <w:r w:rsidR="00A70F3C">
        <w:t>.</w:t>
      </w:r>
      <w:r w:rsidR="005F5558">
        <w:t xml:space="preserve">  </w:t>
      </w:r>
      <w:r w:rsidR="0032613D">
        <w:t>Mr Robin</w:t>
      </w:r>
      <w:r w:rsidR="005E3C46">
        <w:t>s’</w:t>
      </w:r>
      <w:r w:rsidR="00C72D7A">
        <w:t xml:space="preserve"> </w:t>
      </w:r>
      <w:r w:rsidR="005E3C46">
        <w:t>evidence</w:t>
      </w:r>
      <w:r w:rsidR="00D75294">
        <w:t xml:space="preserve"> was that Mazda has made </w:t>
      </w:r>
      <w:r w:rsidR="004C6D21">
        <w:t>significant</w:t>
      </w:r>
      <w:r w:rsidR="00F2003F">
        <w:t xml:space="preserve"> structural changes</w:t>
      </w:r>
      <w:r w:rsidR="00524460">
        <w:t xml:space="preserve"> </w:t>
      </w:r>
      <w:r w:rsidR="00C81F23">
        <w:t xml:space="preserve">to the way in which </w:t>
      </w:r>
      <w:r w:rsidR="0048062C">
        <w:t>c</w:t>
      </w:r>
      <w:r w:rsidR="00636BFD">
        <w:t>ustomer</w:t>
      </w:r>
      <w:r w:rsidR="0048062C">
        <w:t xml:space="preserve"> </w:t>
      </w:r>
      <w:r w:rsidR="005E3C46">
        <w:t>complaints</w:t>
      </w:r>
      <w:r w:rsidR="00795B59">
        <w:t xml:space="preserve"> and requests for </w:t>
      </w:r>
      <w:r w:rsidR="00434294">
        <w:t xml:space="preserve">repair, </w:t>
      </w:r>
      <w:r w:rsidR="00795B59">
        <w:t>refund or replacement</w:t>
      </w:r>
      <w:r w:rsidR="00866776">
        <w:t xml:space="preserve"> are assessed</w:t>
      </w:r>
      <w:r w:rsidR="00CD41A3">
        <w:t>.</w:t>
      </w:r>
      <w:r w:rsidR="0048062C">
        <w:t xml:space="preserve"> </w:t>
      </w:r>
      <w:r w:rsidR="00866776">
        <w:t xml:space="preserve"> </w:t>
      </w:r>
      <w:r w:rsidR="00871122">
        <w:t>Mr Robins deposed that, f</w:t>
      </w:r>
      <w:r w:rsidR="00000462">
        <w:t xml:space="preserve">ollowing </w:t>
      </w:r>
      <w:r w:rsidR="002C08E3">
        <w:t>the</w:t>
      </w:r>
      <w:r w:rsidR="00000462">
        <w:t xml:space="preserve"> contravention findings, </w:t>
      </w:r>
      <w:r w:rsidR="00871122">
        <w:t>he</w:t>
      </w:r>
      <w:r w:rsidR="004774CC">
        <w:t xml:space="preserve"> undertook a detailed review</w:t>
      </w:r>
      <w:r w:rsidR="00000462">
        <w:t xml:space="preserve"> of </w:t>
      </w:r>
      <w:r w:rsidR="00A50C1D">
        <w:t xml:space="preserve">Mazda’s </w:t>
      </w:r>
      <w:r w:rsidR="000F2094">
        <w:t xml:space="preserve">existing </w:t>
      </w:r>
      <w:r w:rsidR="00A50C1D">
        <w:t>customer complaint processes</w:t>
      </w:r>
      <w:r w:rsidR="0014666E">
        <w:t xml:space="preserve">.  </w:t>
      </w:r>
    </w:p>
    <w:p w14:paraId="53A61738" w14:textId="1B59E37C" w:rsidR="00A01825" w:rsidRDefault="007C3488" w:rsidP="007C3488">
      <w:pPr>
        <w:pStyle w:val="ParaNumbering"/>
        <w:numPr>
          <w:ilvl w:val="0"/>
          <w:numId w:val="0"/>
        </w:numPr>
        <w:ind w:hanging="720"/>
      </w:pPr>
      <w:r>
        <w:rPr>
          <w:sz w:val="20"/>
        </w:rPr>
        <w:t>30</w:t>
      </w:r>
      <w:r>
        <w:rPr>
          <w:sz w:val="20"/>
        </w:rPr>
        <w:tab/>
      </w:r>
      <w:r w:rsidR="00A516AA">
        <w:t>Following the review, Mr Robin</w:t>
      </w:r>
      <w:r w:rsidR="00452B74">
        <w:t>s</w:t>
      </w:r>
      <w:r w:rsidR="00A516AA">
        <w:t xml:space="preserve"> concluded that the use of Mazda’s </w:t>
      </w:r>
      <w:r w:rsidR="003C49FC">
        <w:t xml:space="preserve">call centre </w:t>
      </w:r>
      <w:r w:rsidR="001C0CED">
        <w:t>“</w:t>
      </w:r>
      <w:r w:rsidR="00A516AA">
        <w:t>Customer Advocates</w:t>
      </w:r>
      <w:r w:rsidR="001C0CED">
        <w:t>”</w:t>
      </w:r>
      <w:r w:rsidR="00BF7A6F">
        <w:t xml:space="preserve"> </w:t>
      </w:r>
      <w:r w:rsidR="009B61F4">
        <w:t>to</w:t>
      </w:r>
      <w:r w:rsidR="003C49FC">
        <w:t xml:space="preserve"> deal with</w:t>
      </w:r>
      <w:r w:rsidR="006167EF">
        <w:t xml:space="preserve"> these complaints had inadvertently created a risk </w:t>
      </w:r>
      <w:r w:rsidR="00131E11">
        <w:t>of the contraventions occurring</w:t>
      </w:r>
      <w:r w:rsidR="00EF2CD1">
        <w:t>.  This was because</w:t>
      </w:r>
      <w:r w:rsidR="00724E2C">
        <w:t xml:space="preserve"> the Customer Advocates</w:t>
      </w:r>
      <w:r w:rsidR="00A01825">
        <w:t>:</w:t>
      </w:r>
    </w:p>
    <w:p w14:paraId="0AC095F0" w14:textId="0C079E8B" w:rsidR="00724E2C" w:rsidRDefault="007C3488" w:rsidP="007C3488">
      <w:pPr>
        <w:pStyle w:val="ListNo2"/>
        <w:numPr>
          <w:ilvl w:val="0"/>
          <w:numId w:val="0"/>
        </w:numPr>
        <w:tabs>
          <w:tab w:val="left" w:pos="1440"/>
        </w:tabs>
        <w:ind w:left="1440" w:hanging="720"/>
      </w:pPr>
      <w:r>
        <w:t>(a)</w:t>
      </w:r>
      <w:r>
        <w:tab/>
      </w:r>
      <w:r w:rsidR="00333086">
        <w:t xml:space="preserve">were not legally trained or mechanical </w:t>
      </w:r>
      <w:proofErr w:type="gramStart"/>
      <w:r w:rsidR="00333086">
        <w:t>experts</w:t>
      </w:r>
      <w:r w:rsidR="00724E2C">
        <w:t>;</w:t>
      </w:r>
      <w:proofErr w:type="gramEnd"/>
    </w:p>
    <w:p w14:paraId="701B4C06" w14:textId="440B995F" w:rsidR="00724E2C" w:rsidRDefault="007C3488" w:rsidP="007C3488">
      <w:pPr>
        <w:pStyle w:val="ListNo2"/>
        <w:numPr>
          <w:ilvl w:val="0"/>
          <w:numId w:val="0"/>
        </w:numPr>
        <w:tabs>
          <w:tab w:val="left" w:pos="1440"/>
        </w:tabs>
        <w:ind w:left="1440" w:hanging="720"/>
      </w:pPr>
      <w:r>
        <w:t>(b)</w:t>
      </w:r>
      <w:r>
        <w:tab/>
      </w:r>
      <w:r w:rsidR="00333086">
        <w:t>relied on incomplete information</w:t>
      </w:r>
      <w:r w:rsidR="000525BE">
        <w:t xml:space="preserve"> </w:t>
      </w:r>
      <w:r w:rsidR="00333086">
        <w:t xml:space="preserve">from </w:t>
      </w:r>
      <w:proofErr w:type="gramStart"/>
      <w:r w:rsidR="00333086">
        <w:t>dealers</w:t>
      </w:r>
      <w:r w:rsidR="00724E2C">
        <w:t>;</w:t>
      </w:r>
      <w:proofErr w:type="gramEnd"/>
    </w:p>
    <w:p w14:paraId="49C769BB" w14:textId="11855B48" w:rsidR="00724E2C" w:rsidRDefault="007C3488" w:rsidP="007C3488">
      <w:pPr>
        <w:pStyle w:val="ListNo2"/>
        <w:numPr>
          <w:ilvl w:val="0"/>
          <w:numId w:val="0"/>
        </w:numPr>
        <w:tabs>
          <w:tab w:val="left" w:pos="1440"/>
        </w:tabs>
        <w:ind w:left="1440" w:hanging="720"/>
      </w:pPr>
      <w:r>
        <w:t>(c)</w:t>
      </w:r>
      <w:r>
        <w:tab/>
      </w:r>
      <w:r w:rsidR="000525BE">
        <w:t xml:space="preserve">had to engage in a </w:t>
      </w:r>
      <w:r w:rsidR="007041B5">
        <w:t>time-consuming</w:t>
      </w:r>
      <w:r w:rsidR="000525BE">
        <w:t xml:space="preserve"> process </w:t>
      </w:r>
      <w:r w:rsidR="00483A2C">
        <w:t xml:space="preserve">to collect </w:t>
      </w:r>
      <w:proofErr w:type="gramStart"/>
      <w:r w:rsidR="00483A2C">
        <w:t>information</w:t>
      </w:r>
      <w:r w:rsidR="00724E2C">
        <w:t>;</w:t>
      </w:r>
      <w:proofErr w:type="gramEnd"/>
    </w:p>
    <w:p w14:paraId="2E134285" w14:textId="4F3724A3" w:rsidR="00724E2C" w:rsidRDefault="007C3488" w:rsidP="007C3488">
      <w:pPr>
        <w:pStyle w:val="ListNo2"/>
        <w:numPr>
          <w:ilvl w:val="0"/>
          <w:numId w:val="0"/>
        </w:numPr>
        <w:tabs>
          <w:tab w:val="left" w:pos="1440"/>
        </w:tabs>
        <w:ind w:left="1440" w:hanging="720"/>
      </w:pPr>
      <w:r>
        <w:t>(d)</w:t>
      </w:r>
      <w:r>
        <w:tab/>
      </w:r>
      <w:r w:rsidR="00483A2C">
        <w:t xml:space="preserve">and were often involved in lengthy discussions with consumers on issues of liability which increased the risk of them making misstatements about consumer rights.  </w:t>
      </w:r>
    </w:p>
    <w:p w14:paraId="3941C825" w14:textId="32B119CA" w:rsidR="005A232E" w:rsidRDefault="007C3488" w:rsidP="007C3488">
      <w:pPr>
        <w:pStyle w:val="ParaNumbering"/>
        <w:numPr>
          <w:ilvl w:val="0"/>
          <w:numId w:val="0"/>
        </w:numPr>
        <w:ind w:hanging="720"/>
      </w:pPr>
      <w:r>
        <w:rPr>
          <w:sz w:val="20"/>
        </w:rPr>
        <w:t>31</w:t>
      </w:r>
      <w:r>
        <w:rPr>
          <w:sz w:val="20"/>
        </w:rPr>
        <w:tab/>
      </w:r>
      <w:r w:rsidR="00250B76">
        <w:t xml:space="preserve">Mr Robins also formed the view that Mazda’s executive </w:t>
      </w:r>
      <w:r w:rsidR="001C0CED">
        <w:t xml:space="preserve">panel had contributed to </w:t>
      </w:r>
      <w:r w:rsidR="00942248">
        <w:t>the contraventions because of its approach to considering consumer requests based on the data provided by the Customer Advocates</w:t>
      </w:r>
      <w:r w:rsidR="00C72D7A">
        <w:t xml:space="preserve">. </w:t>
      </w:r>
      <w:r w:rsidR="00DA6766">
        <w:t xml:space="preserve"> Mr Robins</w:t>
      </w:r>
      <w:r w:rsidR="00681BD7">
        <w:t xml:space="preserve"> </w:t>
      </w:r>
      <w:r w:rsidR="000F2094">
        <w:t>the</w:t>
      </w:r>
      <w:r w:rsidR="00942248">
        <w:t>refore</w:t>
      </w:r>
      <w:r w:rsidR="000F2094">
        <w:t xml:space="preserve"> </w:t>
      </w:r>
      <w:r w:rsidR="00DA6766">
        <w:t xml:space="preserve">made recommendations to </w:t>
      </w:r>
      <w:r w:rsidR="00551EB8">
        <w:t>Mazda’s</w:t>
      </w:r>
      <w:r w:rsidR="00C17E41">
        <w:t xml:space="preserve"> </w:t>
      </w:r>
      <w:r w:rsidR="00820348">
        <w:t>e</w:t>
      </w:r>
      <w:r w:rsidR="00681BD7">
        <w:t xml:space="preserve">xecutive </w:t>
      </w:r>
      <w:r w:rsidR="00820348">
        <w:t>t</w:t>
      </w:r>
      <w:r w:rsidR="00681BD7">
        <w:t xml:space="preserve">eam </w:t>
      </w:r>
      <w:r w:rsidR="007E2C3B">
        <w:t>which resulted in</w:t>
      </w:r>
      <w:r w:rsidR="00873422">
        <w:t xml:space="preserve"> </w:t>
      </w:r>
      <w:r w:rsidR="007E2C3B">
        <w:t>implement</w:t>
      </w:r>
      <w:r w:rsidR="00873422">
        <w:t>ation of</w:t>
      </w:r>
      <w:r w:rsidR="007E2C3B">
        <w:t xml:space="preserve"> </w:t>
      </w:r>
      <w:r w:rsidR="005A232E">
        <w:t>the following</w:t>
      </w:r>
      <w:r w:rsidR="007E2C3B">
        <w:t xml:space="preserve"> changes</w:t>
      </w:r>
      <w:r w:rsidR="0013325D">
        <w:t xml:space="preserve"> from</w:t>
      </w:r>
      <w:r w:rsidR="005A232E">
        <w:t xml:space="preserve"> August 2022:</w:t>
      </w:r>
    </w:p>
    <w:p w14:paraId="0319B0BF" w14:textId="4FC0CE24" w:rsidR="0013325D" w:rsidRDefault="007C3488" w:rsidP="007C3488">
      <w:pPr>
        <w:pStyle w:val="ListNo1alt"/>
        <w:numPr>
          <w:ilvl w:val="0"/>
          <w:numId w:val="0"/>
        </w:numPr>
        <w:tabs>
          <w:tab w:val="left" w:pos="720"/>
        </w:tabs>
        <w:ind w:left="720" w:hanging="720"/>
      </w:pPr>
      <w:r>
        <w:t>(a)</w:t>
      </w:r>
      <w:r>
        <w:tab/>
      </w:r>
      <w:r w:rsidR="00425D77">
        <w:t>Mazda no longer routinely manages consumer requests for refunds</w:t>
      </w:r>
      <w:r w:rsidR="00D76F64">
        <w:t>, replac</w:t>
      </w:r>
      <w:r w:rsidR="008D7970">
        <w:t>e</w:t>
      </w:r>
      <w:r w:rsidR="00D76F64">
        <w:t>ments</w:t>
      </w:r>
      <w:r w:rsidR="00425D77">
        <w:t xml:space="preserve"> and/or repairs, including under the ACL.  </w:t>
      </w:r>
      <w:r w:rsidR="00E64A19">
        <w:t>Instead, if contacted by a consumer, Mazda</w:t>
      </w:r>
      <w:r w:rsidR="00F9538A">
        <w:t xml:space="preserve"> call centre staff </w:t>
      </w:r>
      <w:r w:rsidR="000E671C">
        <w:t>must</w:t>
      </w:r>
      <w:r w:rsidR="00F9538A">
        <w:t xml:space="preserve"> immediately</w:t>
      </w:r>
      <w:r w:rsidR="00E64A19">
        <w:t xml:space="preserve"> direc</w:t>
      </w:r>
      <w:r w:rsidR="00F9538A">
        <w:t>t</w:t>
      </w:r>
      <w:r w:rsidR="00E64A19">
        <w:t xml:space="preserve"> that consumer to the dealer which supplied the </w:t>
      </w:r>
      <w:r w:rsidR="00E64A19">
        <w:lastRenderedPageBreak/>
        <w:t>vehicle to deal with the consumer</w:t>
      </w:r>
      <w:r w:rsidR="003478E7">
        <w:t xml:space="preserve">’s requests. </w:t>
      </w:r>
      <w:r w:rsidR="00F9538A">
        <w:t xml:space="preserve"> </w:t>
      </w:r>
      <w:r w:rsidR="00776241">
        <w:t>Call centre staff have</w:t>
      </w:r>
      <w:r w:rsidR="00141353">
        <w:t xml:space="preserve"> </w:t>
      </w:r>
      <w:r w:rsidR="00776241">
        <w:t>been instructed not to express any views or offer any opinions regarding</w:t>
      </w:r>
      <w:r w:rsidR="001F7DFC">
        <w:t xml:space="preserve"> </w:t>
      </w:r>
      <w:r w:rsidR="00776241">
        <w:t xml:space="preserve">a customer’s rights or Mazda’s obligations under the </w:t>
      </w:r>
      <w:r w:rsidR="001A3C01">
        <w:t xml:space="preserve">consumer guarantees in the ACL.  </w:t>
      </w:r>
      <w:r w:rsidR="003478E7">
        <w:t>Mazda supports the dealers in the background but does not (with limited exceptions</w:t>
      </w:r>
      <w:r w:rsidR="008A3616">
        <w:t>) decide the issue</w:t>
      </w:r>
      <w:r w:rsidR="00D10C44">
        <w:t xml:space="preserve"> of redress</w:t>
      </w:r>
      <w:r w:rsidR="008A3616">
        <w:t>.</w:t>
      </w:r>
    </w:p>
    <w:p w14:paraId="7CB98AC9" w14:textId="5F4E091F" w:rsidR="00EA77A2" w:rsidRDefault="007C3488" w:rsidP="007C3488">
      <w:pPr>
        <w:pStyle w:val="ListNo1alt"/>
        <w:numPr>
          <w:ilvl w:val="0"/>
          <w:numId w:val="0"/>
        </w:numPr>
        <w:tabs>
          <w:tab w:val="left" w:pos="720"/>
        </w:tabs>
        <w:ind w:left="720" w:hanging="720"/>
      </w:pPr>
      <w:r>
        <w:t>(b)</w:t>
      </w:r>
      <w:r>
        <w:tab/>
      </w:r>
      <w:r w:rsidR="008A3616">
        <w:t xml:space="preserve">Mazda </w:t>
      </w:r>
      <w:r w:rsidR="00B920F2">
        <w:t>has r</w:t>
      </w:r>
      <w:r w:rsidR="008A3616">
        <w:t xml:space="preserve">educed the scope of its </w:t>
      </w:r>
      <w:r w:rsidR="004A4784">
        <w:t>e</w:t>
      </w:r>
      <w:r w:rsidR="008A3616">
        <w:t xml:space="preserve">xecutive </w:t>
      </w:r>
      <w:r w:rsidR="004A4784">
        <w:t>p</w:t>
      </w:r>
      <w:r w:rsidR="008A3616">
        <w:t xml:space="preserve">anel function.  The </w:t>
      </w:r>
      <w:r w:rsidR="004A4784">
        <w:t>e</w:t>
      </w:r>
      <w:r w:rsidR="008A3616">
        <w:t xml:space="preserve">xecutive </w:t>
      </w:r>
      <w:r w:rsidR="004A4784">
        <w:t>p</w:t>
      </w:r>
      <w:r w:rsidR="008A3616">
        <w:t xml:space="preserve">anel role is now largely confined to </w:t>
      </w:r>
      <w:r w:rsidR="00BF370D">
        <w:t xml:space="preserve">considering dealer requests for indemnification after the dealer has itself </w:t>
      </w:r>
      <w:r w:rsidR="00B234ED">
        <w:t xml:space="preserve">first decided </w:t>
      </w:r>
      <w:r w:rsidR="005F5B01">
        <w:t xml:space="preserve">to refund or replace </w:t>
      </w:r>
      <w:r w:rsidR="00772A55">
        <w:t xml:space="preserve">a </w:t>
      </w:r>
      <w:r w:rsidR="00B53DD2">
        <w:t>vehicle</w:t>
      </w:r>
      <w:r w:rsidR="00C032D8">
        <w:t>.</w:t>
      </w:r>
      <w:r w:rsidR="00402709">
        <w:t xml:space="preserve">  The </w:t>
      </w:r>
      <w:r w:rsidR="00682B7D">
        <w:t>e</w:t>
      </w:r>
      <w:r w:rsidR="00402709">
        <w:t xml:space="preserve">xecutive </w:t>
      </w:r>
      <w:r w:rsidR="00682B7D">
        <w:t>p</w:t>
      </w:r>
      <w:r w:rsidR="00402709">
        <w:t xml:space="preserve">anel </w:t>
      </w:r>
      <w:r w:rsidR="00781AE0">
        <w:t xml:space="preserve">will </w:t>
      </w:r>
      <w:r w:rsidR="00402709">
        <w:t>only consider a consumer’s request for redress if that consumer refuses to deal with their selling dealer directly.</w:t>
      </w:r>
    </w:p>
    <w:p w14:paraId="1B1D99C3" w14:textId="5F4B1ABF" w:rsidR="008A3616" w:rsidRDefault="007C3488" w:rsidP="007C3488">
      <w:pPr>
        <w:pStyle w:val="ListNo1alt"/>
        <w:numPr>
          <w:ilvl w:val="0"/>
          <w:numId w:val="0"/>
        </w:numPr>
        <w:tabs>
          <w:tab w:val="left" w:pos="720"/>
        </w:tabs>
        <w:ind w:left="720" w:hanging="720"/>
      </w:pPr>
      <w:r>
        <w:t>(c)</w:t>
      </w:r>
      <w:r>
        <w:tab/>
      </w:r>
      <w:r w:rsidR="00781AE0">
        <w:t>Where</w:t>
      </w:r>
      <w:r w:rsidR="00EA77A2">
        <w:t xml:space="preserve"> a consumer </w:t>
      </w:r>
      <w:r w:rsidR="00460203">
        <w:t xml:space="preserve">refuses to deal with a supplying dealer in respect of a refund or </w:t>
      </w:r>
      <w:r w:rsidR="00681966">
        <w:t xml:space="preserve">replacement, the request </w:t>
      </w:r>
      <w:r w:rsidR="00577A5E">
        <w:t>is required to be referred without discussion of ACL rights or obligations to Mazda’s Customer Support Manager, Ian O’Day</w:t>
      </w:r>
      <w:r w:rsidR="009E3BD0">
        <w:t>,</w:t>
      </w:r>
      <w:r w:rsidR="00577A5E">
        <w:t xml:space="preserve"> and </w:t>
      </w:r>
      <w:r w:rsidR="00D22461">
        <w:t xml:space="preserve">Mr </w:t>
      </w:r>
      <w:r w:rsidR="001E70A0">
        <w:t>Robins.</w:t>
      </w:r>
      <w:r w:rsidR="00402709">
        <w:t xml:space="preserve">  At that point a request will be referred to the </w:t>
      </w:r>
      <w:r w:rsidR="002B65AB">
        <w:t>e</w:t>
      </w:r>
      <w:r w:rsidR="00402709">
        <w:t xml:space="preserve">xecutive </w:t>
      </w:r>
      <w:r w:rsidR="002B65AB">
        <w:t>p</w:t>
      </w:r>
      <w:r w:rsidR="00402709">
        <w:t>ane</w:t>
      </w:r>
      <w:r w:rsidR="004C0CBA">
        <w:t xml:space="preserve">l. </w:t>
      </w:r>
      <w:r w:rsidR="002B65AB">
        <w:t xml:space="preserve"> </w:t>
      </w:r>
      <w:r w:rsidR="004C0CBA">
        <w:t>Where this occurs, i</w:t>
      </w:r>
      <w:r w:rsidR="006C4297">
        <w:t xml:space="preserve">t is Mr Robins’ responsibility to ensure that the </w:t>
      </w:r>
      <w:r w:rsidR="002B65AB">
        <w:t>e</w:t>
      </w:r>
      <w:r w:rsidR="006C4297">
        <w:t xml:space="preserve">xecutive </w:t>
      </w:r>
      <w:r w:rsidR="002B65AB">
        <w:t>p</w:t>
      </w:r>
      <w:r w:rsidR="006C4297">
        <w:t xml:space="preserve">anel considers and correctly applies the ACL. </w:t>
      </w:r>
    </w:p>
    <w:p w14:paraId="1725026B" w14:textId="18BE8042" w:rsidR="00620602" w:rsidRDefault="007C3488" w:rsidP="007C3488">
      <w:pPr>
        <w:pStyle w:val="ListNo1alt"/>
        <w:numPr>
          <w:ilvl w:val="0"/>
          <w:numId w:val="0"/>
        </w:numPr>
        <w:tabs>
          <w:tab w:val="left" w:pos="720"/>
        </w:tabs>
        <w:ind w:left="720" w:hanging="720"/>
      </w:pPr>
      <w:r>
        <w:t>(d)</w:t>
      </w:r>
      <w:r>
        <w:tab/>
      </w:r>
      <w:r w:rsidR="001B5718">
        <w:t xml:space="preserve">Mr Robins oversees and manages all tribunal claims made against Mazda and reports findings to the </w:t>
      </w:r>
      <w:r w:rsidR="002B65AB">
        <w:t>e</w:t>
      </w:r>
      <w:r w:rsidR="001B5718">
        <w:t xml:space="preserve">xecutive </w:t>
      </w:r>
      <w:r w:rsidR="002B65AB">
        <w:t>t</w:t>
      </w:r>
      <w:r w:rsidR="001B5718">
        <w:t xml:space="preserve">eam.  </w:t>
      </w:r>
    </w:p>
    <w:p w14:paraId="756B086D" w14:textId="2D093026" w:rsidR="00CE39A3" w:rsidRDefault="007C3488" w:rsidP="00AA13E5">
      <w:pPr>
        <w:pStyle w:val="Heading1"/>
      </w:pPr>
      <w:r>
        <w:rPr>
          <w:caps w:val="0"/>
        </w:rPr>
        <w:t>PECUNIARY PENALTY</w:t>
      </w:r>
    </w:p>
    <w:p w14:paraId="551AF749" w14:textId="4CE8C446" w:rsidR="00AB406C" w:rsidRPr="00AB406C" w:rsidRDefault="007C3488" w:rsidP="007C3488">
      <w:pPr>
        <w:pStyle w:val="ParaNumbering"/>
        <w:numPr>
          <w:ilvl w:val="0"/>
          <w:numId w:val="0"/>
        </w:numPr>
        <w:ind w:hanging="720"/>
      </w:pPr>
      <w:r w:rsidRPr="00AB406C">
        <w:rPr>
          <w:sz w:val="20"/>
        </w:rPr>
        <w:t>32</w:t>
      </w:r>
      <w:r w:rsidRPr="00AB406C">
        <w:rPr>
          <w:sz w:val="20"/>
        </w:rPr>
        <w:tab/>
      </w:r>
      <w:r w:rsidR="00AE581E">
        <w:t xml:space="preserve">Pursuant to </w:t>
      </w:r>
      <w:r w:rsidR="00AE581E" w:rsidRPr="00416014">
        <w:t>s</w:t>
      </w:r>
      <w:r w:rsidR="00AF7D9C" w:rsidRPr="00416014">
        <w:t xml:space="preserve"> 224(1)</w:t>
      </w:r>
      <w:r w:rsidR="00AE581E" w:rsidRPr="00416014">
        <w:t>(a)(ii</w:t>
      </w:r>
      <w:r w:rsidR="000B17F5" w:rsidRPr="00416014">
        <w:t>)</w:t>
      </w:r>
      <w:r w:rsidR="00AF7D9C" w:rsidRPr="00416014">
        <w:t xml:space="preserve"> of the ACL</w:t>
      </w:r>
      <w:r w:rsidR="000B17F5">
        <w:t>,</w:t>
      </w:r>
      <w:r w:rsidR="00AF7D9C">
        <w:t xml:space="preserve"> if the </w:t>
      </w:r>
      <w:r w:rsidR="00EB30D6">
        <w:t xml:space="preserve">court is satisfied that a person has contravened a provision </w:t>
      </w:r>
      <w:r w:rsidR="000B17F5">
        <w:t xml:space="preserve">of </w:t>
      </w:r>
      <w:r w:rsidR="000B17F5" w:rsidRPr="00416014">
        <w:t>Pt 3-1 of the ACL</w:t>
      </w:r>
      <w:r w:rsidR="000B17F5">
        <w:t xml:space="preserve"> (which includes</w:t>
      </w:r>
      <w:r w:rsidR="000E5D6A">
        <w:t xml:space="preserve"> s 29(</w:t>
      </w:r>
      <w:r w:rsidR="00832DBD">
        <w:t>1)(m))</w:t>
      </w:r>
      <w:r w:rsidR="008F46E8">
        <w:t xml:space="preserve">, the court may order the person to pay such pecuniary penalty in respect of each </w:t>
      </w:r>
      <w:r w:rsidR="00417CA8">
        <w:t xml:space="preserve">act or omission by the person to which the section applies, as the </w:t>
      </w:r>
      <w:r w:rsidR="003908D8">
        <w:t>c</w:t>
      </w:r>
      <w:r w:rsidR="00417CA8">
        <w:t>ourt determines to be appropriate</w:t>
      </w:r>
      <w:r w:rsidR="00E4179F">
        <w:t xml:space="preserve">. </w:t>
      </w:r>
      <w:r w:rsidR="00F306BD">
        <w:t xml:space="preserve"> </w:t>
      </w:r>
    </w:p>
    <w:p w14:paraId="0D4E799A" w14:textId="15449FD0" w:rsidR="0086524E" w:rsidRDefault="0086524E" w:rsidP="00AA13E5">
      <w:pPr>
        <w:pStyle w:val="Heading2"/>
      </w:pPr>
      <w:r>
        <w:t>Applicable principles</w:t>
      </w:r>
    </w:p>
    <w:p w14:paraId="79849500" w14:textId="612E6BC1" w:rsidR="0086524E" w:rsidRDefault="007C3488" w:rsidP="007C3488">
      <w:pPr>
        <w:pStyle w:val="ParaNumbering"/>
        <w:numPr>
          <w:ilvl w:val="0"/>
          <w:numId w:val="0"/>
        </w:numPr>
        <w:ind w:hanging="720"/>
      </w:pPr>
      <w:r>
        <w:rPr>
          <w:sz w:val="20"/>
        </w:rPr>
        <w:t>33</w:t>
      </w:r>
      <w:r>
        <w:rPr>
          <w:sz w:val="20"/>
        </w:rPr>
        <w:tab/>
      </w:r>
      <w:r w:rsidR="00AE538D">
        <w:t xml:space="preserve">The </w:t>
      </w:r>
      <w:r w:rsidR="00446BA6">
        <w:t xml:space="preserve">applicable </w:t>
      </w:r>
      <w:r w:rsidR="00AE538D">
        <w:t xml:space="preserve">legal principles </w:t>
      </w:r>
      <w:r w:rsidR="002A2A35">
        <w:t>are now</w:t>
      </w:r>
      <w:r w:rsidR="0012726D">
        <w:t>a</w:t>
      </w:r>
      <w:r w:rsidR="002A2A35">
        <w:t xml:space="preserve">days well </w:t>
      </w:r>
      <w:r w:rsidR="000E2A21">
        <w:t>settled</w:t>
      </w:r>
      <w:r w:rsidR="002A2A35">
        <w:t>.</w:t>
      </w:r>
    </w:p>
    <w:p w14:paraId="49A13749" w14:textId="1918A2E8" w:rsidR="002A2A35" w:rsidRDefault="007C3488" w:rsidP="007C3488">
      <w:pPr>
        <w:pStyle w:val="ParaNumbering"/>
        <w:numPr>
          <w:ilvl w:val="0"/>
          <w:numId w:val="0"/>
        </w:numPr>
        <w:ind w:hanging="720"/>
      </w:pPr>
      <w:r>
        <w:rPr>
          <w:sz w:val="20"/>
        </w:rPr>
        <w:t>34</w:t>
      </w:r>
      <w:r>
        <w:rPr>
          <w:sz w:val="20"/>
        </w:rPr>
        <w:tab/>
      </w:r>
      <w:r w:rsidR="002A2A35">
        <w:t xml:space="preserve">They were </w:t>
      </w:r>
      <w:r w:rsidR="000E2A21">
        <w:t>helpfully</w:t>
      </w:r>
      <w:r w:rsidR="00FB4D97">
        <w:t xml:space="preserve"> </w:t>
      </w:r>
      <w:r w:rsidR="002A2A35">
        <w:t xml:space="preserve">summarised by Jackman J in </w:t>
      </w:r>
      <w:r w:rsidR="00797BAD" w:rsidRPr="00416014">
        <w:rPr>
          <w:i/>
          <w:iCs/>
        </w:rPr>
        <w:t>Australian Competition and Consumer Commission v Dell Australia Pty Ltd</w:t>
      </w:r>
      <w:r w:rsidR="0041772B" w:rsidRPr="00416014">
        <w:rPr>
          <w:i/>
          <w:iCs/>
        </w:rPr>
        <w:t xml:space="preserve"> (No 2)</w:t>
      </w:r>
      <w:r w:rsidR="00797BAD" w:rsidRPr="00416014">
        <w:rPr>
          <w:i/>
          <w:iCs/>
        </w:rPr>
        <w:t xml:space="preserve"> </w:t>
      </w:r>
      <w:r w:rsidR="002A2A35" w:rsidRPr="00416014">
        <w:t>[2023] FCA 983</w:t>
      </w:r>
      <w:r w:rsidR="00797BAD">
        <w:t xml:space="preserve"> at</w:t>
      </w:r>
      <w:r w:rsidR="00281BCB">
        <w:t xml:space="preserve"> </w:t>
      </w:r>
      <w:r w:rsidR="00797BAD">
        <w:t>[4]</w:t>
      </w:r>
      <w:proofErr w:type="gramStart"/>
      <w:r w:rsidR="00F30FA8">
        <w:t>–</w:t>
      </w:r>
      <w:r w:rsidR="00797BAD">
        <w:t>[</w:t>
      </w:r>
      <w:proofErr w:type="gramEnd"/>
      <w:r w:rsidR="00797BAD">
        <w:t>18</w:t>
      </w:r>
      <w:r w:rsidR="00210F8F">
        <w:t xml:space="preserve">], which </w:t>
      </w:r>
      <w:r w:rsidR="00052385">
        <w:t xml:space="preserve">to the extent they are relevant here, </w:t>
      </w:r>
      <w:r w:rsidR="00210F8F">
        <w:t>I gratefully adopt.</w:t>
      </w:r>
    </w:p>
    <w:p w14:paraId="49D9FB8D" w14:textId="579F65FE" w:rsidR="008D0772" w:rsidRDefault="007C3488" w:rsidP="007C3488">
      <w:pPr>
        <w:pStyle w:val="ParaNumbering"/>
        <w:numPr>
          <w:ilvl w:val="0"/>
          <w:numId w:val="0"/>
        </w:numPr>
        <w:ind w:hanging="720"/>
        <w:rPr>
          <w:lang w:eastAsia="en-AU"/>
        </w:rPr>
      </w:pPr>
      <w:r>
        <w:rPr>
          <w:sz w:val="20"/>
          <w:lang w:eastAsia="en-AU"/>
        </w:rPr>
        <w:t>35</w:t>
      </w:r>
      <w:r>
        <w:rPr>
          <w:sz w:val="20"/>
          <w:lang w:eastAsia="en-AU"/>
        </w:rPr>
        <w:tab/>
      </w:r>
      <w:r w:rsidR="008D0772">
        <w:t xml:space="preserve">Deterrence, both specific and general, is the primary, if not sole, objective for imposing pecuniary penalties under </w:t>
      </w:r>
      <w:r w:rsidR="008D0772" w:rsidRPr="00416014">
        <w:t>s</w:t>
      </w:r>
      <w:r w:rsidR="005F641A" w:rsidRPr="00416014">
        <w:t xml:space="preserve"> </w:t>
      </w:r>
      <w:r w:rsidR="008D0772" w:rsidRPr="00416014">
        <w:t>224 of the ACL</w:t>
      </w:r>
      <w:r w:rsidR="008D0772">
        <w:t>.</w:t>
      </w:r>
      <w:r w:rsidR="005F641A">
        <w:t xml:space="preserve">  </w:t>
      </w:r>
      <w:r w:rsidR="008D0772">
        <w:t>The penalty must be fixed at a level that ensures that neither the contravener, nor would-be contraveners, would regard it as an acceptable</w:t>
      </w:r>
      <w:r w:rsidR="005F641A">
        <w:t xml:space="preserve"> </w:t>
      </w:r>
      <w:r w:rsidR="008D0772">
        <w:t xml:space="preserve">cost </w:t>
      </w:r>
      <w:r w:rsidR="008D0772">
        <w:lastRenderedPageBreak/>
        <w:t>of doing business</w:t>
      </w:r>
      <w:r w:rsidR="008D5E4A">
        <w:t>.</w:t>
      </w:r>
      <w:r w:rsidR="008D0772">
        <w:t xml:space="preserve"> </w:t>
      </w:r>
      <w:r w:rsidR="005F641A">
        <w:t xml:space="preserve"> </w:t>
      </w:r>
      <w:r w:rsidR="008D0772">
        <w:t>That said, a penalty is appropriate if it is no more than is reasonably necessary to deter further contraventions by the respondent and others.</w:t>
      </w:r>
    </w:p>
    <w:p w14:paraId="1D0EE88D" w14:textId="106A432A" w:rsidR="00C06556" w:rsidRDefault="007C3488" w:rsidP="007C3488">
      <w:pPr>
        <w:pStyle w:val="ParaNumbering"/>
        <w:numPr>
          <w:ilvl w:val="0"/>
          <w:numId w:val="0"/>
        </w:numPr>
        <w:ind w:hanging="720"/>
      </w:pPr>
      <w:r>
        <w:rPr>
          <w:sz w:val="20"/>
        </w:rPr>
        <w:t>36</w:t>
      </w:r>
      <w:r>
        <w:rPr>
          <w:sz w:val="20"/>
        </w:rPr>
        <w:tab/>
      </w:r>
      <w:r w:rsidR="008D0772">
        <w:t xml:space="preserve">In determining the appropriate penalty under </w:t>
      </w:r>
      <w:r w:rsidR="008D0772" w:rsidRPr="00416014">
        <w:t>s</w:t>
      </w:r>
      <w:r w:rsidR="00A37C42" w:rsidRPr="00416014">
        <w:t xml:space="preserve"> </w:t>
      </w:r>
      <w:r w:rsidR="008D0772" w:rsidRPr="00416014">
        <w:t>224(1)</w:t>
      </w:r>
      <w:r w:rsidR="008D0772">
        <w:t xml:space="preserve">, the </w:t>
      </w:r>
      <w:r w:rsidR="00963EF1">
        <w:t>c</w:t>
      </w:r>
      <w:r w:rsidR="008D0772">
        <w:t xml:space="preserve">ourt must have regard to all relevant matters, including the following </w:t>
      </w:r>
      <w:r w:rsidR="000F17E3">
        <w:t>matters</w:t>
      </w:r>
      <w:r w:rsidR="008D0772">
        <w:t xml:space="preserve"> in </w:t>
      </w:r>
      <w:r w:rsidR="008D0772" w:rsidRPr="00416014">
        <w:t>s</w:t>
      </w:r>
      <w:r w:rsidR="00A37C42" w:rsidRPr="00416014">
        <w:t xml:space="preserve"> </w:t>
      </w:r>
      <w:r w:rsidR="008D0772" w:rsidRPr="00416014">
        <w:t>224(2)</w:t>
      </w:r>
      <w:r w:rsidR="00C06556">
        <w:t>:</w:t>
      </w:r>
    </w:p>
    <w:p w14:paraId="44C32A74" w14:textId="64CC65CD" w:rsidR="003023A8" w:rsidRDefault="007C3488" w:rsidP="007C3488">
      <w:pPr>
        <w:pStyle w:val="ListNo1alt"/>
        <w:numPr>
          <w:ilvl w:val="0"/>
          <w:numId w:val="0"/>
        </w:numPr>
        <w:tabs>
          <w:tab w:val="left" w:pos="720"/>
        </w:tabs>
        <w:ind w:left="720" w:hanging="720"/>
      </w:pPr>
      <w:r>
        <w:t>(a)</w:t>
      </w:r>
      <w:r>
        <w:tab/>
      </w:r>
      <w:r w:rsidR="008D0772">
        <w:t xml:space="preserve">the nature and extent of the act or omission and of any loss or damage suffered as a result of the act or </w:t>
      </w:r>
      <w:proofErr w:type="gramStart"/>
      <w:r w:rsidR="008D0772">
        <w:t>omission;</w:t>
      </w:r>
      <w:proofErr w:type="gramEnd"/>
    </w:p>
    <w:p w14:paraId="083C56D7" w14:textId="67E20450" w:rsidR="008D0772" w:rsidRDefault="007C3488" w:rsidP="007C3488">
      <w:pPr>
        <w:pStyle w:val="ListNo1alt"/>
        <w:numPr>
          <w:ilvl w:val="0"/>
          <w:numId w:val="0"/>
        </w:numPr>
        <w:tabs>
          <w:tab w:val="left" w:pos="720"/>
        </w:tabs>
        <w:ind w:left="720" w:hanging="720"/>
      </w:pPr>
      <w:r>
        <w:t>(b)</w:t>
      </w:r>
      <w:r>
        <w:tab/>
      </w:r>
      <w:r w:rsidR="008D0772">
        <w:t>the circumstances in which the act or omission took place; and</w:t>
      </w:r>
    </w:p>
    <w:p w14:paraId="0DDC1A00" w14:textId="65B18FAE" w:rsidR="008D0772" w:rsidRDefault="007C3488" w:rsidP="007C3488">
      <w:pPr>
        <w:pStyle w:val="ListNo1alt"/>
        <w:numPr>
          <w:ilvl w:val="0"/>
          <w:numId w:val="0"/>
        </w:numPr>
        <w:tabs>
          <w:tab w:val="left" w:pos="720"/>
        </w:tabs>
        <w:ind w:left="720" w:hanging="720"/>
      </w:pPr>
      <w:r>
        <w:t>(c)</w:t>
      </w:r>
      <w:r>
        <w:tab/>
      </w:r>
      <w:r w:rsidR="008D0772">
        <w:t>whether</w:t>
      </w:r>
      <w:r w:rsidR="002D33B0">
        <w:t xml:space="preserve"> </w:t>
      </w:r>
      <w:r w:rsidR="008D0772">
        <w:t>the contravener has previously been found by a court in proceedings under</w:t>
      </w:r>
      <w:r w:rsidR="002D33B0">
        <w:t xml:space="preserve"> </w:t>
      </w:r>
      <w:r w:rsidR="008D0772" w:rsidRPr="00416014">
        <w:t>Ch</w:t>
      </w:r>
      <w:r w:rsidR="002D33B0" w:rsidRPr="00416014">
        <w:t xml:space="preserve"> </w:t>
      </w:r>
      <w:r w:rsidR="008D0772" w:rsidRPr="00416014">
        <w:t>4 or Pt 5-2 of the ACL</w:t>
      </w:r>
      <w:r w:rsidR="008D0772">
        <w:t xml:space="preserve"> to have engaged in any similar conduct.</w:t>
      </w:r>
    </w:p>
    <w:p w14:paraId="4FDE25B3" w14:textId="1BBABB56" w:rsidR="008D0772" w:rsidRDefault="007C3488" w:rsidP="007C3488">
      <w:pPr>
        <w:pStyle w:val="ParaNumbering"/>
        <w:numPr>
          <w:ilvl w:val="0"/>
          <w:numId w:val="0"/>
        </w:numPr>
        <w:ind w:hanging="720"/>
      </w:pPr>
      <w:r>
        <w:rPr>
          <w:sz w:val="20"/>
        </w:rPr>
        <w:t>37</w:t>
      </w:r>
      <w:r>
        <w:rPr>
          <w:sz w:val="20"/>
        </w:rPr>
        <w:tab/>
      </w:r>
      <w:r w:rsidR="008D0772">
        <w:t xml:space="preserve">The loss or damage to be considered by the </w:t>
      </w:r>
      <w:r w:rsidR="00963EF1">
        <w:t>c</w:t>
      </w:r>
      <w:r w:rsidR="008D0772">
        <w:t xml:space="preserve">ourt is not limited to financial harm. </w:t>
      </w:r>
      <w:r w:rsidR="00963EF1">
        <w:t xml:space="preserve"> </w:t>
      </w:r>
      <w:r w:rsidR="008D0772">
        <w:t>It</w:t>
      </w:r>
      <w:r w:rsidR="00963EF1">
        <w:t xml:space="preserve"> </w:t>
      </w:r>
      <w:r w:rsidR="008D0772">
        <w:t>could be non-pecuniary, such as a lost opportunity to make a different purchasing choice with accurate information</w:t>
      </w:r>
      <w:r w:rsidR="00963063">
        <w:t xml:space="preserve">.  </w:t>
      </w:r>
      <w:r w:rsidR="008D0772">
        <w:t xml:space="preserve">The </w:t>
      </w:r>
      <w:r w:rsidR="00963EF1">
        <w:t>c</w:t>
      </w:r>
      <w:r w:rsidR="008D0772">
        <w:t>ourt must assess the nature and extent of the harm even if quantifying the harm is difficult and requires broad or rough estimation</w:t>
      </w:r>
      <w:r w:rsidR="00963063">
        <w:t>.</w:t>
      </w:r>
    </w:p>
    <w:p w14:paraId="3DA907AB" w14:textId="702D3A91" w:rsidR="008D0772" w:rsidRDefault="007C3488" w:rsidP="007C3488">
      <w:pPr>
        <w:pStyle w:val="ParaNumbering"/>
        <w:numPr>
          <w:ilvl w:val="0"/>
          <w:numId w:val="0"/>
        </w:numPr>
        <w:ind w:hanging="720"/>
      </w:pPr>
      <w:bookmarkStart w:id="35" w:name="_Ref139977033"/>
      <w:bookmarkEnd w:id="35"/>
      <w:r>
        <w:rPr>
          <w:sz w:val="20"/>
        </w:rPr>
        <w:t>38</w:t>
      </w:r>
      <w:r>
        <w:rPr>
          <w:sz w:val="20"/>
        </w:rPr>
        <w:tab/>
      </w:r>
      <w:r w:rsidR="008D0772">
        <w:t xml:space="preserve">The prescribed maximum penalty is one yardstick that ordinarily must be applied and must be treated as one of </w:t>
      </w:r>
      <w:proofErr w:type="gramStart"/>
      <w:r w:rsidR="008D0772">
        <w:t>a number of</w:t>
      </w:r>
      <w:proofErr w:type="gramEnd"/>
      <w:r w:rsidR="008D0772">
        <w:t xml:space="preserve"> relevant factors.</w:t>
      </w:r>
      <w:r w:rsidR="00AB05AF">
        <w:t xml:space="preserve">  </w:t>
      </w:r>
      <w:r w:rsidR="008D0772">
        <w:t>Unlike the criminal law, the</w:t>
      </w:r>
      <w:r w:rsidR="00AB05AF">
        <w:t xml:space="preserve"> </w:t>
      </w:r>
      <w:r w:rsidR="008D0772">
        <w:t xml:space="preserve">concept that a penalty must be proportionate to the seriousness of the offence such that the maximum penalty is reserved for the most serious examples of misconduct has no place in the civil penalty context. </w:t>
      </w:r>
      <w:r w:rsidR="00134475">
        <w:t xml:space="preserve"> </w:t>
      </w:r>
      <w:r w:rsidR="008D0772">
        <w:t>Considerations such as deterrence and the public interest may justify the imposition of the maximum penalty where no lesser penalty will be an effective deterrent against future contraventions of a similar kind</w:t>
      </w:r>
      <w:r w:rsidR="00233321">
        <w:t xml:space="preserve">. </w:t>
      </w:r>
      <w:r w:rsidR="00134475">
        <w:t xml:space="preserve"> </w:t>
      </w:r>
      <w:r w:rsidR="008D0772">
        <w:t xml:space="preserve">What is required is a reasonable relationship between the theoretical maximum and the final penalty imposed. </w:t>
      </w:r>
      <w:r w:rsidR="00134475">
        <w:t xml:space="preserve"> </w:t>
      </w:r>
      <w:r w:rsidR="008D0772">
        <w:t>That relationship is established where the maximum penalty does not exceed what is reasonably necessary to achieve the purpose of s</w:t>
      </w:r>
      <w:r w:rsidR="002E17F0">
        <w:t xml:space="preserve"> </w:t>
      </w:r>
      <w:r w:rsidR="008D0772">
        <w:t>224, namely specific and general deterrence of future contraventions of a like kind by the</w:t>
      </w:r>
      <w:r w:rsidR="002E17F0">
        <w:t xml:space="preserve"> </w:t>
      </w:r>
      <w:r w:rsidR="008D0772">
        <w:t>contravener</w:t>
      </w:r>
      <w:r w:rsidR="002E17F0">
        <w:t xml:space="preserve"> </w:t>
      </w:r>
      <w:r w:rsidR="008D0772">
        <w:t xml:space="preserve">and by others. </w:t>
      </w:r>
      <w:r w:rsidR="002E17F0">
        <w:t xml:space="preserve"> </w:t>
      </w:r>
      <w:r w:rsidR="008D0772">
        <w:t>This may be established by reference to the circumstances of the</w:t>
      </w:r>
      <w:r w:rsidR="002E17F0">
        <w:t xml:space="preserve"> </w:t>
      </w:r>
      <w:r w:rsidR="008D0772">
        <w:t>contravener</w:t>
      </w:r>
      <w:r w:rsidR="002E17F0">
        <w:t xml:space="preserve"> </w:t>
      </w:r>
      <w:r w:rsidR="008D0772">
        <w:t>and the contravening conduct.</w:t>
      </w:r>
    </w:p>
    <w:p w14:paraId="1CE8ED2F" w14:textId="73E6D6F4" w:rsidR="008D0772" w:rsidRDefault="007C3488" w:rsidP="007C3488">
      <w:pPr>
        <w:pStyle w:val="ParaNumbering"/>
        <w:numPr>
          <w:ilvl w:val="0"/>
          <w:numId w:val="0"/>
        </w:numPr>
        <w:ind w:hanging="720"/>
      </w:pPr>
      <w:bookmarkStart w:id="36" w:name="_Ref141811182"/>
      <w:bookmarkStart w:id="37" w:name="_Ref139553094"/>
      <w:bookmarkEnd w:id="36"/>
      <w:bookmarkEnd w:id="37"/>
      <w:r>
        <w:rPr>
          <w:sz w:val="20"/>
        </w:rPr>
        <w:t>39</w:t>
      </w:r>
      <w:r>
        <w:rPr>
          <w:sz w:val="20"/>
        </w:rPr>
        <w:tab/>
      </w:r>
      <w:r w:rsidR="008D0772">
        <w:t xml:space="preserve">Two principles or tools of analysis that can assist the </w:t>
      </w:r>
      <w:r w:rsidR="00162288">
        <w:t>c</w:t>
      </w:r>
      <w:r w:rsidR="008D0772">
        <w:t>ourt in determining an appropriate penalt</w:t>
      </w:r>
      <w:r w:rsidR="00E50A4E">
        <w:t xml:space="preserve">y </w:t>
      </w:r>
      <w:r w:rsidR="008B5668">
        <w:t>for</w:t>
      </w:r>
      <w:r w:rsidR="008D0772">
        <w:t xml:space="preserve"> multiple contraventions are the course of conduct principle and the totality principle</w:t>
      </w:r>
      <w:r w:rsidR="008B5668">
        <w:t>.</w:t>
      </w:r>
      <w:r w:rsidR="00A15900">
        <w:t xml:space="preserve"> </w:t>
      </w:r>
      <w:r w:rsidR="008B5668">
        <w:t xml:space="preserve"> </w:t>
      </w:r>
      <w:r w:rsidR="008D0772">
        <w:t>These</w:t>
      </w:r>
      <w:r w:rsidR="00A15900">
        <w:t xml:space="preserve"> </w:t>
      </w:r>
      <w:r w:rsidR="008D0772">
        <w:t>concepts may assist in the assessment of what may be considered reasonably necessary to deter further contraventions</w:t>
      </w:r>
      <w:r w:rsidR="003F2E62">
        <w:t>.</w:t>
      </w:r>
    </w:p>
    <w:p w14:paraId="78FD1349" w14:textId="7627E771" w:rsidR="008967B8" w:rsidRDefault="007C3488" w:rsidP="007C3488">
      <w:pPr>
        <w:pStyle w:val="ParaNumbering"/>
        <w:numPr>
          <w:ilvl w:val="0"/>
          <w:numId w:val="0"/>
        </w:numPr>
        <w:ind w:hanging="720"/>
      </w:pPr>
      <w:r>
        <w:rPr>
          <w:sz w:val="20"/>
        </w:rPr>
        <w:lastRenderedPageBreak/>
        <w:t>40</w:t>
      </w:r>
      <w:r>
        <w:rPr>
          <w:sz w:val="20"/>
        </w:rPr>
        <w:tab/>
      </w:r>
      <w:r w:rsidR="00706A16">
        <w:t>The course of conduct principle is commonly referred to as recognising</w:t>
      </w:r>
      <w:r w:rsidR="003B0BB1">
        <w:t xml:space="preserve"> </w:t>
      </w:r>
      <w:r w:rsidR="00706A16">
        <w:t>that where there is an interrelationship of legal and factual elements of multiple contraventions</w:t>
      </w:r>
      <w:r w:rsidR="00613B0C">
        <w:t xml:space="preserve">, the </w:t>
      </w:r>
      <w:r w:rsidR="00162288">
        <w:t>c</w:t>
      </w:r>
      <w:r w:rsidR="00613B0C">
        <w:t>ourt may</w:t>
      </w:r>
      <w:r w:rsidR="00CC1F60">
        <w:t xml:space="preserve"> penalise the acts or omissions as a single course of conduct</w:t>
      </w:r>
      <w:r w:rsidR="00706A16">
        <w:t xml:space="preserve">. </w:t>
      </w:r>
      <w:r w:rsidR="00CC1F60">
        <w:t xml:space="preserve"> </w:t>
      </w:r>
    </w:p>
    <w:p w14:paraId="2EDFF78C" w14:textId="2F840105" w:rsidR="008D0772" w:rsidRDefault="007C3488" w:rsidP="007C3488">
      <w:pPr>
        <w:pStyle w:val="ParaNumbering"/>
        <w:numPr>
          <w:ilvl w:val="0"/>
          <w:numId w:val="0"/>
        </w:numPr>
        <w:ind w:hanging="720"/>
      </w:pPr>
      <w:r>
        <w:rPr>
          <w:sz w:val="20"/>
        </w:rPr>
        <w:t>41</w:t>
      </w:r>
      <w:r>
        <w:rPr>
          <w:sz w:val="20"/>
        </w:rPr>
        <w:tab/>
      </w:r>
      <w:r w:rsidR="008B5668">
        <w:t xml:space="preserve">In this case the </w:t>
      </w:r>
      <w:r w:rsidR="004D237C">
        <w:t xml:space="preserve">ACCC submitted, and Mazda agreed, that the appropriate approach to the multiple contraventions involving each of the </w:t>
      </w:r>
      <w:r w:rsidR="003B0BB1">
        <w:t>consumers</w:t>
      </w:r>
      <w:r w:rsidR="004D237C">
        <w:t xml:space="preserve"> is to treat each series of interactions with the </w:t>
      </w:r>
      <w:r w:rsidR="003B0BB1">
        <w:t>consumers</w:t>
      </w:r>
      <w:r w:rsidR="004D237C">
        <w:t xml:space="preserve"> about a vehicle</w:t>
      </w:r>
      <w:r w:rsidR="00CC1F60">
        <w:t xml:space="preserve"> as a single course of conduct, </w:t>
      </w:r>
      <w:r w:rsidR="004D237C">
        <w:t>meaning there are seven courses of conduct to be penalised</w:t>
      </w:r>
      <w:r w:rsidR="00706A16">
        <w:t>.</w:t>
      </w:r>
    </w:p>
    <w:p w14:paraId="612876AC" w14:textId="62E2BD46" w:rsidR="008D0772" w:rsidRDefault="007C3488" w:rsidP="007C3488">
      <w:pPr>
        <w:pStyle w:val="ParaNumbering"/>
        <w:numPr>
          <w:ilvl w:val="0"/>
          <w:numId w:val="0"/>
        </w:numPr>
        <w:ind w:hanging="720"/>
      </w:pPr>
      <w:r>
        <w:rPr>
          <w:sz w:val="20"/>
        </w:rPr>
        <w:t>42</w:t>
      </w:r>
      <w:r>
        <w:rPr>
          <w:sz w:val="20"/>
        </w:rPr>
        <w:tab/>
      </w:r>
      <w:r w:rsidR="008D0772">
        <w:t xml:space="preserve">The totality principle is that the total penalty for related contraventions should not exceed what is proper for the entire contravening conduct involved. </w:t>
      </w:r>
      <w:r w:rsidR="00285BA8">
        <w:t xml:space="preserve"> </w:t>
      </w:r>
      <w:r w:rsidR="008D0772">
        <w:t xml:space="preserve">This can be used by the Court as a tool of analysis to ensure that the penalty is no more than reasonably necessary for deterrence. </w:t>
      </w:r>
      <w:r w:rsidR="00285BA8">
        <w:t xml:space="preserve"> </w:t>
      </w:r>
      <w:r w:rsidR="008D0772">
        <w:t xml:space="preserve">The exercise of the totality adjustment is directed to the overall impact of the accumulated effect of otherwise acceptable penalties to ensure that the whole is not greater than the sum of the parts. </w:t>
      </w:r>
      <w:r w:rsidR="00285BA8">
        <w:t xml:space="preserve"> </w:t>
      </w:r>
      <w:r w:rsidR="008D0772">
        <w:t>It is typically used as a “final check”.</w:t>
      </w:r>
    </w:p>
    <w:p w14:paraId="685D82E4" w14:textId="686CCE03" w:rsidR="008D0772" w:rsidRDefault="007C3488" w:rsidP="007C3488">
      <w:pPr>
        <w:pStyle w:val="ParaNumbering"/>
        <w:numPr>
          <w:ilvl w:val="0"/>
          <w:numId w:val="0"/>
        </w:numPr>
        <w:ind w:hanging="720"/>
      </w:pPr>
      <w:bookmarkStart w:id="38" w:name="_Ref140749874"/>
      <w:bookmarkEnd w:id="38"/>
      <w:r>
        <w:rPr>
          <w:sz w:val="20"/>
        </w:rPr>
        <w:t>43</w:t>
      </w:r>
      <w:r>
        <w:rPr>
          <w:sz w:val="20"/>
        </w:rPr>
        <w:tab/>
      </w:r>
      <w:r w:rsidR="008D0772">
        <w:t>Other commonly relevant factors to consider in determining a penalty were articulated by French J in</w:t>
      </w:r>
      <w:r w:rsidR="00285BA8">
        <w:t xml:space="preserve"> </w:t>
      </w:r>
      <w:r w:rsidR="008D0772" w:rsidRPr="00416014">
        <w:rPr>
          <w:i/>
          <w:iCs/>
        </w:rPr>
        <w:t>Trade Practices Commission v CSR Ltd</w:t>
      </w:r>
      <w:r w:rsidR="00285BA8" w:rsidRPr="00416014">
        <w:t xml:space="preserve"> </w:t>
      </w:r>
      <w:r w:rsidR="008D0772" w:rsidRPr="00416014">
        <w:t>[1990] FCA 762; (1991) 13 ATPR 41-076</w:t>
      </w:r>
      <w:r w:rsidR="002A1EC7">
        <w:t xml:space="preserve"> </w:t>
      </w:r>
      <w:r w:rsidR="008D0772">
        <w:t xml:space="preserve">at [42]. </w:t>
      </w:r>
      <w:r w:rsidR="00285BA8">
        <w:t xml:space="preserve"> </w:t>
      </w:r>
      <w:r w:rsidR="008D0772">
        <w:t xml:space="preserve">However, these must not be considered a “rigid catalogue of matters for attention”. </w:t>
      </w:r>
      <w:r w:rsidR="002A1EC7">
        <w:t xml:space="preserve"> </w:t>
      </w:r>
      <w:r w:rsidR="008D0772">
        <w:t>In</w:t>
      </w:r>
      <w:r w:rsidR="002A1EC7">
        <w:t xml:space="preserve"> </w:t>
      </w:r>
      <w:r w:rsidR="008D0772" w:rsidRPr="00416014">
        <w:rPr>
          <w:i/>
          <w:iCs/>
        </w:rPr>
        <w:t>Australian Competition and Consumer Commission</w:t>
      </w:r>
      <w:r w:rsidR="002A1EC7" w:rsidRPr="00416014">
        <w:rPr>
          <w:i/>
          <w:iCs/>
        </w:rPr>
        <w:t xml:space="preserve"> </w:t>
      </w:r>
      <w:r w:rsidR="008D0772" w:rsidRPr="00416014">
        <w:rPr>
          <w:i/>
          <w:iCs/>
        </w:rPr>
        <w:t>v Woolworths Limited</w:t>
      </w:r>
      <w:r w:rsidR="002A1EC7" w:rsidRPr="00416014">
        <w:rPr>
          <w:i/>
          <w:iCs/>
        </w:rPr>
        <w:t xml:space="preserve"> </w:t>
      </w:r>
      <w:r w:rsidR="008D0772" w:rsidRPr="00416014">
        <w:t>[2016] FCA 44; [2016]</w:t>
      </w:r>
      <w:r w:rsidR="002A1EC7" w:rsidRPr="00416014">
        <w:t xml:space="preserve"> </w:t>
      </w:r>
      <w:r w:rsidR="008D0772" w:rsidRPr="00416014">
        <w:t>ATPR 42-521</w:t>
      </w:r>
      <w:r w:rsidR="002A1EC7">
        <w:t xml:space="preserve"> </w:t>
      </w:r>
      <w:r w:rsidR="008D0772">
        <w:t>at [123]</w:t>
      </w:r>
      <w:proofErr w:type="gramStart"/>
      <w:r w:rsidR="008F4FB4">
        <w:t>–</w:t>
      </w:r>
      <w:r w:rsidR="008D0772">
        <w:t>[</w:t>
      </w:r>
      <w:proofErr w:type="gramEnd"/>
      <w:r w:rsidR="008D0772">
        <w:t>126], Edelman</w:t>
      </w:r>
      <w:r w:rsidR="002A1EC7">
        <w:t xml:space="preserve"> </w:t>
      </w:r>
      <w:r w:rsidR="008D0772">
        <w:t>J set out the commonly relevant matters, other than those in</w:t>
      </w:r>
      <w:r w:rsidR="002A1EC7">
        <w:t xml:space="preserve"> </w:t>
      </w:r>
      <w:r w:rsidR="008D0772">
        <w:t>s 224(2), as follows:</w:t>
      </w:r>
    </w:p>
    <w:p w14:paraId="66735FEF" w14:textId="7BC5A58B" w:rsidR="008D0772" w:rsidRDefault="007C3488" w:rsidP="007C3488">
      <w:pPr>
        <w:pStyle w:val="ListNo1alt"/>
        <w:numPr>
          <w:ilvl w:val="0"/>
          <w:numId w:val="0"/>
        </w:numPr>
        <w:tabs>
          <w:tab w:val="left" w:pos="720"/>
        </w:tabs>
        <w:ind w:left="720" w:hanging="720"/>
      </w:pPr>
      <w:r>
        <w:t>(a)</w:t>
      </w:r>
      <w:r>
        <w:tab/>
      </w:r>
      <w:r w:rsidR="008D0772">
        <w:t xml:space="preserve">the size of the contravening </w:t>
      </w:r>
      <w:proofErr w:type="gramStart"/>
      <w:r w:rsidR="008D0772">
        <w:t>company;</w:t>
      </w:r>
      <w:proofErr w:type="gramEnd"/>
    </w:p>
    <w:p w14:paraId="73343E5F" w14:textId="09D64299" w:rsidR="008D0772" w:rsidRDefault="007C3488" w:rsidP="007C3488">
      <w:pPr>
        <w:pStyle w:val="ListNo1alt"/>
        <w:numPr>
          <w:ilvl w:val="0"/>
          <w:numId w:val="0"/>
        </w:numPr>
        <w:tabs>
          <w:tab w:val="left" w:pos="720"/>
        </w:tabs>
        <w:ind w:left="720" w:hanging="720"/>
      </w:pPr>
      <w:r>
        <w:t>(b)</w:t>
      </w:r>
      <w:r>
        <w:tab/>
      </w:r>
      <w:r w:rsidR="008D0772">
        <w:t xml:space="preserve">the deliberateness of the contravention and the period over which it </w:t>
      </w:r>
      <w:proofErr w:type="gramStart"/>
      <w:r w:rsidR="008D0772">
        <w:t>extended;</w:t>
      </w:r>
      <w:proofErr w:type="gramEnd"/>
    </w:p>
    <w:p w14:paraId="3649A797" w14:textId="78485448" w:rsidR="008D0772" w:rsidRDefault="007C3488" w:rsidP="007C3488">
      <w:pPr>
        <w:pStyle w:val="ListNo1alt"/>
        <w:numPr>
          <w:ilvl w:val="0"/>
          <w:numId w:val="0"/>
        </w:numPr>
        <w:tabs>
          <w:tab w:val="left" w:pos="720"/>
        </w:tabs>
        <w:ind w:left="720" w:hanging="720"/>
      </w:pPr>
      <w:r>
        <w:t>(c)</w:t>
      </w:r>
      <w:r>
        <w:tab/>
      </w:r>
      <w:r w:rsidR="008D0772">
        <w:t xml:space="preserve">whether the contravention arose out of the conduct of senior management of the contravener or at some lower </w:t>
      </w:r>
      <w:proofErr w:type="gramStart"/>
      <w:r w:rsidR="008D0772">
        <w:t>level;</w:t>
      </w:r>
      <w:proofErr w:type="gramEnd"/>
    </w:p>
    <w:p w14:paraId="42AF270B" w14:textId="0EF56C4C" w:rsidR="008D0772" w:rsidRDefault="007C3488" w:rsidP="007C3488">
      <w:pPr>
        <w:pStyle w:val="ListNo1alt"/>
        <w:numPr>
          <w:ilvl w:val="0"/>
          <w:numId w:val="0"/>
        </w:numPr>
        <w:tabs>
          <w:tab w:val="left" w:pos="720"/>
        </w:tabs>
        <w:ind w:left="720" w:hanging="720"/>
      </w:pPr>
      <w:r>
        <w:t>(d)</w:t>
      </w:r>
      <w:r>
        <w:tab/>
      </w:r>
      <w:r w:rsidR="008D0772">
        <w:t xml:space="preserve">whether the contravener has a corporate culture conducive to compliance with the ACL as evidenced by educational programs and disciplinary or other corrective measures in response to an acknowledged </w:t>
      </w:r>
      <w:proofErr w:type="gramStart"/>
      <w:r w:rsidR="008D0772">
        <w:t>contravention;</w:t>
      </w:r>
      <w:proofErr w:type="gramEnd"/>
    </w:p>
    <w:p w14:paraId="5479AD02" w14:textId="6D1D0FD6" w:rsidR="008D0772" w:rsidRDefault="007C3488" w:rsidP="007C3488">
      <w:pPr>
        <w:pStyle w:val="ListNo1alt"/>
        <w:numPr>
          <w:ilvl w:val="0"/>
          <w:numId w:val="0"/>
        </w:numPr>
        <w:tabs>
          <w:tab w:val="left" w:pos="720"/>
        </w:tabs>
        <w:ind w:left="720" w:hanging="720"/>
      </w:pPr>
      <w:r>
        <w:t>(e)</w:t>
      </w:r>
      <w:r>
        <w:tab/>
      </w:r>
      <w:r w:rsidR="008D0772">
        <w:t xml:space="preserve">whether the contravener has shown a disposition to co-operate with the authorities responsible for the enforcement of the ACL in relation to the </w:t>
      </w:r>
      <w:proofErr w:type="gramStart"/>
      <w:r w:rsidR="008D0772">
        <w:t>contravention;</w:t>
      </w:r>
      <w:proofErr w:type="gramEnd"/>
    </w:p>
    <w:p w14:paraId="5AEF01AA" w14:textId="4616A0A1" w:rsidR="008D0772" w:rsidRDefault="007C3488" w:rsidP="007C3488">
      <w:pPr>
        <w:pStyle w:val="ListNo1alt"/>
        <w:numPr>
          <w:ilvl w:val="0"/>
          <w:numId w:val="0"/>
        </w:numPr>
        <w:tabs>
          <w:tab w:val="left" w:pos="720"/>
        </w:tabs>
        <w:ind w:left="720" w:hanging="720"/>
      </w:pPr>
      <w:r>
        <w:t>(f)</w:t>
      </w:r>
      <w:r>
        <w:tab/>
      </w:r>
      <w:r w:rsidR="008D0772">
        <w:t xml:space="preserve">whether the contravener has engaged in similar conduct in the </w:t>
      </w:r>
      <w:proofErr w:type="gramStart"/>
      <w:r w:rsidR="008D0772">
        <w:t>past;</w:t>
      </w:r>
      <w:proofErr w:type="gramEnd"/>
    </w:p>
    <w:p w14:paraId="1E1FABBB" w14:textId="71438372" w:rsidR="008D0772" w:rsidRDefault="007C3488" w:rsidP="007C3488">
      <w:pPr>
        <w:pStyle w:val="ListNo1alt"/>
        <w:numPr>
          <w:ilvl w:val="0"/>
          <w:numId w:val="0"/>
        </w:numPr>
        <w:tabs>
          <w:tab w:val="left" w:pos="720"/>
        </w:tabs>
        <w:ind w:left="720" w:hanging="720"/>
      </w:pPr>
      <w:r>
        <w:t>(g)</w:t>
      </w:r>
      <w:r>
        <w:tab/>
      </w:r>
      <w:r w:rsidR="008D0772">
        <w:t xml:space="preserve">the financial position of the </w:t>
      </w:r>
      <w:proofErr w:type="gramStart"/>
      <w:r w:rsidR="008D0772">
        <w:t>contravener;</w:t>
      </w:r>
      <w:proofErr w:type="gramEnd"/>
    </w:p>
    <w:p w14:paraId="400BD7A9" w14:textId="577CFEB0" w:rsidR="008D0772" w:rsidRDefault="007C3488" w:rsidP="007C3488">
      <w:pPr>
        <w:pStyle w:val="ListNo1alt"/>
        <w:numPr>
          <w:ilvl w:val="0"/>
          <w:numId w:val="0"/>
        </w:numPr>
        <w:tabs>
          <w:tab w:val="left" w:pos="720"/>
        </w:tabs>
        <w:ind w:left="720" w:hanging="720"/>
      </w:pPr>
      <w:r>
        <w:t>(h)</w:t>
      </w:r>
      <w:r>
        <w:tab/>
      </w:r>
      <w:r w:rsidR="008D0772">
        <w:t xml:space="preserve">whether the contravening conduct was systematic, deliberate or </w:t>
      </w:r>
      <w:proofErr w:type="gramStart"/>
      <w:r w:rsidR="008D0772">
        <w:t>covert;</w:t>
      </w:r>
      <w:proofErr w:type="gramEnd"/>
    </w:p>
    <w:p w14:paraId="215D471D" w14:textId="18BE4C2C" w:rsidR="008D0772" w:rsidRDefault="007C3488" w:rsidP="007C3488">
      <w:pPr>
        <w:pStyle w:val="ListNo1alt"/>
        <w:numPr>
          <w:ilvl w:val="0"/>
          <w:numId w:val="0"/>
        </w:numPr>
        <w:tabs>
          <w:tab w:val="left" w:pos="720"/>
        </w:tabs>
        <w:ind w:left="720" w:hanging="720"/>
      </w:pPr>
      <w:r>
        <w:lastRenderedPageBreak/>
        <w:t>(</w:t>
      </w:r>
      <w:proofErr w:type="spellStart"/>
      <w:r>
        <w:t>i</w:t>
      </w:r>
      <w:proofErr w:type="spellEnd"/>
      <w:r>
        <w:t>)</w:t>
      </w:r>
      <w:r>
        <w:tab/>
      </w:r>
      <w:r w:rsidR="008D0772">
        <w:t xml:space="preserve">the extent of </w:t>
      </w:r>
      <w:proofErr w:type="gramStart"/>
      <w:r w:rsidR="008D0772">
        <w:t>contrition;</w:t>
      </w:r>
      <w:proofErr w:type="gramEnd"/>
    </w:p>
    <w:p w14:paraId="127DD969" w14:textId="3FFE4588" w:rsidR="008D0772" w:rsidRDefault="007C3488" w:rsidP="007C3488">
      <w:pPr>
        <w:pStyle w:val="ListNo1alt"/>
        <w:numPr>
          <w:ilvl w:val="0"/>
          <w:numId w:val="0"/>
        </w:numPr>
        <w:tabs>
          <w:tab w:val="left" w:pos="720"/>
        </w:tabs>
        <w:ind w:left="720" w:hanging="720"/>
      </w:pPr>
      <w:r>
        <w:t>(j)</w:t>
      </w:r>
      <w:r>
        <w:tab/>
      </w:r>
      <w:r w:rsidR="008D0772">
        <w:t xml:space="preserve">whether the contravening company made a profit from the </w:t>
      </w:r>
      <w:proofErr w:type="gramStart"/>
      <w:r w:rsidR="008D0772">
        <w:t>contraventions;</w:t>
      </w:r>
      <w:proofErr w:type="gramEnd"/>
    </w:p>
    <w:p w14:paraId="010A5BA1" w14:textId="24468237" w:rsidR="008D0772" w:rsidRDefault="007C3488" w:rsidP="007C3488">
      <w:pPr>
        <w:pStyle w:val="ListNo1alt"/>
        <w:numPr>
          <w:ilvl w:val="0"/>
          <w:numId w:val="0"/>
        </w:numPr>
        <w:tabs>
          <w:tab w:val="left" w:pos="720"/>
        </w:tabs>
        <w:ind w:left="720" w:hanging="720"/>
      </w:pPr>
      <w:r>
        <w:t>(k)</w:t>
      </w:r>
      <w:r>
        <w:tab/>
      </w:r>
      <w:r w:rsidR="008D0772">
        <w:t>the extent of the profit made by the contravening company; and</w:t>
      </w:r>
    </w:p>
    <w:p w14:paraId="0569D1BC" w14:textId="28E64089" w:rsidR="008D0772" w:rsidRDefault="007C3488" w:rsidP="007C3488">
      <w:pPr>
        <w:pStyle w:val="ListNo1alt"/>
        <w:numPr>
          <w:ilvl w:val="0"/>
          <w:numId w:val="0"/>
        </w:numPr>
        <w:tabs>
          <w:tab w:val="left" w:pos="720"/>
        </w:tabs>
        <w:ind w:left="720" w:hanging="720"/>
      </w:pPr>
      <w:r>
        <w:t>(l)</w:t>
      </w:r>
      <w:r>
        <w:tab/>
      </w:r>
      <w:r w:rsidR="008D0772">
        <w:t>whether</w:t>
      </w:r>
      <w:r w:rsidR="009E688A">
        <w:t xml:space="preserve"> </w:t>
      </w:r>
      <w:r w:rsidR="008D0772">
        <w:t>the contravening company engaged in the conduct with an intention to profit from it.</w:t>
      </w:r>
    </w:p>
    <w:p w14:paraId="479FCD26" w14:textId="4F7F7BDA" w:rsidR="008D0772" w:rsidRDefault="007C3488" w:rsidP="007C3488">
      <w:pPr>
        <w:pStyle w:val="ParaNumbering"/>
        <w:numPr>
          <w:ilvl w:val="0"/>
          <w:numId w:val="0"/>
        </w:numPr>
        <w:ind w:hanging="720"/>
      </w:pPr>
      <w:bookmarkStart w:id="39" w:name="_Ref139451319"/>
      <w:bookmarkEnd w:id="39"/>
      <w:r>
        <w:rPr>
          <w:sz w:val="20"/>
        </w:rPr>
        <w:t>44</w:t>
      </w:r>
      <w:r>
        <w:rPr>
          <w:sz w:val="20"/>
        </w:rPr>
        <w:tab/>
      </w:r>
      <w:r w:rsidR="008D0772">
        <w:t>The size of a</w:t>
      </w:r>
      <w:r w:rsidR="005579F1">
        <w:t xml:space="preserve"> </w:t>
      </w:r>
      <w:r w:rsidR="008D0772">
        <w:t>contravener</w:t>
      </w:r>
      <w:r w:rsidR="005579F1">
        <w:t xml:space="preserve"> </w:t>
      </w:r>
      <w:r w:rsidR="008D0772">
        <w:t>is relevant because, all other things being equal, a greater financial incentive will be necessary to persuade a well-resourced</w:t>
      </w:r>
      <w:r w:rsidR="005579F1">
        <w:t xml:space="preserve"> </w:t>
      </w:r>
      <w:r w:rsidR="008D0772">
        <w:t>contravener</w:t>
      </w:r>
      <w:r w:rsidR="005579F1">
        <w:t xml:space="preserve"> </w:t>
      </w:r>
      <w:r w:rsidR="008D0772">
        <w:t>to abide by the law than a poorly resourced</w:t>
      </w:r>
      <w:r w:rsidR="005579F1">
        <w:t xml:space="preserve"> </w:t>
      </w:r>
      <w:r w:rsidR="008D0772">
        <w:t xml:space="preserve">contravener. </w:t>
      </w:r>
      <w:r w:rsidR="005579F1">
        <w:t xml:space="preserve"> </w:t>
      </w:r>
      <w:r w:rsidR="008D0772">
        <w:t>In some cases, the circumstances of the</w:t>
      </w:r>
      <w:r w:rsidR="005579F1">
        <w:t xml:space="preserve"> </w:t>
      </w:r>
      <w:r w:rsidR="008D0772">
        <w:t>contravener</w:t>
      </w:r>
      <w:r w:rsidR="005579F1">
        <w:t xml:space="preserve"> </w:t>
      </w:r>
      <w:r w:rsidR="008D0772">
        <w:t>may be more significant in terms of the extent of the necessity for deterrence than the circumstances of the contravention.</w:t>
      </w:r>
      <w:bookmarkStart w:id="40" w:name="_Ref141715468"/>
      <w:bookmarkEnd w:id="40"/>
      <w:r w:rsidR="005579F1">
        <w:t xml:space="preserve">  </w:t>
      </w:r>
      <w:r w:rsidR="008D0772">
        <w:t>The size of the</w:t>
      </w:r>
      <w:r w:rsidR="00B54FCA">
        <w:t xml:space="preserve"> </w:t>
      </w:r>
      <w:r w:rsidR="008D0772">
        <w:t>contravener’s parent company also cannot be ignored when determining the penalty that should be imposed</w:t>
      </w:r>
      <w:r w:rsidR="00B54FCA">
        <w:t xml:space="preserve">.  See </w:t>
      </w:r>
      <w:r w:rsidR="008D0772" w:rsidRPr="00416014">
        <w:rPr>
          <w:i/>
          <w:iCs/>
        </w:rPr>
        <w:t>Australian Competition and Consumer Commission</w:t>
      </w:r>
      <w:r w:rsidR="00B54FCA" w:rsidRPr="00416014">
        <w:rPr>
          <w:i/>
          <w:iCs/>
        </w:rPr>
        <w:t xml:space="preserve"> </w:t>
      </w:r>
      <w:r w:rsidR="008D0772" w:rsidRPr="00416014">
        <w:rPr>
          <w:i/>
          <w:iCs/>
        </w:rPr>
        <w:t>v</w:t>
      </w:r>
      <w:r w:rsidR="00B54FCA" w:rsidRPr="00416014">
        <w:rPr>
          <w:i/>
          <w:iCs/>
        </w:rPr>
        <w:t xml:space="preserve"> </w:t>
      </w:r>
      <w:proofErr w:type="spellStart"/>
      <w:r w:rsidR="008D0772" w:rsidRPr="00416014">
        <w:rPr>
          <w:i/>
          <w:iCs/>
        </w:rPr>
        <w:t>Oakmoore</w:t>
      </w:r>
      <w:proofErr w:type="spellEnd"/>
      <w:r w:rsidR="00B54FCA" w:rsidRPr="00416014">
        <w:rPr>
          <w:i/>
          <w:iCs/>
        </w:rPr>
        <w:t xml:space="preserve"> </w:t>
      </w:r>
      <w:r w:rsidR="008D0772" w:rsidRPr="00416014">
        <w:rPr>
          <w:i/>
          <w:iCs/>
        </w:rPr>
        <w:t>Pty Ltd (No 2)</w:t>
      </w:r>
      <w:r w:rsidR="00B20510" w:rsidRPr="00416014">
        <w:t xml:space="preserve"> </w:t>
      </w:r>
      <w:r w:rsidR="008D0772" w:rsidRPr="00416014">
        <w:t>[2018] FCA 1170</w:t>
      </w:r>
      <w:r w:rsidR="00940623">
        <w:t xml:space="preserve"> </w:t>
      </w:r>
      <w:r w:rsidR="008D0772">
        <w:t>at [105] (Gleeson J),</w:t>
      </w:r>
      <w:r w:rsidR="00B54FCA">
        <w:t xml:space="preserve"> </w:t>
      </w:r>
      <w:r w:rsidR="008D0772">
        <w:t>citing</w:t>
      </w:r>
      <w:r w:rsidR="00B54FCA">
        <w:t xml:space="preserve"> </w:t>
      </w:r>
      <w:r w:rsidR="008D0772" w:rsidRPr="00416014">
        <w:rPr>
          <w:i/>
          <w:iCs/>
        </w:rPr>
        <w:t>Australian Competition and Consumer Commission</w:t>
      </w:r>
      <w:r w:rsidR="00B54FCA" w:rsidRPr="00416014">
        <w:rPr>
          <w:i/>
          <w:iCs/>
        </w:rPr>
        <w:t xml:space="preserve"> </w:t>
      </w:r>
      <w:r w:rsidR="008D0772" w:rsidRPr="00416014">
        <w:rPr>
          <w:i/>
          <w:iCs/>
        </w:rPr>
        <w:t>v ABB Transmission and Distribution Ltd (No 2)</w:t>
      </w:r>
      <w:r w:rsidR="00B54FCA" w:rsidRPr="00416014">
        <w:t xml:space="preserve"> </w:t>
      </w:r>
      <w:r w:rsidR="008D0772" w:rsidRPr="00416014">
        <w:t>[2002] FCA 559; (2002) 190 ALR 169</w:t>
      </w:r>
      <w:r w:rsidR="00B54FCA">
        <w:t xml:space="preserve"> </w:t>
      </w:r>
      <w:r w:rsidR="008D0772">
        <w:t>(</w:t>
      </w:r>
      <w:r w:rsidR="008D0772">
        <w:rPr>
          <w:b/>
          <w:bCs/>
          <w:i/>
          <w:iCs/>
        </w:rPr>
        <w:t>ABB</w:t>
      </w:r>
      <w:r w:rsidR="008D0772">
        <w:t>)</w:t>
      </w:r>
      <w:r w:rsidR="00D35B3D">
        <w:t>.  As Finkelstein J said in</w:t>
      </w:r>
      <w:r w:rsidR="00B54FCA">
        <w:t xml:space="preserve"> </w:t>
      </w:r>
      <w:r w:rsidR="008D0772">
        <w:rPr>
          <w:i/>
          <w:iCs/>
        </w:rPr>
        <w:t>ABB</w:t>
      </w:r>
      <w:r w:rsidR="00D35B3D">
        <w:t xml:space="preserve"> at [40]</w:t>
      </w:r>
      <w:r w:rsidR="008D0772">
        <w:t>:</w:t>
      </w:r>
    </w:p>
    <w:p w14:paraId="588E0473" w14:textId="20F84396" w:rsidR="008D0772" w:rsidRDefault="00D13C7D" w:rsidP="000772CD">
      <w:pPr>
        <w:pStyle w:val="Quote1"/>
      </w:pPr>
      <w:r>
        <w:t>…</w:t>
      </w:r>
      <w:r w:rsidR="008D0772">
        <w:t xml:space="preserve">While I am not imposing a punishment on the parent, the size of the parent cannot be ignored when assessing the penalty that should be imposed upon its subsidiary. </w:t>
      </w:r>
      <w:r w:rsidR="000772CD">
        <w:t xml:space="preserve"> </w:t>
      </w:r>
      <w:r w:rsidR="008D0772">
        <w:t xml:space="preserve">If the position </w:t>
      </w:r>
      <w:proofErr w:type="gramStart"/>
      <w:r w:rsidR="008D0772">
        <w:t>were</w:t>
      </w:r>
      <w:proofErr w:type="gramEnd"/>
      <w:r w:rsidR="008D0772">
        <w:t xml:space="preserve"> otherwise, corporations could easily organise their affairs so that if found guilty of criminal conduct, the penalty would be kept to a minimum. </w:t>
      </w:r>
      <w:r w:rsidR="0071381B">
        <w:t xml:space="preserve"> </w:t>
      </w:r>
      <w:r w:rsidR="008D0772">
        <w:t xml:space="preserve">For example, there are many markets where the competitors are major public companies. </w:t>
      </w:r>
      <w:r w:rsidR="0071381B">
        <w:t xml:space="preserve"> </w:t>
      </w:r>
      <w:r w:rsidR="008D0772">
        <w:t xml:space="preserve">If they combine to engage in anti-competitive behaviour, the penalties imposed upon them will be similar. </w:t>
      </w:r>
      <w:r w:rsidR="0071381B">
        <w:t xml:space="preserve"> </w:t>
      </w:r>
      <w:r w:rsidR="008D0772">
        <w:t xml:space="preserve">Is it to be supposed that if one of these public companies establishes a small subsidiary that will trade in the market instead of the parent, it will attract a lesser penalty because it has a lower capital and a smaller turnover? </w:t>
      </w:r>
      <w:proofErr w:type="gramStart"/>
      <w:r w:rsidR="008D0772">
        <w:t>Of course</w:t>
      </w:r>
      <w:proofErr w:type="gramEnd"/>
      <w:r w:rsidR="008D0772">
        <w:t xml:space="preserve"> this would be intolerable.</w:t>
      </w:r>
    </w:p>
    <w:p w14:paraId="0695AE66" w14:textId="19FE6543" w:rsidR="008D0772" w:rsidRDefault="007C3488" w:rsidP="007C3488">
      <w:pPr>
        <w:pStyle w:val="ParaNumbering"/>
        <w:numPr>
          <w:ilvl w:val="0"/>
          <w:numId w:val="0"/>
        </w:numPr>
        <w:ind w:hanging="720"/>
      </w:pPr>
      <w:r>
        <w:rPr>
          <w:sz w:val="20"/>
        </w:rPr>
        <w:t>45</w:t>
      </w:r>
      <w:r>
        <w:rPr>
          <w:sz w:val="20"/>
        </w:rPr>
        <w:tab/>
      </w:r>
      <w:r w:rsidR="008D0772">
        <w:t>The extent to which the conduct was deliberate is relevant because the demands of specific deterrence are greater for deliberate conduct,</w:t>
      </w:r>
      <w:r w:rsidR="00BF1BAE">
        <w:t xml:space="preserve"> </w:t>
      </w:r>
      <w:r w:rsidR="008D0772">
        <w:t>in contrast to careless, isolated conduct which was not concealed, because the demands or requirements of specific deterrence are generally</w:t>
      </w:r>
      <w:r w:rsidR="00BF1BAE">
        <w:t xml:space="preserve"> </w:t>
      </w:r>
      <w:r w:rsidR="008D0772">
        <w:t>more acute in the case of contraveners who have engaged in deliberate or systematic conduct over lengthy periods, or where covert or concealed contraventions which are difficult to detect are involved</w:t>
      </w:r>
      <w:r w:rsidR="005C23CD">
        <w:t>.</w:t>
      </w:r>
      <w:r w:rsidR="008D0772">
        <w:t xml:space="preserve"> </w:t>
      </w:r>
      <w:r w:rsidR="00AB3E68">
        <w:t xml:space="preserve"> </w:t>
      </w:r>
    </w:p>
    <w:p w14:paraId="2CAAC160" w14:textId="1BEE2497" w:rsidR="008D0772" w:rsidRDefault="007C3488" w:rsidP="007C3488">
      <w:pPr>
        <w:pStyle w:val="ParaNumbering"/>
        <w:numPr>
          <w:ilvl w:val="0"/>
          <w:numId w:val="0"/>
        </w:numPr>
        <w:ind w:hanging="720"/>
      </w:pPr>
      <w:r>
        <w:rPr>
          <w:sz w:val="20"/>
        </w:rPr>
        <w:t>46</w:t>
      </w:r>
      <w:r>
        <w:rPr>
          <w:sz w:val="20"/>
        </w:rPr>
        <w:tab/>
      </w:r>
      <w:r w:rsidR="008D0772">
        <w:t>The extent to which the</w:t>
      </w:r>
      <w:r w:rsidR="001C3945">
        <w:t xml:space="preserve"> </w:t>
      </w:r>
      <w:r w:rsidR="008D0772">
        <w:t>contravener</w:t>
      </w:r>
      <w:r w:rsidR="001C3945">
        <w:t xml:space="preserve"> </w:t>
      </w:r>
      <w:r w:rsidR="008D0772">
        <w:t xml:space="preserve">has conceded liability and cooperated with the investigating authority is relevant to determining penalties and typically results in a discount off the penalty that otherwise would have been imposed. </w:t>
      </w:r>
      <w:r w:rsidR="00E23BB1">
        <w:t xml:space="preserve"> </w:t>
      </w:r>
      <w:r w:rsidR="008D0772">
        <w:t xml:space="preserve">This reflects the fact that such </w:t>
      </w:r>
      <w:r w:rsidR="008D0772">
        <w:lastRenderedPageBreak/>
        <w:t>discounts increase the likelihood of cooperation in the future by</w:t>
      </w:r>
      <w:r w:rsidR="00E23BB1">
        <w:t xml:space="preserve"> </w:t>
      </w:r>
      <w:r w:rsidR="008D0772">
        <w:t>contraveners and free up the ACCC’s resources</w:t>
      </w:r>
      <w:r w:rsidR="001823B0">
        <w:t>.</w:t>
      </w:r>
    </w:p>
    <w:p w14:paraId="5ED0D3A4" w14:textId="5BEACEA8" w:rsidR="00FF4D53" w:rsidRDefault="00A302EC" w:rsidP="0046414B">
      <w:pPr>
        <w:pStyle w:val="Heading2"/>
      </w:pPr>
      <w:r>
        <w:t>R</w:t>
      </w:r>
      <w:r w:rsidR="00696369">
        <w:t xml:space="preserve">elevant </w:t>
      </w:r>
      <w:r w:rsidR="004F00BC">
        <w:t>Consideration</w:t>
      </w:r>
      <w:r w:rsidR="00696369">
        <w:t>s</w:t>
      </w:r>
    </w:p>
    <w:p w14:paraId="33126E3D" w14:textId="4B266B45" w:rsidR="00B0590E" w:rsidRDefault="007C3488" w:rsidP="007C3488">
      <w:pPr>
        <w:pStyle w:val="ParaNumbering"/>
        <w:numPr>
          <w:ilvl w:val="0"/>
          <w:numId w:val="0"/>
        </w:numPr>
        <w:ind w:hanging="720"/>
      </w:pPr>
      <w:r>
        <w:rPr>
          <w:sz w:val="20"/>
        </w:rPr>
        <w:t>47</w:t>
      </w:r>
      <w:r>
        <w:rPr>
          <w:sz w:val="20"/>
        </w:rPr>
        <w:tab/>
      </w:r>
      <w:r w:rsidR="004F00BC">
        <w:t xml:space="preserve">On the question of </w:t>
      </w:r>
      <w:r w:rsidR="00D35B3D">
        <w:t xml:space="preserve">the size of the </w:t>
      </w:r>
      <w:r w:rsidR="004F00BC">
        <w:t>penalt</w:t>
      </w:r>
      <w:r w:rsidR="00D35B3D">
        <w:t>ies that should be imposed</w:t>
      </w:r>
      <w:r w:rsidR="004F00BC">
        <w:t xml:space="preserve">, the ACCC and Mazda were poles apart.  The following </w:t>
      </w:r>
      <w:r w:rsidR="009D17B9">
        <w:t xml:space="preserve">table </w:t>
      </w:r>
      <w:r w:rsidR="00806ADF">
        <w:t>summari</w:t>
      </w:r>
      <w:r w:rsidR="004E3F8E">
        <w:t>se</w:t>
      </w:r>
      <w:r w:rsidR="00806ADF">
        <w:t>s the competing positions on the question of penalty</w:t>
      </w:r>
      <w:r w:rsidR="00123C42">
        <w:t>:</w:t>
      </w:r>
    </w:p>
    <w:tbl>
      <w:tblPr>
        <w:tblStyle w:val="TableGrid"/>
        <w:tblW w:w="0" w:type="auto"/>
        <w:tblInd w:w="6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48"/>
        <w:gridCol w:w="1948"/>
        <w:gridCol w:w="1948"/>
        <w:gridCol w:w="1948"/>
      </w:tblGrid>
      <w:tr w:rsidR="00D27C89" w14:paraId="219D9B8A" w14:textId="77777777" w:rsidTr="00F42AEE">
        <w:tc>
          <w:tcPr>
            <w:tcW w:w="1948" w:type="dxa"/>
            <w:shd w:val="clear" w:color="auto" w:fill="D9D9D9" w:themeFill="background1" w:themeFillShade="D9"/>
          </w:tcPr>
          <w:p w14:paraId="433C3552" w14:textId="6E6C477B" w:rsidR="00D27C89" w:rsidRPr="0032610F" w:rsidRDefault="00D27C89" w:rsidP="00CD62CA">
            <w:pPr>
              <w:pStyle w:val="Small-TableswithinQuotes"/>
              <w:widowControl/>
              <w:rPr>
                <w:b/>
                <w:bCs/>
              </w:rPr>
            </w:pPr>
            <w:r>
              <w:rPr>
                <w:b/>
                <w:bCs/>
              </w:rPr>
              <w:t>Consumer</w:t>
            </w:r>
          </w:p>
        </w:tc>
        <w:tc>
          <w:tcPr>
            <w:tcW w:w="1948" w:type="dxa"/>
            <w:shd w:val="clear" w:color="auto" w:fill="D9D9D9" w:themeFill="background1" w:themeFillShade="D9"/>
          </w:tcPr>
          <w:p w14:paraId="77D65D22" w14:textId="0B911681" w:rsidR="00D27C89" w:rsidRPr="0032610F" w:rsidRDefault="00D27C89" w:rsidP="00CD62CA">
            <w:pPr>
              <w:pStyle w:val="Small-TableswithinQuotes"/>
              <w:widowControl/>
              <w:rPr>
                <w:b/>
                <w:bCs/>
              </w:rPr>
            </w:pPr>
            <w:r>
              <w:rPr>
                <w:b/>
                <w:bCs/>
              </w:rPr>
              <w:t>Number of Contraventions</w:t>
            </w:r>
          </w:p>
        </w:tc>
        <w:tc>
          <w:tcPr>
            <w:tcW w:w="1948" w:type="dxa"/>
            <w:shd w:val="clear" w:color="auto" w:fill="D9D9D9" w:themeFill="background1" w:themeFillShade="D9"/>
          </w:tcPr>
          <w:p w14:paraId="75BFD317" w14:textId="646025CD" w:rsidR="00D27C89" w:rsidRPr="0023510F" w:rsidRDefault="00D27C89" w:rsidP="00CD62CA">
            <w:pPr>
              <w:pStyle w:val="Small-TableswithinQuotes"/>
              <w:widowControl/>
              <w:rPr>
                <w:b/>
                <w:bCs/>
              </w:rPr>
            </w:pPr>
            <w:r>
              <w:rPr>
                <w:b/>
                <w:bCs/>
              </w:rPr>
              <w:t>ACCC’s proposed penalty</w:t>
            </w:r>
          </w:p>
        </w:tc>
        <w:tc>
          <w:tcPr>
            <w:tcW w:w="1948" w:type="dxa"/>
            <w:shd w:val="clear" w:color="auto" w:fill="D9D9D9" w:themeFill="background1" w:themeFillShade="D9"/>
          </w:tcPr>
          <w:p w14:paraId="5B120F5E" w14:textId="5715BCC0" w:rsidR="00D27C89" w:rsidRPr="0023510F" w:rsidRDefault="00D27C89" w:rsidP="00CD62CA">
            <w:pPr>
              <w:pStyle w:val="Small-TableswithinQuotes"/>
              <w:widowControl/>
              <w:rPr>
                <w:b/>
                <w:bCs/>
              </w:rPr>
            </w:pPr>
            <w:r>
              <w:rPr>
                <w:b/>
                <w:bCs/>
              </w:rPr>
              <w:t>Mazda’s proposed penalty</w:t>
            </w:r>
          </w:p>
        </w:tc>
      </w:tr>
      <w:tr w:rsidR="00D27C89" w14:paraId="1401F8AE" w14:textId="77777777" w:rsidTr="00F42AEE">
        <w:tc>
          <w:tcPr>
            <w:tcW w:w="1948" w:type="dxa"/>
          </w:tcPr>
          <w:p w14:paraId="3664CE5B" w14:textId="2ED342EB" w:rsidR="00D27C89" w:rsidRDefault="0002422B" w:rsidP="0032610F">
            <w:pPr>
              <w:pStyle w:val="Small-TableswithinQuotes"/>
            </w:pPr>
            <w:r>
              <w:t>RC</w:t>
            </w:r>
          </w:p>
        </w:tc>
        <w:tc>
          <w:tcPr>
            <w:tcW w:w="1948" w:type="dxa"/>
          </w:tcPr>
          <w:p w14:paraId="544D4F00" w14:textId="17D2B314" w:rsidR="00D27C89" w:rsidRDefault="00C1282F" w:rsidP="0032610F">
            <w:pPr>
              <w:pStyle w:val="Small-TableswithinQuotes"/>
            </w:pPr>
            <w:r>
              <w:t>12</w:t>
            </w:r>
          </w:p>
        </w:tc>
        <w:tc>
          <w:tcPr>
            <w:tcW w:w="1948" w:type="dxa"/>
          </w:tcPr>
          <w:p w14:paraId="34DC99F4" w14:textId="1ACA8679" w:rsidR="00D27C89" w:rsidRDefault="00C1282F" w:rsidP="0032610F">
            <w:pPr>
              <w:pStyle w:val="Small-TableswithinQuotes"/>
            </w:pPr>
            <w:r>
              <w:t>$4,500,000</w:t>
            </w:r>
          </w:p>
        </w:tc>
        <w:tc>
          <w:tcPr>
            <w:tcW w:w="1948" w:type="dxa"/>
          </w:tcPr>
          <w:p w14:paraId="0E0AEF26" w14:textId="54DFF7D1" w:rsidR="00D27C89" w:rsidRDefault="00C1282F" w:rsidP="0032610F">
            <w:pPr>
              <w:pStyle w:val="Small-TableswithinQuotes"/>
            </w:pPr>
            <w:r>
              <w:t>$500,000</w:t>
            </w:r>
          </w:p>
        </w:tc>
      </w:tr>
      <w:tr w:rsidR="00D27C89" w14:paraId="4F276C90" w14:textId="77777777" w:rsidTr="00F42AEE">
        <w:tc>
          <w:tcPr>
            <w:tcW w:w="1948" w:type="dxa"/>
          </w:tcPr>
          <w:p w14:paraId="2AADD446" w14:textId="1DF8F2AD" w:rsidR="00D27C89" w:rsidRDefault="00C1282F" w:rsidP="0032610F">
            <w:pPr>
              <w:pStyle w:val="Small-TableswithinQuotes"/>
            </w:pPr>
            <w:r>
              <w:t>MT/CT</w:t>
            </w:r>
          </w:p>
        </w:tc>
        <w:tc>
          <w:tcPr>
            <w:tcW w:w="1948" w:type="dxa"/>
          </w:tcPr>
          <w:p w14:paraId="69B54995" w14:textId="151E2289" w:rsidR="00D27C89" w:rsidRDefault="00C1282F" w:rsidP="0032610F">
            <w:pPr>
              <w:pStyle w:val="Small-TableswithinQuotes"/>
            </w:pPr>
            <w:r>
              <w:t>10</w:t>
            </w:r>
          </w:p>
        </w:tc>
        <w:tc>
          <w:tcPr>
            <w:tcW w:w="1948" w:type="dxa"/>
          </w:tcPr>
          <w:p w14:paraId="6AD4D642" w14:textId="2432FC14" w:rsidR="00D27C89" w:rsidRDefault="00C1282F" w:rsidP="0032610F">
            <w:pPr>
              <w:pStyle w:val="Small-TableswithinQuotes"/>
            </w:pPr>
            <w:r>
              <w:t>$</w:t>
            </w:r>
            <w:r w:rsidR="006078C1">
              <w:t>2,000,000</w:t>
            </w:r>
          </w:p>
        </w:tc>
        <w:tc>
          <w:tcPr>
            <w:tcW w:w="1948" w:type="dxa"/>
          </w:tcPr>
          <w:p w14:paraId="022C88DB" w14:textId="5C08ABE9" w:rsidR="00D27C89" w:rsidRDefault="006078C1" w:rsidP="0032610F">
            <w:pPr>
              <w:pStyle w:val="Small-TableswithinQuotes"/>
            </w:pPr>
            <w:r>
              <w:t>$500,000</w:t>
            </w:r>
          </w:p>
        </w:tc>
      </w:tr>
      <w:tr w:rsidR="00D27C89" w14:paraId="0ABA7252" w14:textId="77777777" w:rsidTr="00F42AEE">
        <w:tc>
          <w:tcPr>
            <w:tcW w:w="1948" w:type="dxa"/>
          </w:tcPr>
          <w:p w14:paraId="367CA236" w14:textId="6534E032" w:rsidR="00D27C89" w:rsidRDefault="006078C1" w:rsidP="0032610F">
            <w:pPr>
              <w:pStyle w:val="Small-TableswithinQuotes"/>
            </w:pPr>
            <w:r>
              <w:t>SB/KB</w:t>
            </w:r>
          </w:p>
        </w:tc>
        <w:tc>
          <w:tcPr>
            <w:tcW w:w="1948" w:type="dxa"/>
          </w:tcPr>
          <w:p w14:paraId="6667B98C" w14:textId="7BE49249" w:rsidR="00D27C89" w:rsidRDefault="00E12E36" w:rsidP="0032610F">
            <w:pPr>
              <w:pStyle w:val="Small-TableswithinQuotes"/>
            </w:pPr>
            <w:r>
              <w:t>8</w:t>
            </w:r>
          </w:p>
        </w:tc>
        <w:tc>
          <w:tcPr>
            <w:tcW w:w="1948" w:type="dxa"/>
          </w:tcPr>
          <w:p w14:paraId="34461816" w14:textId="7F30BEFA" w:rsidR="00D27C89" w:rsidRDefault="00E12E36" w:rsidP="0032610F">
            <w:pPr>
              <w:pStyle w:val="Small-TableswithinQuotes"/>
            </w:pPr>
            <w:r>
              <w:t>$3,000,000</w:t>
            </w:r>
          </w:p>
        </w:tc>
        <w:tc>
          <w:tcPr>
            <w:tcW w:w="1948" w:type="dxa"/>
          </w:tcPr>
          <w:p w14:paraId="0016D0DF" w14:textId="6129506F" w:rsidR="00D27C89" w:rsidRDefault="00E12E36" w:rsidP="0032610F">
            <w:pPr>
              <w:pStyle w:val="Small-TableswithinQuotes"/>
            </w:pPr>
            <w:r>
              <w:t>$500,000</w:t>
            </w:r>
          </w:p>
        </w:tc>
      </w:tr>
      <w:tr w:rsidR="00D27C89" w14:paraId="5CF4FB38" w14:textId="77777777" w:rsidTr="00F42AEE">
        <w:tc>
          <w:tcPr>
            <w:tcW w:w="1948" w:type="dxa"/>
          </w:tcPr>
          <w:p w14:paraId="2DC072BB" w14:textId="521DB17C" w:rsidR="00D27C89" w:rsidRDefault="00E12E36" w:rsidP="0032610F">
            <w:pPr>
              <w:pStyle w:val="Small-TableswithinQuotes"/>
            </w:pPr>
            <w:r>
              <w:t>MG</w:t>
            </w:r>
          </w:p>
        </w:tc>
        <w:tc>
          <w:tcPr>
            <w:tcW w:w="1948" w:type="dxa"/>
          </w:tcPr>
          <w:p w14:paraId="4AFE3996" w14:textId="582EC480" w:rsidR="00D27C89" w:rsidRDefault="00E12E36" w:rsidP="0032610F">
            <w:pPr>
              <w:pStyle w:val="Small-TableswithinQuotes"/>
            </w:pPr>
            <w:r>
              <w:t>6</w:t>
            </w:r>
          </w:p>
        </w:tc>
        <w:tc>
          <w:tcPr>
            <w:tcW w:w="1948" w:type="dxa"/>
          </w:tcPr>
          <w:p w14:paraId="15F41E8A" w14:textId="24E02032" w:rsidR="00D27C89" w:rsidRDefault="000B1991" w:rsidP="0032610F">
            <w:pPr>
              <w:pStyle w:val="Small-TableswithinQuotes"/>
            </w:pPr>
            <w:r>
              <w:t>$2,500,000</w:t>
            </w:r>
          </w:p>
        </w:tc>
        <w:tc>
          <w:tcPr>
            <w:tcW w:w="1948" w:type="dxa"/>
          </w:tcPr>
          <w:p w14:paraId="51444EF3" w14:textId="4869DB54" w:rsidR="00D27C89" w:rsidRDefault="000B1991" w:rsidP="0032610F">
            <w:pPr>
              <w:pStyle w:val="Small-TableswithinQuotes"/>
            </w:pPr>
            <w:r>
              <w:t>$500,000</w:t>
            </w:r>
          </w:p>
        </w:tc>
      </w:tr>
      <w:tr w:rsidR="00D27C89" w14:paraId="7748502E" w14:textId="77777777" w:rsidTr="00F42AEE">
        <w:tc>
          <w:tcPr>
            <w:tcW w:w="1948" w:type="dxa"/>
          </w:tcPr>
          <w:p w14:paraId="3D566D42" w14:textId="1C631FBF" w:rsidR="00D27C89" w:rsidRDefault="000B1991" w:rsidP="0032610F">
            <w:pPr>
              <w:pStyle w:val="Small-TableswithinQuotes"/>
            </w:pPr>
            <w:r>
              <w:t>TK</w:t>
            </w:r>
            <w:r w:rsidR="004451F6">
              <w:t>*</w:t>
            </w:r>
          </w:p>
        </w:tc>
        <w:tc>
          <w:tcPr>
            <w:tcW w:w="1948" w:type="dxa"/>
          </w:tcPr>
          <w:p w14:paraId="37AA559E" w14:textId="4888CBBB" w:rsidR="00D27C89" w:rsidRDefault="00361257" w:rsidP="0032610F">
            <w:pPr>
              <w:pStyle w:val="Small-TableswithinQuotes"/>
            </w:pPr>
            <w:r>
              <w:t>5</w:t>
            </w:r>
          </w:p>
        </w:tc>
        <w:tc>
          <w:tcPr>
            <w:tcW w:w="1948" w:type="dxa"/>
          </w:tcPr>
          <w:p w14:paraId="1CA363AB" w14:textId="5FC00B91" w:rsidR="00D27C89" w:rsidRDefault="00CB19F2" w:rsidP="0032610F">
            <w:pPr>
              <w:pStyle w:val="Small-TableswithinQuotes"/>
            </w:pPr>
            <w:r>
              <w:t>$6</w:t>
            </w:r>
            <w:r w:rsidR="005448C0">
              <w:t>,000,000</w:t>
            </w:r>
          </w:p>
        </w:tc>
        <w:tc>
          <w:tcPr>
            <w:tcW w:w="1948" w:type="dxa"/>
          </w:tcPr>
          <w:p w14:paraId="433365B9" w14:textId="17079D05" w:rsidR="00D27C89" w:rsidRDefault="005530EE" w:rsidP="0032610F">
            <w:pPr>
              <w:pStyle w:val="Small-TableswithinQuotes"/>
            </w:pPr>
            <w:r>
              <w:t>$750,000</w:t>
            </w:r>
          </w:p>
        </w:tc>
      </w:tr>
      <w:tr w:rsidR="00D27C89" w14:paraId="469E6787" w14:textId="77777777" w:rsidTr="00F42AEE">
        <w:tc>
          <w:tcPr>
            <w:tcW w:w="1948" w:type="dxa"/>
          </w:tcPr>
          <w:p w14:paraId="2C38FCC8" w14:textId="48E6CD44" w:rsidR="00D27C89" w:rsidRDefault="005530EE" w:rsidP="0032610F">
            <w:pPr>
              <w:pStyle w:val="Small-TableswithinQuotes"/>
            </w:pPr>
            <w:r>
              <w:t>LC</w:t>
            </w:r>
          </w:p>
        </w:tc>
        <w:tc>
          <w:tcPr>
            <w:tcW w:w="1948" w:type="dxa"/>
          </w:tcPr>
          <w:p w14:paraId="2146591A" w14:textId="595D862A" w:rsidR="00D27C89" w:rsidRDefault="005530EE" w:rsidP="0032610F">
            <w:pPr>
              <w:pStyle w:val="Small-TableswithinQuotes"/>
            </w:pPr>
            <w:r>
              <w:t>6</w:t>
            </w:r>
          </w:p>
        </w:tc>
        <w:tc>
          <w:tcPr>
            <w:tcW w:w="1948" w:type="dxa"/>
          </w:tcPr>
          <w:p w14:paraId="22D5091F" w14:textId="15919AED" w:rsidR="00D27C89" w:rsidRDefault="000C086C" w:rsidP="0032610F">
            <w:pPr>
              <w:pStyle w:val="Small-TableswithinQuotes"/>
            </w:pPr>
            <w:r>
              <w:t>$2,000,000</w:t>
            </w:r>
          </w:p>
        </w:tc>
        <w:tc>
          <w:tcPr>
            <w:tcW w:w="1948" w:type="dxa"/>
          </w:tcPr>
          <w:p w14:paraId="61CBB976" w14:textId="28EAF56C" w:rsidR="00D27C89" w:rsidRDefault="000C086C" w:rsidP="0032610F">
            <w:pPr>
              <w:pStyle w:val="Small-TableswithinQuotes"/>
            </w:pPr>
            <w:r>
              <w:t>$125,</w:t>
            </w:r>
            <w:r w:rsidR="00115922">
              <w:t>000</w:t>
            </w:r>
          </w:p>
        </w:tc>
      </w:tr>
      <w:tr w:rsidR="00D27C89" w14:paraId="4ECE568E" w14:textId="77777777" w:rsidTr="00F42AEE">
        <w:tc>
          <w:tcPr>
            <w:tcW w:w="1948" w:type="dxa"/>
          </w:tcPr>
          <w:p w14:paraId="45F67C6F" w14:textId="21C5915E" w:rsidR="00D27C89" w:rsidRDefault="00115922" w:rsidP="0032610F">
            <w:pPr>
              <w:pStyle w:val="Small-TableswithinQuotes"/>
            </w:pPr>
            <w:r>
              <w:t>EG</w:t>
            </w:r>
            <w:r w:rsidR="004451F6">
              <w:t>*</w:t>
            </w:r>
          </w:p>
        </w:tc>
        <w:tc>
          <w:tcPr>
            <w:tcW w:w="1948" w:type="dxa"/>
          </w:tcPr>
          <w:p w14:paraId="1C1098BA" w14:textId="399F2587" w:rsidR="00D27C89" w:rsidRDefault="00115922" w:rsidP="0032610F">
            <w:pPr>
              <w:pStyle w:val="Small-TableswithinQuotes"/>
            </w:pPr>
            <w:r>
              <w:t>2</w:t>
            </w:r>
          </w:p>
        </w:tc>
        <w:tc>
          <w:tcPr>
            <w:tcW w:w="1948" w:type="dxa"/>
          </w:tcPr>
          <w:p w14:paraId="43BFC859" w14:textId="1E4A0656" w:rsidR="00D27C89" w:rsidRDefault="00115922" w:rsidP="0032610F">
            <w:pPr>
              <w:pStyle w:val="Small-TableswithinQuotes"/>
            </w:pPr>
            <w:r>
              <w:t>$3,000,000</w:t>
            </w:r>
          </w:p>
        </w:tc>
        <w:tc>
          <w:tcPr>
            <w:tcW w:w="1948" w:type="dxa"/>
          </w:tcPr>
          <w:p w14:paraId="2F75E1B0" w14:textId="7E8E7368" w:rsidR="00D27C89" w:rsidRDefault="00115922" w:rsidP="0032610F">
            <w:pPr>
              <w:pStyle w:val="Small-TableswithinQuotes"/>
            </w:pPr>
            <w:r>
              <w:t>$</w:t>
            </w:r>
            <w:r w:rsidR="00D32ECC">
              <w:t>125,000</w:t>
            </w:r>
          </w:p>
        </w:tc>
      </w:tr>
      <w:tr w:rsidR="00D32ECC" w14:paraId="50CC12B3" w14:textId="77777777" w:rsidTr="00F42AEE">
        <w:tc>
          <w:tcPr>
            <w:tcW w:w="1948" w:type="dxa"/>
          </w:tcPr>
          <w:p w14:paraId="10CF6579" w14:textId="2A0DE15A" w:rsidR="00D32ECC" w:rsidRPr="00D32ECC" w:rsidRDefault="00D32ECC" w:rsidP="0032610F">
            <w:pPr>
              <w:pStyle w:val="Small-TableswithinQuotes"/>
              <w:rPr>
                <w:b/>
                <w:bCs/>
              </w:rPr>
            </w:pPr>
            <w:r>
              <w:rPr>
                <w:b/>
                <w:bCs/>
              </w:rPr>
              <w:t>Total</w:t>
            </w:r>
          </w:p>
        </w:tc>
        <w:tc>
          <w:tcPr>
            <w:tcW w:w="1948" w:type="dxa"/>
          </w:tcPr>
          <w:p w14:paraId="7F748621" w14:textId="2C2590EB" w:rsidR="00D32ECC" w:rsidRPr="00D32ECC" w:rsidRDefault="00D32ECC" w:rsidP="0032610F">
            <w:pPr>
              <w:pStyle w:val="Small-TableswithinQuotes"/>
              <w:rPr>
                <w:b/>
                <w:bCs/>
              </w:rPr>
            </w:pPr>
            <w:r>
              <w:rPr>
                <w:b/>
                <w:bCs/>
              </w:rPr>
              <w:t>49</w:t>
            </w:r>
          </w:p>
        </w:tc>
        <w:tc>
          <w:tcPr>
            <w:tcW w:w="1948" w:type="dxa"/>
          </w:tcPr>
          <w:p w14:paraId="344AA284" w14:textId="2E308A51" w:rsidR="00D32ECC" w:rsidRPr="00BB65DB" w:rsidRDefault="00BB65DB" w:rsidP="0032610F">
            <w:pPr>
              <w:pStyle w:val="Small-TableswithinQuotes"/>
              <w:rPr>
                <w:b/>
                <w:bCs/>
              </w:rPr>
            </w:pPr>
            <w:r>
              <w:rPr>
                <w:b/>
                <w:bCs/>
              </w:rPr>
              <w:t>$23,000,000</w:t>
            </w:r>
          </w:p>
        </w:tc>
        <w:tc>
          <w:tcPr>
            <w:tcW w:w="1948" w:type="dxa"/>
          </w:tcPr>
          <w:p w14:paraId="2E49659D" w14:textId="0F14BB01" w:rsidR="00D32ECC" w:rsidRPr="008D4788" w:rsidRDefault="008D4788" w:rsidP="0032610F">
            <w:pPr>
              <w:pStyle w:val="Small-TableswithinQuotes"/>
              <w:rPr>
                <w:b/>
                <w:bCs/>
              </w:rPr>
            </w:pPr>
            <w:r>
              <w:rPr>
                <w:b/>
                <w:bCs/>
              </w:rPr>
              <w:t>$</w:t>
            </w:r>
            <w:r w:rsidR="00AB73D1">
              <w:rPr>
                <w:b/>
                <w:bCs/>
              </w:rPr>
              <w:t>3,000,000</w:t>
            </w:r>
          </w:p>
        </w:tc>
      </w:tr>
    </w:tbl>
    <w:p w14:paraId="071987B2" w14:textId="7F8036EB" w:rsidR="00602828" w:rsidRDefault="004451F6" w:rsidP="002339C1">
      <w:pPr>
        <w:pStyle w:val="Small-TableswithinQuotes"/>
        <w:ind w:left="720" w:hanging="720"/>
      </w:pPr>
      <w:r>
        <w:tab/>
        <w:t>*</w:t>
      </w:r>
      <w:r w:rsidR="00EF54DD">
        <w:t>Contraventions occurred after the increase to maximum penalty amount on 1 September 2018</w:t>
      </w:r>
      <w:r w:rsidR="007E2AA4">
        <w:t>.  S</w:t>
      </w:r>
      <w:r w:rsidR="00F83A96">
        <w:t>ee [</w:t>
      </w:r>
      <w:r w:rsidR="00CF5BCD">
        <w:fldChar w:fldCharType="begin"/>
      </w:r>
      <w:r w:rsidR="00CF5BCD">
        <w:instrText xml:space="preserve"> REF _Ref158385984 \r \h </w:instrText>
      </w:r>
      <w:r w:rsidR="00CF5BCD">
        <w:fldChar w:fldCharType="separate"/>
      </w:r>
      <w:r w:rsidR="002339C1">
        <w:t>49</w:t>
      </w:r>
      <w:r w:rsidR="00CF5BCD">
        <w:fldChar w:fldCharType="end"/>
      </w:r>
      <w:r w:rsidR="000D5479">
        <w:t>]</w:t>
      </w:r>
      <w:proofErr w:type="gramStart"/>
      <w:r w:rsidR="000D5479">
        <w:t>–</w:t>
      </w:r>
      <w:r w:rsidR="00DD2DB1">
        <w:t>[</w:t>
      </w:r>
      <w:proofErr w:type="gramEnd"/>
      <w:r w:rsidR="00DD2DB1">
        <w:fldChar w:fldCharType="begin"/>
      </w:r>
      <w:r w:rsidR="00DD2DB1">
        <w:instrText xml:space="preserve"> REF _Ref158386460 \r \h </w:instrText>
      </w:r>
      <w:r w:rsidR="00DD2DB1">
        <w:fldChar w:fldCharType="separate"/>
      </w:r>
      <w:r w:rsidR="002339C1">
        <w:t>52</w:t>
      </w:r>
      <w:r w:rsidR="00DD2DB1">
        <w:fldChar w:fldCharType="end"/>
      </w:r>
      <w:r w:rsidR="00DD2DB1">
        <w:t>]</w:t>
      </w:r>
      <w:r w:rsidR="007E2AA4">
        <w:t xml:space="preserve"> below</w:t>
      </w:r>
      <w:r w:rsidR="00717E76">
        <w:t>.</w:t>
      </w:r>
    </w:p>
    <w:p w14:paraId="4953E63C" w14:textId="78C57BAC" w:rsidR="0025595A" w:rsidRDefault="007C3488" w:rsidP="007C3488">
      <w:pPr>
        <w:pStyle w:val="ParaNumbering"/>
        <w:numPr>
          <w:ilvl w:val="0"/>
          <w:numId w:val="0"/>
        </w:numPr>
        <w:ind w:hanging="720"/>
      </w:pPr>
      <w:r>
        <w:rPr>
          <w:sz w:val="20"/>
        </w:rPr>
        <w:t>48</w:t>
      </w:r>
      <w:r>
        <w:rPr>
          <w:sz w:val="20"/>
        </w:rPr>
        <w:tab/>
      </w:r>
      <w:r w:rsidR="0025595A">
        <w:t xml:space="preserve">I now turn to </w:t>
      </w:r>
      <w:r w:rsidR="000C4D8A">
        <w:t xml:space="preserve">deal with the various considerations </w:t>
      </w:r>
      <w:r w:rsidR="0025595A">
        <w:t xml:space="preserve">relevant </w:t>
      </w:r>
      <w:r w:rsidR="000C4D8A">
        <w:t>to the penalt</w:t>
      </w:r>
      <w:r w:rsidR="005F2E74">
        <w:t>ies to be imposed in the circumstances of this case</w:t>
      </w:r>
      <w:r w:rsidR="0025595A">
        <w:t>.</w:t>
      </w:r>
    </w:p>
    <w:p w14:paraId="5122EAB6" w14:textId="704C568D" w:rsidR="00BA1E1A" w:rsidRDefault="00BA1E1A" w:rsidP="0046414B">
      <w:pPr>
        <w:pStyle w:val="Heading3"/>
      </w:pPr>
      <w:r>
        <w:t>Maximum penalty</w:t>
      </w:r>
    </w:p>
    <w:p w14:paraId="796D0808" w14:textId="1ECE84F7" w:rsidR="00CD1B9F" w:rsidRDefault="007C3488" w:rsidP="007C3488">
      <w:pPr>
        <w:pStyle w:val="ParaNumbering"/>
        <w:numPr>
          <w:ilvl w:val="0"/>
          <w:numId w:val="0"/>
        </w:numPr>
        <w:ind w:hanging="720"/>
        <w:rPr>
          <w:lang w:eastAsia="en-AU"/>
        </w:rPr>
      </w:pPr>
      <w:bookmarkStart w:id="41" w:name="_Ref158385984"/>
      <w:r>
        <w:rPr>
          <w:sz w:val="20"/>
          <w:lang w:eastAsia="en-AU"/>
        </w:rPr>
        <w:t>49</w:t>
      </w:r>
      <w:r>
        <w:rPr>
          <w:sz w:val="20"/>
          <w:lang w:eastAsia="en-AU"/>
        </w:rPr>
        <w:tab/>
      </w:r>
      <w:r w:rsidR="00CD1B9F">
        <w:t xml:space="preserve">The contraventions </w:t>
      </w:r>
      <w:r w:rsidR="00B96ED3">
        <w:t xml:space="preserve">here </w:t>
      </w:r>
      <w:r w:rsidR="00CD1B9F">
        <w:t>occurred over an extensive period</w:t>
      </w:r>
      <w:r w:rsidR="00B96ED3">
        <w:t>,</w:t>
      </w:r>
      <w:r w:rsidR="00CD1B9F">
        <w:t xml:space="preserve"> namely </w:t>
      </w:r>
      <w:r w:rsidR="00BB4406">
        <w:t xml:space="preserve">between </w:t>
      </w:r>
      <w:r w:rsidR="004030E1">
        <w:t xml:space="preserve">June 2017 </w:t>
      </w:r>
      <w:r w:rsidR="000571FE">
        <w:t>and June 2019</w:t>
      </w:r>
      <w:r w:rsidR="00CD1B9F">
        <w:t>.  At a point during that period the maximum penalty changed.  Pursuant to</w:t>
      </w:r>
      <w:r w:rsidR="0047331F">
        <w:t xml:space="preserve"> </w:t>
      </w:r>
      <w:r w:rsidR="00CD1B9F">
        <w:t>item 2 in</w:t>
      </w:r>
      <w:r w:rsidR="0047331F">
        <w:t xml:space="preserve"> </w:t>
      </w:r>
      <w:r w:rsidR="00CD1B9F">
        <w:t>the table in s 224(3) of the ACL,</w:t>
      </w:r>
      <w:r w:rsidR="0047331F">
        <w:t xml:space="preserve"> </w:t>
      </w:r>
      <w:r w:rsidR="00CD1B9F">
        <w:t>for the period prior</w:t>
      </w:r>
      <w:r w:rsidR="0047331F">
        <w:t xml:space="preserve"> </w:t>
      </w:r>
      <w:r w:rsidR="00CD1B9F">
        <w:t>to 1 September 2018,</w:t>
      </w:r>
      <w:r w:rsidR="0047331F">
        <w:t xml:space="preserve"> </w:t>
      </w:r>
      <w:r w:rsidR="00CD1B9F">
        <w:t>the maximum penalty for a body corporate for each contravention of s 29</w:t>
      </w:r>
      <w:r w:rsidR="009F2BE6">
        <w:t>(1)(m)</w:t>
      </w:r>
      <w:r w:rsidR="00CD1B9F">
        <w:t xml:space="preserve"> of the ACL is $1.1 million.</w:t>
      </w:r>
      <w:r w:rsidR="0047331F">
        <w:t xml:space="preserve">  </w:t>
      </w:r>
      <w:r w:rsidR="00CD1B9F">
        <w:t>Pursuant to ss 224(3) and</w:t>
      </w:r>
      <w:r w:rsidR="0047331F">
        <w:t xml:space="preserve"> </w:t>
      </w:r>
      <w:r w:rsidR="00CD1B9F" w:rsidRPr="00416014">
        <w:t>224(3A)</w:t>
      </w:r>
      <w:r w:rsidR="00CD1B9F">
        <w:t>, for the period</w:t>
      </w:r>
      <w:r w:rsidR="0047331F">
        <w:t xml:space="preserve"> </w:t>
      </w:r>
      <w:r w:rsidR="00CD1B9F">
        <w:t>from 1 September 2018</w:t>
      </w:r>
      <w:r w:rsidR="00B55FA3">
        <w:t xml:space="preserve"> until 9 November 2023 (when maximum</w:t>
      </w:r>
      <w:r w:rsidR="00CB26D9">
        <w:t xml:space="preserve"> penalty amounts were </w:t>
      </w:r>
      <w:r w:rsidR="002F5EE8">
        <w:t xml:space="preserve">further </w:t>
      </w:r>
      <w:r w:rsidR="00CB26D9">
        <w:t>increased)</w:t>
      </w:r>
      <w:r w:rsidR="00CD1B9F">
        <w:t>, the maximum penalty</w:t>
      </w:r>
      <w:r w:rsidR="006B1ACF">
        <w:t xml:space="preserve"> </w:t>
      </w:r>
      <w:r w:rsidR="00CD1B9F">
        <w:t>for a body corporate</w:t>
      </w:r>
      <w:r w:rsidR="00DD46A0">
        <w:t xml:space="preserve"> </w:t>
      </w:r>
      <w:r w:rsidR="00CD1B9F">
        <w:t>for</w:t>
      </w:r>
      <w:r w:rsidR="00CB26D9">
        <w:t xml:space="preserve"> </w:t>
      </w:r>
      <w:r w:rsidR="00CD1B9F">
        <w:t>each</w:t>
      </w:r>
      <w:r w:rsidR="00DD46A0">
        <w:t xml:space="preserve"> </w:t>
      </w:r>
      <w:r w:rsidR="00CD1B9F">
        <w:t>such</w:t>
      </w:r>
      <w:r w:rsidR="00DD46A0">
        <w:t xml:space="preserve"> </w:t>
      </w:r>
      <w:r w:rsidR="00CD1B9F">
        <w:t>contravention</w:t>
      </w:r>
      <w:r w:rsidR="00DD46A0">
        <w:t xml:space="preserve"> </w:t>
      </w:r>
      <w:r w:rsidR="00CD1B9F">
        <w:t>was raised from $1.1 million</w:t>
      </w:r>
      <w:r w:rsidR="00DD46A0">
        <w:t xml:space="preserve"> </w:t>
      </w:r>
      <w:proofErr w:type="gramStart"/>
      <w:r w:rsidR="00CD1B9F">
        <w:t>so as to</w:t>
      </w:r>
      <w:proofErr w:type="gramEnd"/>
      <w:r w:rsidR="00CD1B9F">
        <w:t xml:space="preserve"> not exceed</w:t>
      </w:r>
      <w:r w:rsidR="00DD46A0">
        <w:t xml:space="preserve"> </w:t>
      </w:r>
      <w:r w:rsidR="00CD1B9F" w:rsidRPr="00696369">
        <w:t>the greater of:</w:t>
      </w:r>
      <w:bookmarkEnd w:id="41"/>
    </w:p>
    <w:p w14:paraId="66DA16D6" w14:textId="690FD0EA" w:rsidR="00CD1B9F" w:rsidRDefault="007C3488" w:rsidP="007C3488">
      <w:pPr>
        <w:pStyle w:val="ListNo1alt"/>
        <w:numPr>
          <w:ilvl w:val="0"/>
          <w:numId w:val="0"/>
        </w:numPr>
        <w:tabs>
          <w:tab w:val="left" w:pos="720"/>
        </w:tabs>
        <w:ind w:left="720" w:hanging="720"/>
      </w:pPr>
      <w:r>
        <w:t>(a)</w:t>
      </w:r>
      <w:r>
        <w:tab/>
      </w:r>
      <w:r w:rsidR="00CD1B9F">
        <w:t>$10 million; or</w:t>
      </w:r>
    </w:p>
    <w:p w14:paraId="57AAFA5D" w14:textId="0CCE7FF7" w:rsidR="00CD1B9F" w:rsidRDefault="007C3488" w:rsidP="007C3488">
      <w:pPr>
        <w:pStyle w:val="ListNo1alt"/>
        <w:numPr>
          <w:ilvl w:val="0"/>
          <w:numId w:val="0"/>
        </w:numPr>
        <w:tabs>
          <w:tab w:val="left" w:pos="720"/>
        </w:tabs>
        <w:ind w:left="720" w:hanging="720"/>
      </w:pPr>
      <w:r>
        <w:t>(b)</w:t>
      </w:r>
      <w:r>
        <w:tab/>
      </w:r>
      <w:r w:rsidR="00CD1B9F">
        <w:t>if the court can determine the value of the benefit that the body corporate</w:t>
      </w:r>
      <w:r w:rsidR="00DD46A0">
        <w:t xml:space="preserve"> </w:t>
      </w:r>
      <w:r w:rsidR="00CD1B9F">
        <w:t>has</w:t>
      </w:r>
      <w:r w:rsidR="00DD46A0">
        <w:t xml:space="preserve"> </w:t>
      </w:r>
      <w:r w:rsidR="00CD1B9F">
        <w:t>obtained directly or indirectly and that is reasonably attributable to the act or omission—3 times the value of that benefit; or</w:t>
      </w:r>
    </w:p>
    <w:p w14:paraId="5553ADD5" w14:textId="0986A0AB" w:rsidR="00CD1B9F" w:rsidRDefault="007C3488" w:rsidP="007C3488">
      <w:pPr>
        <w:pStyle w:val="ListNo1alt"/>
        <w:numPr>
          <w:ilvl w:val="0"/>
          <w:numId w:val="0"/>
        </w:numPr>
        <w:tabs>
          <w:tab w:val="left" w:pos="720"/>
        </w:tabs>
        <w:ind w:left="720" w:hanging="720"/>
      </w:pPr>
      <w:r>
        <w:t>(c)</w:t>
      </w:r>
      <w:r>
        <w:tab/>
      </w:r>
      <w:r w:rsidR="00CD1B9F">
        <w:t xml:space="preserve">if the court cannot determine the value of that benefit </w:t>
      </w:r>
      <w:r w:rsidR="00DD46A0">
        <w:t>—</w:t>
      </w:r>
      <w:r w:rsidR="00CD1B9F">
        <w:t xml:space="preserve"> 10% of the annual turnover of the body corporate during the </w:t>
      </w:r>
      <w:proofErr w:type="gramStart"/>
      <w:r w:rsidR="00CD1B9F">
        <w:t>12 month</w:t>
      </w:r>
      <w:proofErr w:type="gramEnd"/>
      <w:r w:rsidR="00CD1B9F">
        <w:t xml:space="preserve"> period ending at the end of the month in which the act or omission occurred or started to occur.</w:t>
      </w:r>
    </w:p>
    <w:p w14:paraId="06409B60" w14:textId="26864EB8" w:rsidR="00CD1B9F" w:rsidRPr="00FE3BFE" w:rsidRDefault="007C3488" w:rsidP="007C3488">
      <w:pPr>
        <w:pStyle w:val="ParaNumbering"/>
        <w:numPr>
          <w:ilvl w:val="0"/>
          <w:numId w:val="0"/>
        </w:numPr>
        <w:ind w:hanging="720"/>
        <w:rPr>
          <w:szCs w:val="24"/>
        </w:rPr>
      </w:pPr>
      <w:r w:rsidRPr="00FE3BFE">
        <w:rPr>
          <w:sz w:val="20"/>
          <w:szCs w:val="24"/>
        </w:rPr>
        <w:lastRenderedPageBreak/>
        <w:t>50</w:t>
      </w:r>
      <w:r w:rsidRPr="00FE3BFE">
        <w:rPr>
          <w:sz w:val="20"/>
          <w:szCs w:val="24"/>
        </w:rPr>
        <w:tab/>
      </w:r>
      <w:r w:rsidR="00CD1B9F" w:rsidRPr="00416014">
        <w:t>Section 295</w:t>
      </w:r>
      <w:r w:rsidR="00CD1B9F">
        <w:t xml:space="preserve"> provides that the new, higher maximum penalties provided for in s 224(3A</w:t>
      </w:r>
      <w:r w:rsidR="003C74F7">
        <w:t xml:space="preserve">) </w:t>
      </w:r>
      <w:r w:rsidR="00CD1B9F">
        <w:t>apply</w:t>
      </w:r>
      <w:r w:rsidR="003C74F7">
        <w:t xml:space="preserve"> </w:t>
      </w:r>
      <w:r w:rsidR="00CD1B9F">
        <w:t>only to acts or omissions that occur on or after 1 September 2018.</w:t>
      </w:r>
    </w:p>
    <w:p w14:paraId="7CCD5740" w14:textId="7B347556" w:rsidR="00DC339F" w:rsidRDefault="007C3488" w:rsidP="007C3488">
      <w:pPr>
        <w:pStyle w:val="ParaNumbering"/>
        <w:numPr>
          <w:ilvl w:val="0"/>
          <w:numId w:val="0"/>
        </w:numPr>
        <w:ind w:hanging="720"/>
      </w:pPr>
      <w:r>
        <w:rPr>
          <w:sz w:val="20"/>
        </w:rPr>
        <w:t>51</w:t>
      </w:r>
      <w:r>
        <w:rPr>
          <w:sz w:val="20"/>
        </w:rPr>
        <w:tab/>
      </w:r>
      <w:r w:rsidR="00A44719">
        <w:t xml:space="preserve">With respect to Mazda’s contraventions </w:t>
      </w:r>
      <w:r w:rsidR="00DA1C81">
        <w:t xml:space="preserve">on or </w:t>
      </w:r>
      <w:r w:rsidR="00A44719">
        <w:t>after 1 September 2018, t</w:t>
      </w:r>
      <w:r w:rsidR="00F40815">
        <w:t xml:space="preserve">he ACCC </w:t>
      </w:r>
      <w:r w:rsidR="00A703F5">
        <w:t>submitted that s</w:t>
      </w:r>
      <w:r w:rsidR="00A44719">
        <w:t xml:space="preserve"> 224(3</w:t>
      </w:r>
      <w:proofErr w:type="gramStart"/>
      <w:r w:rsidR="00A44719">
        <w:t>A)(</w:t>
      </w:r>
      <w:proofErr w:type="gramEnd"/>
      <w:r w:rsidR="00A44719">
        <w:t>a) applied</w:t>
      </w:r>
      <w:r w:rsidR="00A703F5">
        <w:t xml:space="preserve"> </w:t>
      </w:r>
      <w:r w:rsidR="007F2879">
        <w:t xml:space="preserve">and </w:t>
      </w:r>
      <w:r w:rsidR="00F564B7">
        <w:t xml:space="preserve">did not seek to rely on ss 224(3A)(b) </w:t>
      </w:r>
      <w:r w:rsidR="00A703F5">
        <w:t>or (c)</w:t>
      </w:r>
      <w:r w:rsidR="001C4D47">
        <w:t>.</w:t>
      </w:r>
    </w:p>
    <w:p w14:paraId="39C25FBE" w14:textId="68581B3D" w:rsidR="00110126" w:rsidRDefault="007C3488" w:rsidP="007C3488">
      <w:pPr>
        <w:pStyle w:val="ParaNumbering"/>
        <w:numPr>
          <w:ilvl w:val="0"/>
          <w:numId w:val="0"/>
        </w:numPr>
        <w:ind w:hanging="720"/>
      </w:pPr>
      <w:bookmarkStart w:id="42" w:name="_Ref158386460"/>
      <w:r>
        <w:rPr>
          <w:sz w:val="20"/>
        </w:rPr>
        <w:t>52</w:t>
      </w:r>
      <w:r>
        <w:rPr>
          <w:sz w:val="20"/>
        </w:rPr>
        <w:tab/>
      </w:r>
      <w:r w:rsidR="00563300">
        <w:t>The</w:t>
      </w:r>
      <w:r w:rsidR="00A01DC7">
        <w:t xml:space="preserve"> parties</w:t>
      </w:r>
      <w:r w:rsidR="00662E45">
        <w:t xml:space="preserve"> agreed that </w:t>
      </w:r>
      <w:r w:rsidR="00C8256C">
        <w:t xml:space="preserve">there were 49 contraventions of s 29(1)(m), 42 </w:t>
      </w:r>
      <w:r w:rsidR="00B8670E">
        <w:t xml:space="preserve">of which </w:t>
      </w:r>
      <w:r w:rsidR="00C8256C">
        <w:t>occur</w:t>
      </w:r>
      <w:r w:rsidR="000E3D2B">
        <w:t>r</w:t>
      </w:r>
      <w:r w:rsidR="00B8670E">
        <w:t>ed</w:t>
      </w:r>
      <w:r w:rsidR="00C8256C">
        <w:t xml:space="preserve"> before 1 September 2018 and </w:t>
      </w:r>
      <w:r w:rsidR="008B5BEF">
        <w:t>seven</w:t>
      </w:r>
      <w:r w:rsidR="00A50027">
        <w:t xml:space="preserve"> occurring after</w:t>
      </w:r>
      <w:r w:rsidR="00905B16">
        <w:t xml:space="preserve"> 1 September 2018.  The</w:t>
      </w:r>
      <w:r w:rsidR="004028B0">
        <w:t xml:space="preserve"> agreed total </w:t>
      </w:r>
      <w:r w:rsidR="008B5BEF">
        <w:t xml:space="preserve">theoretical </w:t>
      </w:r>
      <w:r w:rsidR="004028B0">
        <w:t xml:space="preserve">maximum penalty is </w:t>
      </w:r>
      <w:r w:rsidR="00B14474">
        <w:t xml:space="preserve">therefore </w:t>
      </w:r>
      <w:r w:rsidR="004028B0">
        <w:t>$116.2 million, as set out in the</w:t>
      </w:r>
      <w:r w:rsidR="00A50027">
        <w:t xml:space="preserve"> </w:t>
      </w:r>
      <w:r w:rsidR="00563300">
        <w:t>following table:</w:t>
      </w:r>
      <w:bookmarkEnd w:id="42"/>
      <w:r w:rsidR="00563300">
        <w:t xml:space="preserve"> </w:t>
      </w:r>
    </w:p>
    <w:tbl>
      <w:tblPr>
        <w:tblW w:w="0" w:type="auto"/>
        <w:tblInd w:w="9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565"/>
        <w:gridCol w:w="1606"/>
        <w:gridCol w:w="1930"/>
        <w:gridCol w:w="1664"/>
        <w:gridCol w:w="1405"/>
      </w:tblGrid>
      <w:tr w:rsidR="00AF66A1" w14:paraId="74810E2B" w14:textId="77777777" w:rsidTr="00F42AEE">
        <w:trPr>
          <w:trHeight w:val="964"/>
        </w:trPr>
        <w:tc>
          <w:tcPr>
            <w:tcW w:w="1565" w:type="dxa"/>
            <w:shd w:val="clear" w:color="auto" w:fill="D9D9D9"/>
          </w:tcPr>
          <w:p w14:paraId="58D365D3" w14:textId="77777777" w:rsidR="00AF66A1" w:rsidRPr="00C94433" w:rsidRDefault="00AF66A1" w:rsidP="00C94433">
            <w:pPr>
              <w:pStyle w:val="Small-TableswithinQuotes"/>
              <w:rPr>
                <w:b/>
                <w:bCs/>
              </w:rPr>
            </w:pPr>
            <w:r w:rsidRPr="00C94433">
              <w:rPr>
                <w:b/>
                <w:bCs/>
              </w:rPr>
              <w:t>Time</w:t>
            </w:r>
            <w:r w:rsidRPr="00C94433">
              <w:rPr>
                <w:b/>
                <w:bCs/>
                <w:spacing w:val="-5"/>
              </w:rPr>
              <w:t xml:space="preserve"> </w:t>
            </w:r>
            <w:r w:rsidRPr="00C94433">
              <w:rPr>
                <w:b/>
                <w:bCs/>
              </w:rPr>
              <w:t>period</w:t>
            </w:r>
          </w:p>
        </w:tc>
        <w:tc>
          <w:tcPr>
            <w:tcW w:w="1606" w:type="dxa"/>
            <w:shd w:val="clear" w:color="auto" w:fill="D9D9D9"/>
          </w:tcPr>
          <w:p w14:paraId="40F63AE0" w14:textId="77777777" w:rsidR="00AF66A1" w:rsidRPr="00C94433" w:rsidRDefault="00AF66A1" w:rsidP="00C94433">
            <w:pPr>
              <w:pStyle w:val="Small-TableswithinQuotes"/>
              <w:rPr>
                <w:b/>
                <w:bCs/>
              </w:rPr>
            </w:pPr>
            <w:r w:rsidRPr="00C94433">
              <w:rPr>
                <w:b/>
                <w:bCs/>
              </w:rPr>
              <w:t>Maximum per contravention</w:t>
            </w:r>
          </w:p>
        </w:tc>
        <w:tc>
          <w:tcPr>
            <w:tcW w:w="1930" w:type="dxa"/>
            <w:shd w:val="clear" w:color="auto" w:fill="D9D9D9"/>
          </w:tcPr>
          <w:p w14:paraId="413D7A71" w14:textId="77777777" w:rsidR="00AF66A1" w:rsidRPr="00C94433" w:rsidRDefault="00AF66A1" w:rsidP="00C94433">
            <w:pPr>
              <w:pStyle w:val="Small-TableswithinQuotes"/>
              <w:rPr>
                <w:b/>
                <w:bCs/>
              </w:rPr>
            </w:pPr>
            <w:r w:rsidRPr="00C94433">
              <w:rPr>
                <w:b/>
                <w:bCs/>
              </w:rPr>
              <w:t>Total</w:t>
            </w:r>
            <w:r w:rsidRPr="00C94433">
              <w:rPr>
                <w:b/>
                <w:bCs/>
                <w:spacing w:val="-15"/>
              </w:rPr>
              <w:t xml:space="preserve"> </w:t>
            </w:r>
            <w:r w:rsidRPr="00C94433">
              <w:rPr>
                <w:b/>
                <w:bCs/>
              </w:rPr>
              <w:t>number</w:t>
            </w:r>
            <w:r w:rsidRPr="00C94433">
              <w:rPr>
                <w:b/>
                <w:bCs/>
                <w:spacing w:val="-15"/>
              </w:rPr>
              <w:t xml:space="preserve"> </w:t>
            </w:r>
            <w:r w:rsidRPr="00C94433">
              <w:rPr>
                <w:b/>
                <w:bCs/>
              </w:rPr>
              <w:t>of contraventions</w:t>
            </w:r>
          </w:p>
        </w:tc>
        <w:tc>
          <w:tcPr>
            <w:tcW w:w="1664" w:type="dxa"/>
            <w:shd w:val="clear" w:color="auto" w:fill="D9D9D9"/>
          </w:tcPr>
          <w:p w14:paraId="6E8F1D6F" w14:textId="77777777" w:rsidR="00AF66A1" w:rsidRPr="00C94433" w:rsidRDefault="00AF66A1" w:rsidP="00C94433">
            <w:pPr>
              <w:pStyle w:val="Small-TableswithinQuotes"/>
              <w:rPr>
                <w:b/>
                <w:bCs/>
              </w:rPr>
            </w:pPr>
            <w:r w:rsidRPr="00C94433">
              <w:rPr>
                <w:b/>
                <w:bCs/>
              </w:rPr>
              <w:t>Relevant Consumers</w:t>
            </w:r>
          </w:p>
        </w:tc>
        <w:tc>
          <w:tcPr>
            <w:tcW w:w="1405" w:type="dxa"/>
            <w:shd w:val="clear" w:color="auto" w:fill="D9D9D9"/>
          </w:tcPr>
          <w:p w14:paraId="03692A1B" w14:textId="77777777" w:rsidR="00AF66A1" w:rsidRPr="00C94433" w:rsidRDefault="00AF66A1" w:rsidP="00C94433">
            <w:pPr>
              <w:pStyle w:val="Small-TableswithinQuotes"/>
              <w:rPr>
                <w:b/>
                <w:bCs/>
              </w:rPr>
            </w:pPr>
            <w:r w:rsidRPr="00C94433">
              <w:rPr>
                <w:b/>
                <w:bCs/>
              </w:rPr>
              <w:t>Total maximum available</w:t>
            </w:r>
          </w:p>
        </w:tc>
      </w:tr>
      <w:tr w:rsidR="00AF66A1" w14:paraId="0CBF83FC" w14:textId="77777777" w:rsidTr="00F42AEE">
        <w:trPr>
          <w:trHeight w:val="964"/>
        </w:trPr>
        <w:tc>
          <w:tcPr>
            <w:tcW w:w="1565" w:type="dxa"/>
          </w:tcPr>
          <w:p w14:paraId="160988F3" w14:textId="77777777" w:rsidR="00AF66A1" w:rsidRDefault="00AF66A1" w:rsidP="00C94433">
            <w:pPr>
              <w:pStyle w:val="Small-TableswithinQuotes"/>
              <w:rPr>
                <w:spacing w:val="-4"/>
              </w:rPr>
            </w:pPr>
            <w:r>
              <w:rPr>
                <w:spacing w:val="-4"/>
              </w:rPr>
              <w:t xml:space="preserve">Pre- </w:t>
            </w:r>
            <w:r>
              <w:t xml:space="preserve">September </w:t>
            </w:r>
            <w:r>
              <w:rPr>
                <w:spacing w:val="-4"/>
              </w:rPr>
              <w:t>2018</w:t>
            </w:r>
          </w:p>
        </w:tc>
        <w:tc>
          <w:tcPr>
            <w:tcW w:w="1606" w:type="dxa"/>
          </w:tcPr>
          <w:p w14:paraId="06D7998A" w14:textId="77777777" w:rsidR="00AF66A1" w:rsidRDefault="00AF66A1" w:rsidP="00C94433">
            <w:pPr>
              <w:pStyle w:val="Small-TableswithinQuotes"/>
            </w:pPr>
            <w:r>
              <w:t>$1.1</w:t>
            </w:r>
            <w:r>
              <w:rPr>
                <w:spacing w:val="-5"/>
              </w:rPr>
              <w:t xml:space="preserve"> </w:t>
            </w:r>
            <w:r>
              <w:t>million</w:t>
            </w:r>
          </w:p>
        </w:tc>
        <w:tc>
          <w:tcPr>
            <w:tcW w:w="1930" w:type="dxa"/>
          </w:tcPr>
          <w:p w14:paraId="1829ECA5" w14:textId="77777777" w:rsidR="00AF66A1" w:rsidRDefault="00AF66A1" w:rsidP="00C94433">
            <w:pPr>
              <w:pStyle w:val="Small-TableswithinQuotes"/>
              <w:rPr>
                <w:spacing w:val="-5"/>
              </w:rPr>
            </w:pPr>
            <w:r>
              <w:rPr>
                <w:spacing w:val="-5"/>
              </w:rPr>
              <w:t>42</w:t>
            </w:r>
          </w:p>
        </w:tc>
        <w:tc>
          <w:tcPr>
            <w:tcW w:w="1664" w:type="dxa"/>
          </w:tcPr>
          <w:p w14:paraId="1B68418C" w14:textId="77777777" w:rsidR="00AF66A1" w:rsidRDefault="00AF66A1" w:rsidP="00C94433">
            <w:pPr>
              <w:pStyle w:val="Small-TableswithinQuotes"/>
            </w:pPr>
            <w:r>
              <w:t>RC,</w:t>
            </w:r>
            <w:r>
              <w:rPr>
                <w:spacing w:val="-15"/>
              </w:rPr>
              <w:t xml:space="preserve"> </w:t>
            </w:r>
            <w:r>
              <w:t>MT</w:t>
            </w:r>
            <w:r>
              <w:rPr>
                <w:spacing w:val="-15"/>
              </w:rPr>
              <w:t xml:space="preserve"> </w:t>
            </w:r>
            <w:r>
              <w:t>and CT, LC, SB</w:t>
            </w:r>
          </w:p>
          <w:p w14:paraId="09A755E7" w14:textId="77777777" w:rsidR="00AF66A1" w:rsidRDefault="00AF66A1" w:rsidP="00C94433">
            <w:pPr>
              <w:pStyle w:val="Small-TableswithinQuotes"/>
              <w:rPr>
                <w:spacing w:val="-5"/>
              </w:rPr>
            </w:pPr>
            <w:r>
              <w:t>and KB,</w:t>
            </w:r>
            <w:r>
              <w:rPr>
                <w:spacing w:val="-3"/>
              </w:rPr>
              <w:t xml:space="preserve"> </w:t>
            </w:r>
            <w:r>
              <w:rPr>
                <w:spacing w:val="-5"/>
              </w:rPr>
              <w:t>MG</w:t>
            </w:r>
          </w:p>
        </w:tc>
        <w:tc>
          <w:tcPr>
            <w:tcW w:w="1405" w:type="dxa"/>
          </w:tcPr>
          <w:p w14:paraId="739741AD" w14:textId="77777777" w:rsidR="00AF66A1" w:rsidRDefault="00AF66A1" w:rsidP="00C94433">
            <w:pPr>
              <w:pStyle w:val="Small-TableswithinQuotes"/>
            </w:pPr>
            <w:r>
              <w:t>$46.2</w:t>
            </w:r>
            <w:r>
              <w:rPr>
                <w:spacing w:val="-8"/>
              </w:rPr>
              <w:t xml:space="preserve"> </w:t>
            </w:r>
            <w:r>
              <w:t>million</w:t>
            </w:r>
          </w:p>
        </w:tc>
      </w:tr>
      <w:tr w:rsidR="00AF66A1" w14:paraId="3EAECCD1" w14:textId="77777777" w:rsidTr="00F42AEE">
        <w:trPr>
          <w:trHeight w:val="724"/>
        </w:trPr>
        <w:tc>
          <w:tcPr>
            <w:tcW w:w="1565" w:type="dxa"/>
          </w:tcPr>
          <w:p w14:paraId="2A371105" w14:textId="77777777" w:rsidR="00AF66A1" w:rsidRDefault="00AF66A1" w:rsidP="00C94433">
            <w:pPr>
              <w:pStyle w:val="Small-TableswithinQuotes"/>
            </w:pPr>
            <w:r>
              <w:t>September 2018</w:t>
            </w:r>
            <w:r>
              <w:rPr>
                <w:spacing w:val="-15"/>
              </w:rPr>
              <w:t xml:space="preserve"> </w:t>
            </w:r>
            <w:r>
              <w:t>onwards</w:t>
            </w:r>
          </w:p>
        </w:tc>
        <w:tc>
          <w:tcPr>
            <w:tcW w:w="1606" w:type="dxa"/>
          </w:tcPr>
          <w:p w14:paraId="1D94C8AE" w14:textId="77777777" w:rsidR="00AF66A1" w:rsidRDefault="00AF66A1" w:rsidP="00C94433">
            <w:pPr>
              <w:pStyle w:val="Small-TableswithinQuotes"/>
            </w:pPr>
            <w:r>
              <w:t>$10</w:t>
            </w:r>
            <w:r>
              <w:rPr>
                <w:spacing w:val="-5"/>
              </w:rPr>
              <w:t xml:space="preserve"> </w:t>
            </w:r>
            <w:r>
              <w:t>million</w:t>
            </w:r>
          </w:p>
        </w:tc>
        <w:tc>
          <w:tcPr>
            <w:tcW w:w="1930" w:type="dxa"/>
          </w:tcPr>
          <w:p w14:paraId="6FE38935" w14:textId="77777777" w:rsidR="00AF66A1" w:rsidRDefault="00AF66A1" w:rsidP="00C94433">
            <w:pPr>
              <w:pStyle w:val="Small-TableswithinQuotes"/>
            </w:pPr>
            <w:r>
              <w:t>7</w:t>
            </w:r>
          </w:p>
        </w:tc>
        <w:tc>
          <w:tcPr>
            <w:tcW w:w="1664" w:type="dxa"/>
          </w:tcPr>
          <w:p w14:paraId="0713B9D5" w14:textId="77777777" w:rsidR="00AF66A1" w:rsidRDefault="00AF66A1" w:rsidP="00C94433">
            <w:pPr>
              <w:pStyle w:val="Small-TableswithinQuotes"/>
              <w:rPr>
                <w:spacing w:val="-7"/>
              </w:rPr>
            </w:pPr>
            <w:r>
              <w:t>TK,</w:t>
            </w:r>
            <w:r>
              <w:rPr>
                <w:spacing w:val="-4"/>
              </w:rPr>
              <w:t xml:space="preserve"> </w:t>
            </w:r>
            <w:r>
              <w:rPr>
                <w:spacing w:val="-7"/>
              </w:rPr>
              <w:t>EG</w:t>
            </w:r>
          </w:p>
        </w:tc>
        <w:tc>
          <w:tcPr>
            <w:tcW w:w="1405" w:type="dxa"/>
          </w:tcPr>
          <w:p w14:paraId="1ACCD25C" w14:textId="77777777" w:rsidR="00AF66A1" w:rsidRDefault="00AF66A1" w:rsidP="00C94433">
            <w:pPr>
              <w:pStyle w:val="Small-TableswithinQuotes"/>
            </w:pPr>
            <w:r>
              <w:t>$70</w:t>
            </w:r>
            <w:r>
              <w:rPr>
                <w:spacing w:val="-5"/>
              </w:rPr>
              <w:t xml:space="preserve"> </w:t>
            </w:r>
            <w:r>
              <w:t>million</w:t>
            </w:r>
          </w:p>
        </w:tc>
      </w:tr>
      <w:tr w:rsidR="00B32744" w14:paraId="3C3C1ADB" w14:textId="77777777" w:rsidTr="00F42AEE">
        <w:trPr>
          <w:trHeight w:val="724"/>
        </w:trPr>
        <w:tc>
          <w:tcPr>
            <w:tcW w:w="1565" w:type="dxa"/>
          </w:tcPr>
          <w:p w14:paraId="349C3FE7" w14:textId="77777777" w:rsidR="00B32744" w:rsidRDefault="00B32744" w:rsidP="00C94433">
            <w:pPr>
              <w:pStyle w:val="Small-TableswithinQuotes"/>
            </w:pPr>
          </w:p>
        </w:tc>
        <w:tc>
          <w:tcPr>
            <w:tcW w:w="1606" w:type="dxa"/>
          </w:tcPr>
          <w:p w14:paraId="694C4ADF" w14:textId="661A809D" w:rsidR="00B32744" w:rsidRPr="00B32744" w:rsidRDefault="00B32744" w:rsidP="00C94433">
            <w:pPr>
              <w:pStyle w:val="Small-TableswithinQuotes"/>
              <w:rPr>
                <w:b/>
                <w:bCs/>
              </w:rPr>
            </w:pPr>
            <w:r>
              <w:rPr>
                <w:b/>
                <w:bCs/>
              </w:rPr>
              <w:t>Total</w:t>
            </w:r>
          </w:p>
        </w:tc>
        <w:tc>
          <w:tcPr>
            <w:tcW w:w="1930" w:type="dxa"/>
          </w:tcPr>
          <w:p w14:paraId="2EE13191" w14:textId="1C019FDF" w:rsidR="00B32744" w:rsidRPr="007F2D93" w:rsidRDefault="00B32744" w:rsidP="00C94433">
            <w:pPr>
              <w:pStyle w:val="Small-TableswithinQuotes"/>
              <w:rPr>
                <w:b/>
                <w:bCs/>
              </w:rPr>
            </w:pPr>
            <w:r w:rsidRPr="007F2D93">
              <w:rPr>
                <w:b/>
                <w:bCs/>
              </w:rPr>
              <w:t>49</w:t>
            </w:r>
          </w:p>
        </w:tc>
        <w:tc>
          <w:tcPr>
            <w:tcW w:w="1664" w:type="dxa"/>
          </w:tcPr>
          <w:p w14:paraId="10375860" w14:textId="77777777" w:rsidR="00B32744" w:rsidRDefault="00B32744" w:rsidP="00C94433">
            <w:pPr>
              <w:pStyle w:val="Small-TableswithinQuotes"/>
            </w:pPr>
          </w:p>
        </w:tc>
        <w:tc>
          <w:tcPr>
            <w:tcW w:w="1405" w:type="dxa"/>
          </w:tcPr>
          <w:p w14:paraId="36462667" w14:textId="613FE6D3" w:rsidR="00B32744" w:rsidRPr="007F2D93" w:rsidRDefault="00B32744" w:rsidP="00C94433">
            <w:pPr>
              <w:pStyle w:val="Small-TableswithinQuotes"/>
              <w:rPr>
                <w:b/>
                <w:bCs/>
              </w:rPr>
            </w:pPr>
            <w:r w:rsidRPr="007F2D93">
              <w:rPr>
                <w:b/>
                <w:bCs/>
              </w:rPr>
              <w:t>$116.2 million</w:t>
            </w:r>
          </w:p>
        </w:tc>
      </w:tr>
    </w:tbl>
    <w:p w14:paraId="771489FE" w14:textId="7B9FB86B" w:rsidR="000745AD" w:rsidRDefault="00636771" w:rsidP="0046414B">
      <w:pPr>
        <w:pStyle w:val="Heading3"/>
      </w:pPr>
      <w:r>
        <w:t xml:space="preserve">The nature and extent of </w:t>
      </w:r>
      <w:r w:rsidR="00D1058D">
        <w:t>contrave</w:t>
      </w:r>
      <w:r w:rsidR="00884DDD">
        <w:t>ning conduct</w:t>
      </w:r>
      <w:r w:rsidR="00AC64AC">
        <w:t xml:space="preserve"> </w:t>
      </w:r>
      <w:r w:rsidR="00924B69">
        <w:t>(s 224(2)(a))</w:t>
      </w:r>
    </w:p>
    <w:p w14:paraId="53D2A068" w14:textId="37F90C42" w:rsidR="00EB2C2F" w:rsidRDefault="007C3488" w:rsidP="007C3488">
      <w:pPr>
        <w:pStyle w:val="ParaNumbering"/>
        <w:numPr>
          <w:ilvl w:val="0"/>
          <w:numId w:val="0"/>
        </w:numPr>
        <w:ind w:hanging="720"/>
      </w:pPr>
      <w:r>
        <w:rPr>
          <w:sz w:val="20"/>
        </w:rPr>
        <w:t>53</w:t>
      </w:r>
      <w:r>
        <w:rPr>
          <w:sz w:val="20"/>
        </w:rPr>
        <w:tab/>
      </w:r>
      <w:r w:rsidR="003F2532">
        <w:t xml:space="preserve">The ACCC’s submissions </w:t>
      </w:r>
      <w:r w:rsidR="00F57ED3">
        <w:t>regarding</w:t>
      </w:r>
      <w:r w:rsidR="003F2532">
        <w:t xml:space="preserve"> the nature and extent of the contravening conduct largely </w:t>
      </w:r>
      <w:r w:rsidR="006B1A76">
        <w:t>c</w:t>
      </w:r>
      <w:r w:rsidR="003809CA">
        <w:t>onsisted of</w:t>
      </w:r>
      <w:r w:rsidR="001831E6">
        <w:t xml:space="preserve"> the summary </w:t>
      </w:r>
      <w:r w:rsidR="006B1A76">
        <w:t>of</w:t>
      </w:r>
      <w:r w:rsidR="008B427C">
        <w:t xml:space="preserve"> my</w:t>
      </w:r>
      <w:r w:rsidR="006B1A76">
        <w:t xml:space="preserve"> findings in the Liability </w:t>
      </w:r>
      <w:r w:rsidR="005935B7">
        <w:t xml:space="preserve">Judgment </w:t>
      </w:r>
      <w:r w:rsidR="00E3696B">
        <w:t xml:space="preserve">with respect to each of the consumers </w:t>
      </w:r>
      <w:r w:rsidR="001831E6">
        <w:t xml:space="preserve">that has been set </w:t>
      </w:r>
      <w:r w:rsidR="001831E6" w:rsidRPr="00CD230B">
        <w:t>out at [</w:t>
      </w:r>
      <w:r w:rsidR="007A0399" w:rsidRPr="00CD230B">
        <w:fldChar w:fldCharType="begin"/>
      </w:r>
      <w:r w:rsidR="007A0399" w:rsidRPr="00CD230B">
        <w:instrText xml:space="preserve"> REF _Ref158017299 \r \h </w:instrText>
      </w:r>
      <w:r w:rsidR="002B15A4" w:rsidRPr="00CD230B">
        <w:instrText xml:space="preserve"> \* MERGEFORMAT </w:instrText>
      </w:r>
      <w:r w:rsidR="007A0399" w:rsidRPr="00CD230B">
        <w:fldChar w:fldCharType="separate"/>
      </w:r>
      <w:r w:rsidR="00D80CC1">
        <w:t>7</w:t>
      </w:r>
      <w:r w:rsidR="007A0399" w:rsidRPr="00CD230B">
        <w:fldChar w:fldCharType="end"/>
      </w:r>
      <w:r w:rsidR="001831E6" w:rsidRPr="00CD230B">
        <w:t>] to [</w:t>
      </w:r>
      <w:r w:rsidR="007A0399" w:rsidRPr="00CD230B">
        <w:fldChar w:fldCharType="begin"/>
      </w:r>
      <w:r w:rsidR="007A0399" w:rsidRPr="00CD230B">
        <w:instrText xml:space="preserve"> REF _Ref158017327 \r \h </w:instrText>
      </w:r>
      <w:r w:rsidR="002B15A4" w:rsidRPr="00CD230B">
        <w:instrText xml:space="preserve"> \* MERGEFORMAT </w:instrText>
      </w:r>
      <w:r w:rsidR="007A0399" w:rsidRPr="00CD230B">
        <w:fldChar w:fldCharType="separate"/>
      </w:r>
      <w:r w:rsidR="00D80CC1">
        <w:t>27</w:t>
      </w:r>
      <w:r w:rsidR="007A0399" w:rsidRPr="00CD230B">
        <w:fldChar w:fldCharType="end"/>
      </w:r>
      <w:r w:rsidR="001831E6" w:rsidRPr="00CD230B">
        <w:t xml:space="preserve">] </w:t>
      </w:r>
      <w:r w:rsidR="00F656F2" w:rsidRPr="00CD230B">
        <w:t>above</w:t>
      </w:r>
      <w:r w:rsidR="00F656F2">
        <w:t xml:space="preserve">.  </w:t>
      </w:r>
      <w:r w:rsidR="006B1A76">
        <w:t xml:space="preserve">Mazda criticised this approach </w:t>
      </w:r>
      <w:r w:rsidR="000D6FBD">
        <w:t xml:space="preserve">on the basis that it did not “distil or seek to characterise the impugned conduct in a way that indicates where in the available penalty range the court </w:t>
      </w:r>
      <w:r w:rsidR="00FA33DF">
        <w:t xml:space="preserve">should fix a penalty”.  </w:t>
      </w:r>
      <w:r w:rsidR="009447D0">
        <w:t xml:space="preserve">Mazda submitted that </w:t>
      </w:r>
      <w:r w:rsidR="00D67510">
        <w:t xml:space="preserve">the following </w:t>
      </w:r>
      <w:r w:rsidR="00837A3D">
        <w:t>observations</w:t>
      </w:r>
      <w:r w:rsidR="009447D0">
        <w:t xml:space="preserve"> were relevant</w:t>
      </w:r>
      <w:r w:rsidR="00837A3D">
        <w:t xml:space="preserve"> </w:t>
      </w:r>
      <w:r w:rsidR="00306760">
        <w:t>when</w:t>
      </w:r>
      <w:r w:rsidR="003F1D6C">
        <w:t xml:space="preserve"> considering</w:t>
      </w:r>
      <w:r w:rsidR="00837A3D">
        <w:t xml:space="preserve"> the </w:t>
      </w:r>
      <w:r w:rsidR="003E1818">
        <w:t>nature and extent of the contraventions:</w:t>
      </w:r>
    </w:p>
    <w:p w14:paraId="73195FC1" w14:textId="2B9616E5" w:rsidR="003E1818" w:rsidRDefault="007C3488" w:rsidP="007C3488">
      <w:pPr>
        <w:pStyle w:val="ListNo1alt"/>
        <w:numPr>
          <w:ilvl w:val="0"/>
          <w:numId w:val="0"/>
        </w:numPr>
        <w:tabs>
          <w:tab w:val="left" w:pos="720"/>
        </w:tabs>
        <w:ind w:left="720" w:hanging="720"/>
      </w:pPr>
      <w:r>
        <w:t>(a)</w:t>
      </w:r>
      <w:r>
        <w:tab/>
      </w:r>
      <w:r w:rsidR="0040595C">
        <w:t>While br</w:t>
      </w:r>
      <w:r w:rsidR="00525D00">
        <w:t>eaches involving misleading or deceptive conduct by their very nature are serious, s 29(1)(m) can be breached in a variety of ways</w:t>
      </w:r>
      <w:r w:rsidR="005D2884">
        <w:t xml:space="preserve">: </w:t>
      </w:r>
      <w:r w:rsidR="00525D00">
        <w:t>inadvertently, deliberately</w:t>
      </w:r>
      <w:r w:rsidR="008A5746">
        <w:t xml:space="preserve">, </w:t>
      </w:r>
      <w:proofErr w:type="gramStart"/>
      <w:r w:rsidR="008A5746">
        <w:t>honestly</w:t>
      </w:r>
      <w:proofErr w:type="gramEnd"/>
      <w:r w:rsidR="008A5746">
        <w:t xml:space="preserve"> or dishonestly.  Merely referring to a breach of the provision is therefore insufficient to properly characterise the nature of the contravention for the purpose of </w:t>
      </w:r>
      <w:r w:rsidR="00BB5528">
        <w:t>determining</w:t>
      </w:r>
      <w:r w:rsidR="008A5746">
        <w:t xml:space="preserve"> the appropriate penalty. </w:t>
      </w:r>
    </w:p>
    <w:p w14:paraId="084B170E" w14:textId="3A4CB3AF" w:rsidR="00B45F23" w:rsidRDefault="007C3488" w:rsidP="007C3488">
      <w:pPr>
        <w:pStyle w:val="ListNo1alt"/>
        <w:numPr>
          <w:ilvl w:val="0"/>
          <w:numId w:val="0"/>
        </w:numPr>
        <w:tabs>
          <w:tab w:val="left" w:pos="720"/>
        </w:tabs>
        <w:ind w:left="720" w:hanging="720"/>
      </w:pPr>
      <w:r>
        <w:t>(b)</w:t>
      </w:r>
      <w:r>
        <w:tab/>
      </w:r>
      <w:r w:rsidR="00B45F23">
        <w:t>there was no finding that</w:t>
      </w:r>
      <w:r w:rsidR="00982383">
        <w:t xml:space="preserve"> s 29(1)(m) was breached deliberately</w:t>
      </w:r>
      <w:r w:rsidR="00756A8D">
        <w:t>, nor any allegation that Mazda had acted in bad faith or dishonestly</w:t>
      </w:r>
      <w:r w:rsidR="004179A3">
        <w:t xml:space="preserve"> </w:t>
      </w:r>
      <w:r w:rsidR="001D31E0">
        <w:t>(</w:t>
      </w:r>
      <w:r w:rsidR="0009156C">
        <w:t xml:space="preserve">Liability </w:t>
      </w:r>
      <w:r w:rsidR="004179A3">
        <w:t>J</w:t>
      </w:r>
      <w:r w:rsidR="0009156C">
        <w:t xml:space="preserve">udgment </w:t>
      </w:r>
      <w:r w:rsidR="004179A3">
        <w:t>[147]</w:t>
      </w:r>
      <w:proofErr w:type="gramStart"/>
      <w:r w:rsidR="001D31E0">
        <w:t>)</w:t>
      </w:r>
      <w:r w:rsidR="00756A8D">
        <w:t>;</w:t>
      </w:r>
      <w:proofErr w:type="gramEnd"/>
    </w:p>
    <w:p w14:paraId="5482CA13" w14:textId="0A2B4D9A" w:rsidR="00756A8D" w:rsidRDefault="007C3488" w:rsidP="007C3488">
      <w:pPr>
        <w:pStyle w:val="ListNo1alt"/>
        <w:numPr>
          <w:ilvl w:val="0"/>
          <w:numId w:val="0"/>
        </w:numPr>
        <w:tabs>
          <w:tab w:val="left" w:pos="720"/>
        </w:tabs>
        <w:ind w:left="720" w:hanging="720"/>
      </w:pPr>
      <w:r>
        <w:lastRenderedPageBreak/>
        <w:t>(c)</w:t>
      </w:r>
      <w:r>
        <w:tab/>
      </w:r>
      <w:r w:rsidR="00DB69B7">
        <w:t xml:space="preserve">the number of consumers </w:t>
      </w:r>
      <w:r w:rsidR="00774523">
        <w:t>(</w:t>
      </w:r>
      <w:proofErr w:type="spellStart"/>
      <w:r w:rsidR="00774523">
        <w:t>ie</w:t>
      </w:r>
      <w:proofErr w:type="spellEnd"/>
      <w:r w:rsidR="00774523">
        <w:t xml:space="preserve"> nine) </w:t>
      </w:r>
      <w:r w:rsidR="00DB69B7">
        <w:t xml:space="preserve">affected by the conduct was discrete, </w:t>
      </w:r>
      <w:r w:rsidR="009413DF">
        <w:t xml:space="preserve">and </w:t>
      </w:r>
      <w:r w:rsidR="00E077E4">
        <w:t>very low in the scheme of the number of Mazda vehicles in operation in Australia at any one time</w:t>
      </w:r>
      <w:r w:rsidR="009447D0">
        <w:t xml:space="preserve">, </w:t>
      </w:r>
      <w:r w:rsidR="00E077E4">
        <w:t xml:space="preserve">estimated in the evidence of Mr </w:t>
      </w:r>
      <w:r w:rsidR="00BF4CA6">
        <w:t xml:space="preserve">Robins to be approximately 1 million. </w:t>
      </w:r>
      <w:r w:rsidR="00A26F06">
        <w:t xml:space="preserve"> </w:t>
      </w:r>
      <w:r w:rsidR="009447D0">
        <w:t xml:space="preserve">Nor was there any </w:t>
      </w:r>
      <w:r w:rsidR="00306760">
        <w:t>“system” or “pattern” case brought against Mazda (or any finding to that effect</w:t>
      </w:r>
      <w:r w:rsidR="00E25D9E">
        <w:t xml:space="preserve"> (</w:t>
      </w:r>
      <w:r w:rsidR="004755A5">
        <w:t xml:space="preserve">Liability </w:t>
      </w:r>
      <w:r w:rsidR="00B46582">
        <w:t>J</w:t>
      </w:r>
      <w:r w:rsidR="004755A5">
        <w:t xml:space="preserve">udgment </w:t>
      </w:r>
      <w:r w:rsidR="00B46582">
        <w:t>[8</w:t>
      </w:r>
      <w:r w:rsidR="003423FC">
        <w:t>]-[9]</w:t>
      </w:r>
      <w:r w:rsidR="00E25D9E">
        <w:t>)</w:t>
      </w:r>
      <w:r w:rsidR="004755A5">
        <w:t>)</w:t>
      </w:r>
      <w:r w:rsidR="003423FC">
        <w:t>.</w:t>
      </w:r>
    </w:p>
    <w:p w14:paraId="1B242769" w14:textId="6496D9B8" w:rsidR="003C1672" w:rsidRDefault="007C3488" w:rsidP="007C3488">
      <w:pPr>
        <w:pStyle w:val="ListNo1alt"/>
        <w:numPr>
          <w:ilvl w:val="0"/>
          <w:numId w:val="0"/>
        </w:numPr>
        <w:tabs>
          <w:tab w:val="left" w:pos="720"/>
        </w:tabs>
        <w:ind w:left="720" w:hanging="720"/>
      </w:pPr>
      <w:r>
        <w:t>(d)</w:t>
      </w:r>
      <w:r>
        <w:tab/>
      </w:r>
      <w:r w:rsidR="003423FC">
        <w:t xml:space="preserve">In the Liability </w:t>
      </w:r>
      <w:r w:rsidR="001F6105">
        <w:t>Judgment</w:t>
      </w:r>
      <w:r w:rsidR="003423FC">
        <w:t>, I rejected the con</w:t>
      </w:r>
      <w:r w:rsidR="00B77873">
        <w:t>tention</w:t>
      </w:r>
      <w:r w:rsidR="00382781">
        <w:t>s</w:t>
      </w:r>
      <w:r w:rsidR="00B77873">
        <w:t xml:space="preserve"> that</w:t>
      </w:r>
      <w:r w:rsidR="003C1672">
        <w:t>:</w:t>
      </w:r>
    </w:p>
    <w:p w14:paraId="107EB94E" w14:textId="2AA05984" w:rsidR="003423FC" w:rsidRDefault="007C3488" w:rsidP="007C3488">
      <w:pPr>
        <w:pStyle w:val="ListNo2alt"/>
        <w:numPr>
          <w:ilvl w:val="0"/>
          <w:numId w:val="0"/>
        </w:numPr>
        <w:tabs>
          <w:tab w:val="left" w:pos="1440"/>
        </w:tabs>
        <w:ind w:left="1440" w:hanging="720"/>
      </w:pPr>
      <w:r>
        <w:t>(</w:t>
      </w:r>
      <w:proofErr w:type="spellStart"/>
      <w:r>
        <w:t>i</w:t>
      </w:r>
      <w:proofErr w:type="spellEnd"/>
      <w:r>
        <w:t>)</w:t>
      </w:r>
      <w:r>
        <w:tab/>
      </w:r>
      <w:r w:rsidR="00B77873">
        <w:t>Mazda did not take consumers’ safety concerns seriously</w:t>
      </w:r>
      <w:r w:rsidR="00E25D9E">
        <w:t xml:space="preserve"> (</w:t>
      </w:r>
      <w:r w:rsidR="00814607">
        <w:t xml:space="preserve">Liability </w:t>
      </w:r>
      <w:r w:rsidR="00B77873">
        <w:t>J</w:t>
      </w:r>
      <w:r w:rsidR="00814607">
        <w:t xml:space="preserve">udgment </w:t>
      </w:r>
      <w:r w:rsidR="00B77873">
        <w:t>[</w:t>
      </w:r>
      <w:r w:rsidR="003E0DD4">
        <w:t>276]; [509]; [855]; [955]</w:t>
      </w:r>
      <w:r w:rsidR="00E25D9E">
        <w:t>)</w:t>
      </w:r>
      <w:r w:rsidR="003C1672">
        <w:t>; and</w:t>
      </w:r>
    </w:p>
    <w:p w14:paraId="3355DCFB" w14:textId="38B8F51E" w:rsidR="003C1672" w:rsidRDefault="007C3488" w:rsidP="007C3488">
      <w:pPr>
        <w:pStyle w:val="ListNo2alt"/>
        <w:numPr>
          <w:ilvl w:val="0"/>
          <w:numId w:val="0"/>
        </w:numPr>
        <w:tabs>
          <w:tab w:val="left" w:pos="1440"/>
        </w:tabs>
        <w:ind w:left="1440" w:hanging="720"/>
      </w:pPr>
      <w:r>
        <w:t>(ii)</w:t>
      </w:r>
      <w:r>
        <w:tab/>
      </w:r>
      <w:r w:rsidR="005E0128">
        <w:t>Mazda placed unfair or unreasonable commercial pressure on consumers to accept offers</w:t>
      </w:r>
      <w:r w:rsidR="006455E7">
        <w:t>;</w:t>
      </w:r>
      <w:r w:rsidR="00633149">
        <w:t xml:space="preserve"> and</w:t>
      </w:r>
    </w:p>
    <w:p w14:paraId="3A8AF663" w14:textId="070728E8" w:rsidR="006754AD" w:rsidRDefault="007C3488" w:rsidP="007C3488">
      <w:pPr>
        <w:pStyle w:val="ListNo1alt"/>
        <w:numPr>
          <w:ilvl w:val="0"/>
          <w:numId w:val="0"/>
        </w:numPr>
        <w:tabs>
          <w:tab w:val="left" w:pos="720"/>
        </w:tabs>
        <w:ind w:left="720" w:hanging="720"/>
      </w:pPr>
      <w:r>
        <w:t>(e)</w:t>
      </w:r>
      <w:r>
        <w:tab/>
      </w:r>
      <w:r w:rsidR="006754AD">
        <w:t>As to duration, the extent of the contraventions for each course of conduct va</w:t>
      </w:r>
      <w:r w:rsidR="00913FF1">
        <w:t xml:space="preserve">ried from </w:t>
      </w:r>
      <w:r w:rsidR="006C3E47">
        <w:t>nine</w:t>
      </w:r>
      <w:r w:rsidR="00913FF1">
        <w:t xml:space="preserve"> days to </w:t>
      </w:r>
      <w:r w:rsidR="006C3E47">
        <w:t>five</w:t>
      </w:r>
      <w:r w:rsidR="00913FF1">
        <w:t xml:space="preserve"> months</w:t>
      </w:r>
      <w:r w:rsidR="00633149">
        <w:t>.</w:t>
      </w:r>
    </w:p>
    <w:p w14:paraId="3705BF64" w14:textId="6E4C7A92" w:rsidR="00F923E7" w:rsidRDefault="007C3488" w:rsidP="007C3488">
      <w:pPr>
        <w:pStyle w:val="ParaNumbering"/>
        <w:numPr>
          <w:ilvl w:val="0"/>
          <w:numId w:val="0"/>
        </w:numPr>
        <w:ind w:hanging="720"/>
      </w:pPr>
      <w:r>
        <w:rPr>
          <w:sz w:val="20"/>
        </w:rPr>
        <w:t>54</w:t>
      </w:r>
      <w:r>
        <w:rPr>
          <w:sz w:val="20"/>
        </w:rPr>
        <w:tab/>
      </w:r>
      <w:r w:rsidR="00153AD9">
        <w:t xml:space="preserve">In oral argument, </w:t>
      </w:r>
      <w:r w:rsidR="001E61E8">
        <w:t>S</w:t>
      </w:r>
      <w:r w:rsidR="0058721F">
        <w:t xml:space="preserve">enior </w:t>
      </w:r>
      <w:r w:rsidR="001E61E8">
        <w:t>C</w:t>
      </w:r>
      <w:r w:rsidR="0060145D">
        <w:t xml:space="preserve">ounsel for the ACCC </w:t>
      </w:r>
      <w:r w:rsidR="00F847A5">
        <w:t xml:space="preserve">submitted that </w:t>
      </w:r>
      <w:proofErr w:type="gramStart"/>
      <w:r w:rsidR="00215818">
        <w:t>a number of</w:t>
      </w:r>
      <w:proofErr w:type="gramEnd"/>
      <w:r w:rsidR="00215818">
        <w:t xml:space="preserve"> </w:t>
      </w:r>
      <w:r w:rsidR="00153AD9">
        <w:t>Mazda’s</w:t>
      </w:r>
      <w:r w:rsidR="00F847A5">
        <w:t xml:space="preserve"> observations </w:t>
      </w:r>
      <w:r w:rsidR="00FA60A2">
        <w:t xml:space="preserve">about what was </w:t>
      </w:r>
      <w:r w:rsidR="00FA60A2">
        <w:rPr>
          <w:i/>
          <w:iCs/>
        </w:rPr>
        <w:t xml:space="preserve">not found </w:t>
      </w:r>
      <w:r w:rsidR="00F847A5">
        <w:t xml:space="preserve">were </w:t>
      </w:r>
      <w:r w:rsidR="00335FC7">
        <w:t>ir</w:t>
      </w:r>
      <w:r w:rsidR="00F847A5">
        <w:t>relevant</w:t>
      </w:r>
      <w:r w:rsidR="009318AF">
        <w:t xml:space="preserve"> considerations (for example,</w:t>
      </w:r>
      <w:r w:rsidR="00153AD9">
        <w:t xml:space="preserve"> that there was no finding </w:t>
      </w:r>
      <w:r w:rsidR="00FA60A2">
        <w:t>of deliberate breach or dishonesty</w:t>
      </w:r>
      <w:r w:rsidR="009318AF">
        <w:t>)</w:t>
      </w:r>
      <w:r w:rsidR="00FA60A2">
        <w:t>, as th</w:t>
      </w:r>
      <w:r w:rsidR="00C834D5">
        <w:t>e focus should be on “what the conduct did include</w:t>
      </w:r>
      <w:r w:rsidR="009318AF">
        <w:t>” ra</w:t>
      </w:r>
      <w:r w:rsidR="0044723D">
        <w:t>ther than what it did no</w:t>
      </w:r>
      <w:r w:rsidR="00DC02B5">
        <w:t>t</w:t>
      </w:r>
      <w:r w:rsidR="00527454">
        <w:t>.</w:t>
      </w:r>
    </w:p>
    <w:p w14:paraId="044A504D" w14:textId="5722D4D9" w:rsidR="00A223F6" w:rsidRDefault="007C3488" w:rsidP="007C3488">
      <w:pPr>
        <w:pStyle w:val="ParaNumbering"/>
        <w:numPr>
          <w:ilvl w:val="0"/>
          <w:numId w:val="0"/>
        </w:numPr>
        <w:ind w:hanging="720"/>
      </w:pPr>
      <w:r>
        <w:rPr>
          <w:sz w:val="20"/>
        </w:rPr>
        <w:t>55</w:t>
      </w:r>
      <w:r>
        <w:rPr>
          <w:sz w:val="20"/>
        </w:rPr>
        <w:tab/>
      </w:r>
      <w:r w:rsidR="00912434">
        <w:t xml:space="preserve">The </w:t>
      </w:r>
      <w:r w:rsidR="00903B5F">
        <w:t xml:space="preserve">contravening conduct </w:t>
      </w:r>
      <w:r w:rsidR="0094707A">
        <w:t xml:space="preserve">in this case </w:t>
      </w:r>
      <w:r w:rsidR="00903B5F">
        <w:t xml:space="preserve">consisted of </w:t>
      </w:r>
      <w:r w:rsidR="00912434">
        <w:t xml:space="preserve">49 false </w:t>
      </w:r>
      <w:r w:rsidR="00EC32CF">
        <w:t>representations</w:t>
      </w:r>
      <w:r w:rsidR="001D5335">
        <w:t xml:space="preserve"> </w:t>
      </w:r>
      <w:r w:rsidR="001D7DB1">
        <w:t xml:space="preserve">regarding consumer’s rights and remedies under the ACL </w:t>
      </w:r>
      <w:r w:rsidR="00903B5F">
        <w:t>which</w:t>
      </w:r>
      <w:r w:rsidR="001D5335">
        <w:t xml:space="preserve">, while not </w:t>
      </w:r>
      <w:r w:rsidR="00662A9A">
        <w:t xml:space="preserve">found to be </w:t>
      </w:r>
      <w:r w:rsidR="001D5335">
        <w:t>deliberate,</w:t>
      </w:r>
      <w:r w:rsidR="00BD1798">
        <w:t xml:space="preserve"> </w:t>
      </w:r>
      <w:r w:rsidR="0094707A">
        <w:t xml:space="preserve">were </w:t>
      </w:r>
      <w:r w:rsidR="00BD1798">
        <w:t>plainly</w:t>
      </w:r>
      <w:r w:rsidR="001D5335">
        <w:t xml:space="preserve"> serious</w:t>
      </w:r>
      <w:r w:rsidR="00090245">
        <w:t xml:space="preserve">, a point that </w:t>
      </w:r>
      <w:r w:rsidR="001E61E8">
        <w:t>S</w:t>
      </w:r>
      <w:r w:rsidR="00090245">
        <w:t xml:space="preserve">enior </w:t>
      </w:r>
      <w:r w:rsidR="001E61E8">
        <w:t>C</w:t>
      </w:r>
      <w:r w:rsidR="00090245">
        <w:t>ounsel for Mazda conceded when I put the proposition to him</w:t>
      </w:r>
      <w:r w:rsidR="00A223F6">
        <w:t xml:space="preserve"> in oral argument.</w:t>
      </w:r>
    </w:p>
    <w:p w14:paraId="6EBC5FAD" w14:textId="079AC276" w:rsidR="001D68BA" w:rsidRDefault="007C3488" w:rsidP="007C3488">
      <w:pPr>
        <w:pStyle w:val="ParaNumbering"/>
        <w:numPr>
          <w:ilvl w:val="0"/>
          <w:numId w:val="0"/>
        </w:numPr>
        <w:ind w:hanging="720"/>
      </w:pPr>
      <w:r>
        <w:rPr>
          <w:sz w:val="20"/>
        </w:rPr>
        <w:t>56</w:t>
      </w:r>
      <w:r>
        <w:rPr>
          <w:sz w:val="20"/>
        </w:rPr>
        <w:tab/>
      </w:r>
      <w:r w:rsidR="0097455A">
        <w:t>The representations</w:t>
      </w:r>
      <w:r w:rsidR="00A800A8">
        <w:t xml:space="preserve"> </w:t>
      </w:r>
      <w:r w:rsidR="00D579E4">
        <w:t xml:space="preserve">affected nine consumers and </w:t>
      </w:r>
      <w:r w:rsidR="0097455A">
        <w:t>took place over an exten</w:t>
      </w:r>
      <w:r w:rsidR="00A32A4F">
        <w:t>sive period</w:t>
      </w:r>
      <w:r w:rsidR="00903B5F">
        <w:t>, namel</w:t>
      </w:r>
      <w:r w:rsidR="002F5F87">
        <w:t>y</w:t>
      </w:r>
      <w:r w:rsidR="00903B5F">
        <w:t xml:space="preserve"> two years</w:t>
      </w:r>
      <w:r w:rsidR="00B26CC1">
        <w:t xml:space="preserve">.  </w:t>
      </w:r>
      <w:r w:rsidR="00355867">
        <w:t>As</w:t>
      </w:r>
      <w:r w:rsidR="00A223F6">
        <w:t xml:space="preserve"> </w:t>
      </w:r>
      <w:r w:rsidR="00355867">
        <w:t>the parties</w:t>
      </w:r>
      <w:r w:rsidR="00A223F6">
        <w:t xml:space="preserve"> agreed</w:t>
      </w:r>
      <w:r w:rsidR="00355867">
        <w:t xml:space="preserve">, </w:t>
      </w:r>
      <w:r w:rsidR="00FD2456">
        <w:t xml:space="preserve">Mazda engaged in </w:t>
      </w:r>
      <w:r w:rsidR="00D85944">
        <w:t>seven separate course</w:t>
      </w:r>
      <w:r w:rsidR="00574BBB">
        <w:t>s</w:t>
      </w:r>
      <w:r w:rsidR="00D85944">
        <w:t xml:space="preserve"> of contravening conduct. </w:t>
      </w:r>
      <w:r w:rsidR="0064354F">
        <w:t xml:space="preserve"> </w:t>
      </w:r>
      <w:r w:rsidR="007877B8">
        <w:t xml:space="preserve">For some consumers, </w:t>
      </w:r>
      <w:r w:rsidR="00B85C3A">
        <w:t>the false representations</w:t>
      </w:r>
      <w:r w:rsidR="00D23B5F">
        <w:t xml:space="preserve"> amounting to one course of conduct</w:t>
      </w:r>
      <w:r w:rsidR="00B85C3A">
        <w:t xml:space="preserve"> </w:t>
      </w:r>
      <w:r w:rsidR="00650EAB">
        <w:t xml:space="preserve">were </w:t>
      </w:r>
      <w:r w:rsidR="00493CB5">
        <w:t xml:space="preserve">made over </w:t>
      </w:r>
      <w:r w:rsidR="00DF5DDB">
        <w:t>a week or so</w:t>
      </w:r>
      <w:r w:rsidR="00493CB5">
        <w:t>.  For other</w:t>
      </w:r>
      <w:r w:rsidR="003E7486">
        <w:t xml:space="preserve"> consumers</w:t>
      </w:r>
      <w:r w:rsidR="00493CB5">
        <w:t xml:space="preserve">, the contravening conduct took place over </w:t>
      </w:r>
      <w:proofErr w:type="gramStart"/>
      <w:r w:rsidR="00DF5DDB">
        <w:t>a number of</w:t>
      </w:r>
      <w:proofErr w:type="gramEnd"/>
      <w:r w:rsidR="00DF5DDB">
        <w:t xml:space="preserve"> months.  </w:t>
      </w:r>
      <w:r w:rsidR="004B292A">
        <w:t xml:space="preserve">False </w:t>
      </w:r>
      <w:r w:rsidR="00F7577C">
        <w:t>representations</w:t>
      </w:r>
      <w:r w:rsidR="00EA2136">
        <w:t xml:space="preserve"> were</w:t>
      </w:r>
      <w:r w:rsidR="0012651D">
        <w:t xml:space="preserve"> predominantly</w:t>
      </w:r>
      <w:r w:rsidR="00EA2136">
        <w:t xml:space="preserve"> made</w:t>
      </w:r>
      <w:r w:rsidR="00F7577C">
        <w:t xml:space="preserve"> </w:t>
      </w:r>
      <w:r w:rsidR="006B71E4">
        <w:t xml:space="preserve">to consumers </w:t>
      </w:r>
      <w:r w:rsidR="00B36B5F">
        <w:t xml:space="preserve">during </w:t>
      </w:r>
      <w:r w:rsidR="0012651D">
        <w:t xml:space="preserve">(sometimes lengthy) </w:t>
      </w:r>
      <w:r w:rsidR="002B1545">
        <w:t>telephone</w:t>
      </w:r>
      <w:r w:rsidR="00D44067">
        <w:t xml:space="preserve"> </w:t>
      </w:r>
      <w:proofErr w:type="gramStart"/>
      <w:r w:rsidR="00D44067">
        <w:t>conversations</w:t>
      </w:r>
      <w:r w:rsidR="0012651D">
        <w:t>, and</w:t>
      </w:r>
      <w:proofErr w:type="gramEnd"/>
      <w:r w:rsidR="0012651D">
        <w:t xml:space="preserve"> </w:t>
      </w:r>
      <w:r w:rsidR="00741012">
        <w:t xml:space="preserve">were </w:t>
      </w:r>
      <w:r w:rsidR="0064354F">
        <w:t xml:space="preserve">occasionally </w:t>
      </w:r>
      <w:r w:rsidR="007B621A">
        <w:t xml:space="preserve">also </w:t>
      </w:r>
      <w:r w:rsidR="00741012">
        <w:t>made</w:t>
      </w:r>
      <w:r w:rsidR="0012651D">
        <w:t xml:space="preserve"> </w:t>
      </w:r>
      <w:r w:rsidR="00D44067">
        <w:t>in writing.</w:t>
      </w:r>
    </w:p>
    <w:p w14:paraId="51019034" w14:textId="3456B7A7" w:rsidR="00A34EED" w:rsidRDefault="00FB6BE7" w:rsidP="0046414B">
      <w:pPr>
        <w:pStyle w:val="Heading3"/>
      </w:pPr>
      <w:r w:rsidRPr="00562D30">
        <w:t xml:space="preserve">The nature and extent of any loss or damage suffered </w:t>
      </w:r>
      <w:r w:rsidR="008D5E14" w:rsidRPr="00562D30">
        <w:t xml:space="preserve">as a result </w:t>
      </w:r>
      <w:r w:rsidRPr="00562D30">
        <w:t>(s 224(2)(a))</w:t>
      </w:r>
    </w:p>
    <w:p w14:paraId="32001DC6" w14:textId="23AB8F07" w:rsidR="00925E13" w:rsidRDefault="007C3488" w:rsidP="007C3488">
      <w:pPr>
        <w:pStyle w:val="ParaNumbering"/>
        <w:numPr>
          <w:ilvl w:val="0"/>
          <w:numId w:val="0"/>
        </w:numPr>
        <w:ind w:hanging="720"/>
      </w:pPr>
      <w:r>
        <w:rPr>
          <w:sz w:val="20"/>
        </w:rPr>
        <w:t>57</w:t>
      </w:r>
      <w:r>
        <w:rPr>
          <w:sz w:val="20"/>
        </w:rPr>
        <w:tab/>
      </w:r>
      <w:r w:rsidR="003B5B50">
        <w:t>It is not possible</w:t>
      </w:r>
      <w:r w:rsidR="00446883">
        <w:t xml:space="preserve"> </w:t>
      </w:r>
      <w:r w:rsidR="003B5B50">
        <w:t xml:space="preserve">precisely </w:t>
      </w:r>
      <w:r w:rsidR="00DB2159">
        <w:t xml:space="preserve">to </w:t>
      </w:r>
      <w:r w:rsidR="003B5B50">
        <w:t xml:space="preserve">quantify the loss or damage that each consumer suffered </w:t>
      </w:r>
      <w:proofErr w:type="gramStart"/>
      <w:r w:rsidR="003B5B50">
        <w:t>as a result of</w:t>
      </w:r>
      <w:proofErr w:type="gramEnd"/>
      <w:r w:rsidR="003B5B50">
        <w:t xml:space="preserve"> Mazda’s false representations.</w:t>
      </w:r>
      <w:r w:rsidR="00446883">
        <w:t xml:space="preserve">  </w:t>
      </w:r>
      <w:r w:rsidR="00B2324C">
        <w:t xml:space="preserve">It is sufficient for present purposes, and </w:t>
      </w:r>
      <w:r w:rsidR="00DD1623">
        <w:t xml:space="preserve">it was </w:t>
      </w:r>
      <w:r w:rsidR="00446883">
        <w:t xml:space="preserve">accepted by both </w:t>
      </w:r>
      <w:r w:rsidR="0078480F">
        <w:t>parties</w:t>
      </w:r>
      <w:r w:rsidR="00D666A0">
        <w:t xml:space="preserve"> as a relevant consideration</w:t>
      </w:r>
      <w:r w:rsidR="0034635F">
        <w:t xml:space="preserve">, </w:t>
      </w:r>
      <w:r w:rsidR="0078480F">
        <w:t>that each of the consumers suffered</w:t>
      </w:r>
      <w:r w:rsidR="00EB4BC5">
        <w:t xml:space="preserve"> </w:t>
      </w:r>
      <w:r w:rsidR="0078480F">
        <w:t xml:space="preserve">what I </w:t>
      </w:r>
      <w:r w:rsidR="00AA3DBE">
        <w:t>described</w:t>
      </w:r>
      <w:r w:rsidR="00AB7603">
        <w:t xml:space="preserve"> in the Liability Judgment</w:t>
      </w:r>
      <w:r w:rsidR="003E0E16">
        <w:t xml:space="preserve"> </w:t>
      </w:r>
      <w:r w:rsidR="00E449FF">
        <w:t>at [138]</w:t>
      </w:r>
      <w:proofErr w:type="gramStart"/>
      <w:r w:rsidR="00E449FF">
        <w:t>–[</w:t>
      </w:r>
      <w:proofErr w:type="gramEnd"/>
      <w:r w:rsidR="00E449FF">
        <w:t xml:space="preserve">139] </w:t>
      </w:r>
      <w:r w:rsidR="003E0E16">
        <w:t>as</w:t>
      </w:r>
      <w:r w:rsidR="0078480F">
        <w:t xml:space="preserve"> “relevant harm”.  </w:t>
      </w:r>
    </w:p>
    <w:p w14:paraId="0DF36860" w14:textId="02376F0A" w:rsidR="00ED0A0F" w:rsidRDefault="007C3488" w:rsidP="007C3488">
      <w:pPr>
        <w:pStyle w:val="ParaNumbering"/>
        <w:numPr>
          <w:ilvl w:val="0"/>
          <w:numId w:val="0"/>
        </w:numPr>
        <w:ind w:hanging="720"/>
      </w:pPr>
      <w:r>
        <w:rPr>
          <w:sz w:val="20"/>
        </w:rPr>
        <w:lastRenderedPageBreak/>
        <w:t>58</w:t>
      </w:r>
      <w:r>
        <w:rPr>
          <w:sz w:val="20"/>
        </w:rPr>
        <w:tab/>
      </w:r>
      <w:r w:rsidR="00192827">
        <w:t>This relevant harm</w:t>
      </w:r>
      <w:r w:rsidR="00DA7778">
        <w:t xml:space="preserve"> </w:t>
      </w:r>
      <w:r w:rsidR="004D18F5">
        <w:t>included</w:t>
      </w:r>
      <w:r w:rsidR="001D5741">
        <w:t xml:space="preserve"> </w:t>
      </w:r>
      <w:r w:rsidR="00B44BB8">
        <w:t xml:space="preserve">the </w:t>
      </w:r>
      <w:r w:rsidR="00A10E56">
        <w:t>cancellation of a family holiday</w:t>
      </w:r>
      <w:r w:rsidR="00E562AE">
        <w:t xml:space="preserve">; </w:t>
      </w:r>
      <w:r w:rsidR="00A10E56">
        <w:t xml:space="preserve">two </w:t>
      </w:r>
      <w:r w:rsidR="001D5741">
        <w:t xml:space="preserve">consumers </w:t>
      </w:r>
      <w:r w:rsidR="00A10E56">
        <w:t>being forced to</w:t>
      </w:r>
      <w:r w:rsidR="008D3116">
        <w:t xml:space="preserve"> abandon their trip to the Birdsville Races</w:t>
      </w:r>
      <w:r w:rsidR="0086771F">
        <w:t xml:space="preserve"> </w:t>
      </w:r>
      <w:r w:rsidR="008D3116">
        <w:t>and</w:t>
      </w:r>
      <w:r w:rsidR="00A10E56">
        <w:t xml:space="preserve"> </w:t>
      </w:r>
      <w:r w:rsidR="00741218">
        <w:t>instead</w:t>
      </w:r>
      <w:r w:rsidR="00B44BB8">
        <w:t xml:space="preserve"> </w:t>
      </w:r>
      <w:r w:rsidR="00A10E56">
        <w:t>stay in a caravan park in Rockhampton</w:t>
      </w:r>
      <w:r w:rsidR="00B44BB8">
        <w:t xml:space="preserve"> due to vehicle failures</w:t>
      </w:r>
      <w:r w:rsidR="00E562AE">
        <w:t>;</w:t>
      </w:r>
      <w:r w:rsidR="007E4F02">
        <w:t xml:space="preserve"> </w:t>
      </w:r>
      <w:r w:rsidR="00AD441F">
        <w:t xml:space="preserve">and </w:t>
      </w:r>
      <w:r w:rsidR="00741218">
        <w:t xml:space="preserve">consumers missing work because </w:t>
      </w:r>
      <w:r w:rsidR="001F7761">
        <w:t xml:space="preserve">their vehicle had </w:t>
      </w:r>
      <w:r w:rsidR="00624FDF">
        <w:t xml:space="preserve">broken down </w:t>
      </w:r>
      <w:r w:rsidR="00B35D35">
        <w:t>and</w:t>
      </w:r>
      <w:r w:rsidR="00624FDF">
        <w:t xml:space="preserve"> they had not been provided with a loan vehicle</w:t>
      </w:r>
      <w:r w:rsidR="00C91FE8">
        <w:t xml:space="preserve">. </w:t>
      </w:r>
      <w:r w:rsidR="006977A7">
        <w:t xml:space="preserve"> </w:t>
      </w:r>
      <w:r w:rsidR="00DE0A27">
        <w:t xml:space="preserve">I </w:t>
      </w:r>
      <w:r w:rsidR="00E91558">
        <w:t>further</w:t>
      </w:r>
      <w:r w:rsidR="00BF60EA">
        <w:t xml:space="preserve"> </w:t>
      </w:r>
      <w:r w:rsidR="00DE0A27">
        <w:t xml:space="preserve">found that consumers spent a lot of time engaging in interminable phone conversations with Mazda call customer </w:t>
      </w:r>
      <w:proofErr w:type="gramStart"/>
      <w:r w:rsidR="00DE0A27">
        <w:t xml:space="preserve">staff </w:t>
      </w:r>
      <w:r w:rsidR="00BF60EA">
        <w:t>,</w:t>
      </w:r>
      <w:proofErr w:type="gramEnd"/>
      <w:r w:rsidR="00BF60EA">
        <w:t xml:space="preserve"> </w:t>
      </w:r>
      <w:r w:rsidR="00D249F5">
        <w:t xml:space="preserve">and </w:t>
      </w:r>
      <w:r w:rsidR="00B87556">
        <w:t xml:space="preserve">that </w:t>
      </w:r>
      <w:r w:rsidR="00EF3F8F">
        <w:t xml:space="preserve">all consumers were </w:t>
      </w:r>
      <w:r w:rsidR="00CA213F">
        <w:t xml:space="preserve">“were justified in feeling distressed at the disruption that inevitably </w:t>
      </w:r>
      <w:r w:rsidR="004F7911">
        <w:t>ensues when one’s motor vehicle repeatedly fails for one reason or another”</w:t>
      </w:r>
      <w:r w:rsidR="005D33F6">
        <w:t xml:space="preserve">.  See Liability </w:t>
      </w:r>
      <w:r w:rsidR="004F7911">
        <w:t>J</w:t>
      </w:r>
      <w:r w:rsidR="005D33F6">
        <w:t xml:space="preserve">udgment at </w:t>
      </w:r>
      <w:r w:rsidR="004F7911">
        <w:t xml:space="preserve">[139].  </w:t>
      </w:r>
    </w:p>
    <w:p w14:paraId="70250DAA" w14:textId="26D987B2" w:rsidR="001B0D74" w:rsidRDefault="007C3488" w:rsidP="007C3488">
      <w:pPr>
        <w:pStyle w:val="ParaNumbering"/>
        <w:numPr>
          <w:ilvl w:val="0"/>
          <w:numId w:val="0"/>
        </w:numPr>
        <w:ind w:hanging="720"/>
      </w:pPr>
      <w:r>
        <w:rPr>
          <w:sz w:val="20"/>
        </w:rPr>
        <w:t>59</w:t>
      </w:r>
      <w:r>
        <w:rPr>
          <w:sz w:val="20"/>
        </w:rPr>
        <w:tab/>
      </w:r>
      <w:r w:rsidR="00DB2159">
        <w:t xml:space="preserve">As Mazda conceded, </w:t>
      </w:r>
      <w:r w:rsidR="00EB08CC">
        <w:t>“</w:t>
      </w:r>
      <w:r w:rsidR="00EB08CC" w:rsidRPr="00EB08CC">
        <w:t xml:space="preserve">the consumers suffered varying levels of distress, </w:t>
      </w:r>
      <w:proofErr w:type="gramStart"/>
      <w:r w:rsidR="00EB08CC" w:rsidRPr="00EB08CC">
        <w:t>frustration</w:t>
      </w:r>
      <w:proofErr w:type="gramEnd"/>
      <w:r w:rsidR="00EB08CC" w:rsidRPr="00EB08CC">
        <w:t xml:space="preserve"> and inconvenience as a result of Mazda’s conduct. This loss is also difficult to quantify, but the Court may nonetheless take it into account despite that difficulty</w:t>
      </w:r>
      <w:r w:rsidR="00EB08CC">
        <w:t>”.</w:t>
      </w:r>
    </w:p>
    <w:p w14:paraId="26D4516D" w14:textId="0F152DE9" w:rsidR="00924B69" w:rsidRPr="00924B69" w:rsidRDefault="00924B69" w:rsidP="0046414B">
      <w:pPr>
        <w:pStyle w:val="Heading3"/>
      </w:pPr>
      <w:r>
        <w:t>Circumstances in which the act</w:t>
      </w:r>
      <w:r w:rsidR="00884DDD">
        <w:t>s</w:t>
      </w:r>
      <w:r>
        <w:t xml:space="preserve"> or omission</w:t>
      </w:r>
      <w:r w:rsidR="00884DDD">
        <w:t>s</w:t>
      </w:r>
      <w:r>
        <w:t xml:space="preserve"> took place (s 224(2)(b)</w:t>
      </w:r>
      <w:r w:rsidR="00A954FF">
        <w:t>)</w:t>
      </w:r>
    </w:p>
    <w:p w14:paraId="5A47BB3E" w14:textId="15F9CE0B" w:rsidR="009B26B9" w:rsidRDefault="007C3488" w:rsidP="007C3488">
      <w:pPr>
        <w:pStyle w:val="ParaNumbering"/>
        <w:numPr>
          <w:ilvl w:val="0"/>
          <w:numId w:val="0"/>
        </w:numPr>
        <w:ind w:hanging="720"/>
      </w:pPr>
      <w:bookmarkStart w:id="43" w:name="_Ref158021559"/>
      <w:r>
        <w:rPr>
          <w:sz w:val="20"/>
        </w:rPr>
        <w:t>60</w:t>
      </w:r>
      <w:r>
        <w:rPr>
          <w:sz w:val="20"/>
        </w:rPr>
        <w:tab/>
      </w:r>
      <w:r w:rsidR="00A907F1">
        <w:t>Mazda submitted that</w:t>
      </w:r>
      <w:r w:rsidR="00C66B79">
        <w:t xml:space="preserve"> the</w:t>
      </w:r>
      <w:r w:rsidR="00A907F1">
        <w:t xml:space="preserve"> </w:t>
      </w:r>
      <w:r w:rsidR="00C66B79">
        <w:t xml:space="preserve">consideration under </w:t>
      </w:r>
      <w:r w:rsidR="008D7E79">
        <w:t xml:space="preserve">s 224(2)(b) overlaps with </w:t>
      </w:r>
      <w:r w:rsidR="00DA17D0">
        <w:t xml:space="preserve">that of </w:t>
      </w:r>
      <w:r w:rsidR="008D7E79">
        <w:t xml:space="preserve">s 224(2)(a), and that </w:t>
      </w:r>
      <w:r w:rsidR="00EA1014">
        <w:t>the</w:t>
      </w:r>
      <w:r w:rsidR="002C7780">
        <w:t xml:space="preserve"> relevant circumstances </w:t>
      </w:r>
      <w:r w:rsidR="00645F8A">
        <w:t xml:space="preserve">here </w:t>
      </w:r>
      <w:r w:rsidR="002C7780">
        <w:t>include the type of representations</w:t>
      </w:r>
      <w:r w:rsidR="00724A5F">
        <w:t xml:space="preserve"> made, how those representations were made and the general impact of those representations on consumers</w:t>
      </w:r>
      <w:r w:rsidR="008D7E79">
        <w:t xml:space="preserve">.  </w:t>
      </w:r>
      <w:r w:rsidR="005B2847">
        <w:t>Beyond</w:t>
      </w:r>
      <w:r w:rsidR="008D7E79">
        <w:t xml:space="preserve"> the </w:t>
      </w:r>
      <w:r w:rsidR="00076A0C">
        <w:t>matters I have already addressed with respect to s 224(2)(a)</w:t>
      </w:r>
      <w:r w:rsidR="00645F8A">
        <w:t>,</w:t>
      </w:r>
      <w:r w:rsidR="008030E5">
        <w:t xml:space="preserve"> b</w:t>
      </w:r>
      <w:r w:rsidR="005359B7">
        <w:t>oth</w:t>
      </w:r>
      <w:r w:rsidR="00856713">
        <w:t xml:space="preserve"> parties drew my attention </w:t>
      </w:r>
      <w:r w:rsidR="00D234C0">
        <w:t>to the</w:t>
      </w:r>
      <w:r w:rsidR="00200BBF">
        <w:t xml:space="preserve"> </w:t>
      </w:r>
      <w:r w:rsidR="00E9426A">
        <w:t>general observations</w:t>
      </w:r>
      <w:r w:rsidR="00A409AF">
        <w:t xml:space="preserve"> I made regarding Mazda’s conduct</w:t>
      </w:r>
      <w:r w:rsidR="00200BBF">
        <w:t xml:space="preserve"> in the Liability Reasons as </w:t>
      </w:r>
      <w:r w:rsidR="004972EF">
        <w:t xml:space="preserve">being </w:t>
      </w:r>
      <w:r w:rsidR="00200BBF">
        <w:t xml:space="preserve">relevant.  </w:t>
      </w:r>
      <w:r w:rsidR="008365E6">
        <w:t xml:space="preserve">These </w:t>
      </w:r>
      <w:r w:rsidR="00D20F62">
        <w:t xml:space="preserve">general </w:t>
      </w:r>
      <w:r w:rsidR="008365E6">
        <w:t xml:space="preserve">observations </w:t>
      </w:r>
      <w:r w:rsidR="00523DE4">
        <w:t>included</w:t>
      </w:r>
      <w:r w:rsidR="008365E6">
        <w:t>:</w:t>
      </w:r>
      <w:bookmarkEnd w:id="43"/>
    </w:p>
    <w:p w14:paraId="0AB2EFB6" w14:textId="128F13DD" w:rsidR="00B3074E" w:rsidRDefault="007C3488" w:rsidP="007C3488">
      <w:pPr>
        <w:pStyle w:val="ListNo1alt"/>
        <w:numPr>
          <w:ilvl w:val="0"/>
          <w:numId w:val="0"/>
        </w:numPr>
        <w:tabs>
          <w:tab w:val="left" w:pos="720"/>
        </w:tabs>
        <w:ind w:left="720" w:hanging="720"/>
      </w:pPr>
      <w:r>
        <w:t>(a)</w:t>
      </w:r>
      <w:r>
        <w:tab/>
      </w:r>
      <w:r w:rsidR="00410BCF">
        <w:t>W</w:t>
      </w:r>
      <w:r w:rsidR="006C2273">
        <w:t xml:space="preserve">hile not unconscionable, </w:t>
      </w:r>
      <w:r w:rsidR="00420EA9">
        <w:t>Mazda’s conduct can</w:t>
      </w:r>
      <w:r w:rsidR="00737B38">
        <w:t xml:space="preserve"> accurately be characterised as “appalling customer service”</w:t>
      </w:r>
      <w:r w:rsidR="006C2273">
        <w:t xml:space="preserve"> and customers were rightly frustrated at Mazda’s delays and excuses for not squarely addressing their complaints and their requests for a refund or replacement vehicle</w:t>
      </w:r>
      <w:r w:rsidR="00FC314B">
        <w:t xml:space="preserve"> (</w:t>
      </w:r>
      <w:r w:rsidR="00805A8F">
        <w:t xml:space="preserve">Liability </w:t>
      </w:r>
      <w:r w:rsidR="006C2273">
        <w:t>J</w:t>
      </w:r>
      <w:r w:rsidR="00805A8F">
        <w:t xml:space="preserve">udgment </w:t>
      </w:r>
      <w:r w:rsidR="006C2273">
        <w:t>[135]</w:t>
      </w:r>
      <w:proofErr w:type="gramStart"/>
      <w:r w:rsidR="00FC314B">
        <w:t>)</w:t>
      </w:r>
      <w:r w:rsidR="006C2273">
        <w:t>;</w:t>
      </w:r>
      <w:proofErr w:type="gramEnd"/>
    </w:p>
    <w:p w14:paraId="7C3219C1" w14:textId="647FB6A7" w:rsidR="006C2273" w:rsidRDefault="007C3488" w:rsidP="007C3488">
      <w:pPr>
        <w:pStyle w:val="ListNo1alt"/>
        <w:numPr>
          <w:ilvl w:val="0"/>
          <w:numId w:val="0"/>
        </w:numPr>
        <w:tabs>
          <w:tab w:val="left" w:pos="720"/>
        </w:tabs>
        <w:ind w:left="720" w:hanging="720"/>
      </w:pPr>
      <w:r>
        <w:t>(b)</w:t>
      </w:r>
      <w:r>
        <w:tab/>
      </w:r>
      <w:r w:rsidR="00410BCF">
        <w:t>A</w:t>
      </w:r>
      <w:r w:rsidR="003A4D09">
        <w:t xml:space="preserve">t no point did the round table or executive panel processes make any genuine </w:t>
      </w:r>
      <w:r w:rsidR="00A4085B">
        <w:t>attempt to consider and apply the consumer guarantee provision</w:t>
      </w:r>
      <w:r w:rsidR="00FC314B">
        <w:t>s</w:t>
      </w:r>
      <w:r w:rsidR="00A4085B">
        <w:t xml:space="preserve"> </w:t>
      </w:r>
      <w:r w:rsidR="00EF3A20">
        <w:t>of the ACL to the circumstances of the individual consumer</w:t>
      </w:r>
      <w:r w:rsidR="003F4727">
        <w:t xml:space="preserve">.  </w:t>
      </w:r>
      <w:r w:rsidR="00020BF7">
        <w:t xml:space="preserve">By doing so, Mazda did not comply with its own </w:t>
      </w:r>
      <w:r w:rsidR="00176436">
        <w:t xml:space="preserve">internal ACL compliance standards and processes. </w:t>
      </w:r>
      <w:r w:rsidR="009E0420">
        <w:t xml:space="preserve"> Again, while such failings were no</w:t>
      </w:r>
      <w:r w:rsidR="00081B70">
        <w:t>t</w:t>
      </w:r>
      <w:r w:rsidR="009E0420">
        <w:t xml:space="preserve"> unconscionable conduct, </w:t>
      </w:r>
      <w:r w:rsidR="00081B70">
        <w:t>they are appropriately characterised as “very bad management”</w:t>
      </w:r>
      <w:r w:rsidR="00FC314B">
        <w:t xml:space="preserve"> (</w:t>
      </w:r>
      <w:r w:rsidR="00A1132C">
        <w:t xml:space="preserve">Liability Judgment </w:t>
      </w:r>
      <w:r w:rsidR="00AC6CCE">
        <w:t>[141]</w:t>
      </w:r>
      <w:proofErr w:type="gramStart"/>
      <w:r w:rsidR="00FC314B">
        <w:t>)</w:t>
      </w:r>
      <w:r w:rsidR="00AC6CCE">
        <w:t>;</w:t>
      </w:r>
      <w:proofErr w:type="gramEnd"/>
    </w:p>
    <w:p w14:paraId="0983FF53" w14:textId="14E9B2DE" w:rsidR="00AC6CCE" w:rsidRDefault="007C3488" w:rsidP="007C3488">
      <w:pPr>
        <w:pStyle w:val="ListNo1alt"/>
        <w:numPr>
          <w:ilvl w:val="0"/>
          <w:numId w:val="0"/>
        </w:numPr>
        <w:tabs>
          <w:tab w:val="left" w:pos="720"/>
        </w:tabs>
        <w:ind w:left="720" w:hanging="720"/>
      </w:pPr>
      <w:r>
        <w:t>(c)</w:t>
      </w:r>
      <w:r>
        <w:tab/>
      </w:r>
      <w:r w:rsidR="00410BCF">
        <w:t>I</w:t>
      </w:r>
      <w:r w:rsidR="00AC6CCE">
        <w:t>n each case</w:t>
      </w:r>
      <w:r w:rsidR="00201259">
        <w:t xml:space="preserve"> the subject of this proceeding</w:t>
      </w:r>
      <w:r w:rsidR="00AC6CCE">
        <w:t>, Mazda made no sufficient attempt to seek technical advice about the particular issues experienced by the consumers and then to have regard</w:t>
      </w:r>
      <w:r w:rsidR="008C1D1F">
        <w:t xml:space="preserve"> to such advice in applying the statutory </w:t>
      </w:r>
      <w:proofErr w:type="gramStart"/>
      <w:r w:rsidR="008C1D1F">
        <w:t>guarantee</w:t>
      </w:r>
      <w:proofErr w:type="gramEnd"/>
      <w:r w:rsidR="008C1D1F">
        <w:t xml:space="preserve"> provisions.</w:t>
      </w:r>
      <w:r w:rsidR="00024D42">
        <w:t xml:space="preserve">  Instead, Mazda decided that in most instances, its interests were best served by engaging in </w:t>
      </w:r>
      <w:r w:rsidR="00024D42">
        <w:lastRenderedPageBreak/>
        <w:t>commercial negotiations which had no regard to the parameters or requirements of the consumer guarantee provisions</w:t>
      </w:r>
      <w:r w:rsidR="00943718">
        <w:t xml:space="preserve"> (</w:t>
      </w:r>
      <w:r w:rsidR="00A1132C">
        <w:t xml:space="preserve">Liability </w:t>
      </w:r>
      <w:r w:rsidR="00024D42">
        <w:t>J</w:t>
      </w:r>
      <w:r w:rsidR="00A1132C">
        <w:t xml:space="preserve">udgment </w:t>
      </w:r>
      <w:r w:rsidR="00024D42">
        <w:t>[142]</w:t>
      </w:r>
      <w:r w:rsidR="00943718">
        <w:t>)</w:t>
      </w:r>
      <w:r w:rsidR="00024D42">
        <w:t>.</w:t>
      </w:r>
    </w:p>
    <w:p w14:paraId="65FE1C51" w14:textId="70916557" w:rsidR="00831E11" w:rsidRDefault="007C3488" w:rsidP="007C3488">
      <w:pPr>
        <w:pStyle w:val="ParaNumbering"/>
        <w:numPr>
          <w:ilvl w:val="0"/>
          <w:numId w:val="0"/>
        </w:numPr>
        <w:ind w:hanging="720"/>
      </w:pPr>
      <w:r>
        <w:rPr>
          <w:sz w:val="20"/>
        </w:rPr>
        <w:t>61</w:t>
      </w:r>
      <w:r>
        <w:rPr>
          <w:sz w:val="20"/>
        </w:rPr>
        <w:tab/>
      </w:r>
      <w:r w:rsidR="00200BBF">
        <w:t xml:space="preserve">Although these </w:t>
      </w:r>
      <w:r w:rsidR="00F30776">
        <w:t xml:space="preserve">observations and </w:t>
      </w:r>
      <w:r w:rsidR="00260E3D">
        <w:t xml:space="preserve">my </w:t>
      </w:r>
      <w:r w:rsidR="00D234C0">
        <w:t>related findings of fact</w:t>
      </w:r>
      <w:r w:rsidR="003A4D09">
        <w:t xml:space="preserve"> </w:t>
      </w:r>
      <w:r w:rsidR="00D234C0">
        <w:t xml:space="preserve">were made in </w:t>
      </w:r>
      <w:r w:rsidR="00226B47">
        <w:t>relation to</w:t>
      </w:r>
      <w:r w:rsidR="00D234C0">
        <w:t xml:space="preserve"> the ACCC’s unconscionable conduct claims, I </w:t>
      </w:r>
      <w:r w:rsidR="00932D3A">
        <w:t xml:space="preserve">agree with </w:t>
      </w:r>
      <w:r w:rsidR="00D234C0">
        <w:t xml:space="preserve">the ACCC’s submission that </w:t>
      </w:r>
      <w:r w:rsidR="00015428">
        <w:t xml:space="preserve">they are </w:t>
      </w:r>
      <w:r w:rsidR="006D69C6">
        <w:t xml:space="preserve">nevertheless </w:t>
      </w:r>
      <w:r w:rsidR="00015428">
        <w:t>relevant to the determination of pe</w:t>
      </w:r>
      <w:r w:rsidR="00433B52">
        <w:t>nalty</w:t>
      </w:r>
      <w:r w:rsidR="00236D7C">
        <w:t xml:space="preserve"> </w:t>
      </w:r>
      <w:r w:rsidR="006D69C6">
        <w:t>as they</w:t>
      </w:r>
      <w:r w:rsidR="00433B52">
        <w:t xml:space="preserve"> </w:t>
      </w:r>
      <w:r w:rsidR="009042A3">
        <w:t>establish</w:t>
      </w:r>
      <w:r w:rsidR="00433B52">
        <w:t xml:space="preserve"> the context in which the false representations </w:t>
      </w:r>
      <w:r w:rsidR="00236D7C">
        <w:t>took place</w:t>
      </w:r>
      <w:r w:rsidR="00B56CFB">
        <w:t>.</w:t>
      </w:r>
    </w:p>
    <w:p w14:paraId="7F420B03" w14:textId="1D26B243" w:rsidR="005734E9" w:rsidRDefault="007C3488" w:rsidP="007C3488">
      <w:pPr>
        <w:pStyle w:val="ParaNumbering"/>
        <w:numPr>
          <w:ilvl w:val="0"/>
          <w:numId w:val="0"/>
        </w:numPr>
        <w:ind w:hanging="720"/>
      </w:pPr>
      <w:r>
        <w:rPr>
          <w:sz w:val="20"/>
        </w:rPr>
        <w:t>62</w:t>
      </w:r>
      <w:r>
        <w:rPr>
          <w:sz w:val="20"/>
        </w:rPr>
        <w:tab/>
      </w:r>
      <w:r w:rsidR="000F11A8">
        <w:t>I note that</w:t>
      </w:r>
      <w:r w:rsidR="00A92D6F">
        <w:t xml:space="preserve">, in its </w:t>
      </w:r>
      <w:r w:rsidR="001963F5">
        <w:t xml:space="preserve">written </w:t>
      </w:r>
      <w:r w:rsidR="00A92D6F">
        <w:t xml:space="preserve">submissions, </w:t>
      </w:r>
      <w:r w:rsidR="000F11A8">
        <w:t>t</w:t>
      </w:r>
      <w:r w:rsidR="00AB7AA2">
        <w:t xml:space="preserve">he ACCC </w:t>
      </w:r>
      <w:r w:rsidR="00743632">
        <w:t xml:space="preserve">initially </w:t>
      </w:r>
      <w:r w:rsidR="0086241B">
        <w:t>appeared to</w:t>
      </w:r>
      <w:r w:rsidR="00AB7AA2">
        <w:t xml:space="preserve"> </w:t>
      </w:r>
      <w:r w:rsidR="00A92D6F">
        <w:t>assert</w:t>
      </w:r>
      <w:r w:rsidR="00AB7AA2">
        <w:t xml:space="preserve"> that </w:t>
      </w:r>
      <w:r w:rsidR="00C70B13">
        <w:t>my general</w:t>
      </w:r>
      <w:r w:rsidR="00CB329E">
        <w:t xml:space="preserve"> observations </w:t>
      </w:r>
      <w:r w:rsidR="00401C20">
        <w:t xml:space="preserve">regarding Mazda’s conduct </w:t>
      </w:r>
      <w:r w:rsidR="00F429F4">
        <w:t>were</w:t>
      </w:r>
      <w:r w:rsidR="00C70B13">
        <w:t xml:space="preserve"> </w:t>
      </w:r>
      <w:r w:rsidR="000846FF">
        <w:t xml:space="preserve">“general findings” </w:t>
      </w:r>
      <w:r w:rsidR="005503B8">
        <w:t>indicating</w:t>
      </w:r>
      <w:r w:rsidR="000846FF">
        <w:t xml:space="preserve"> </w:t>
      </w:r>
      <w:r w:rsidR="00A92D6F">
        <w:t>the existence of a broad</w:t>
      </w:r>
      <w:r w:rsidR="00CE22C4">
        <w:t xml:space="preserve"> </w:t>
      </w:r>
      <w:r w:rsidR="00A92D6F">
        <w:t>“organisational problem”</w:t>
      </w:r>
      <w:r w:rsidR="00CE22C4">
        <w:t xml:space="preserve"> across</w:t>
      </w:r>
      <w:r w:rsidR="00A92D6F">
        <w:t xml:space="preserve"> </w:t>
      </w:r>
      <w:r w:rsidR="004B5195">
        <w:t>Mazda</w:t>
      </w:r>
      <w:r w:rsidR="005503B8">
        <w:t xml:space="preserve"> </w:t>
      </w:r>
      <w:r w:rsidR="00CE22C4">
        <w:t xml:space="preserve">extending beyond </w:t>
      </w:r>
      <w:r w:rsidR="005D6A0E">
        <w:t xml:space="preserve">the </w:t>
      </w:r>
      <w:r w:rsidR="009F7941">
        <w:t>relevant</w:t>
      </w:r>
      <w:r w:rsidR="00F15198">
        <w:t xml:space="preserve"> consumers.</w:t>
      </w:r>
      <w:r w:rsidR="0050599F">
        <w:t xml:space="preserve">  </w:t>
      </w:r>
      <w:r w:rsidR="0066778B">
        <w:t>However,</w:t>
      </w:r>
      <w:r w:rsidR="001E61E8">
        <w:t xml:space="preserve"> S</w:t>
      </w:r>
      <w:r w:rsidR="005E1BE7">
        <w:t xml:space="preserve">enior </w:t>
      </w:r>
      <w:r w:rsidR="001E61E8">
        <w:t>C</w:t>
      </w:r>
      <w:r w:rsidR="005E1BE7">
        <w:t xml:space="preserve">ounsel for the ACCC </w:t>
      </w:r>
      <w:r w:rsidR="003C4453">
        <w:t xml:space="preserve">agreed that </w:t>
      </w:r>
      <w:r w:rsidR="00962046">
        <w:t>because it had eschewed a “systems” or “pattern” case</w:t>
      </w:r>
      <w:r w:rsidR="00A11416">
        <w:t xml:space="preserve">, the findings </w:t>
      </w:r>
      <w:r w:rsidR="00AB20D0">
        <w:t xml:space="preserve">were </w:t>
      </w:r>
      <w:r w:rsidR="00A11416">
        <w:t xml:space="preserve">necessarily </w:t>
      </w:r>
      <w:r w:rsidR="00AB20D0">
        <w:t xml:space="preserve">confined to </w:t>
      </w:r>
      <w:r w:rsidR="0090638C">
        <w:t xml:space="preserve">Mazda’s conduct in relation to the nine </w:t>
      </w:r>
      <w:r w:rsidR="00A11416">
        <w:t xml:space="preserve">individual </w:t>
      </w:r>
      <w:r w:rsidR="0090638C">
        <w:t xml:space="preserve">consumers.  </w:t>
      </w:r>
      <w:r w:rsidR="00F56D2A">
        <w:t xml:space="preserve">My general observations </w:t>
      </w:r>
      <w:r w:rsidR="00470358">
        <w:t xml:space="preserve">in the Liability Judgment </w:t>
      </w:r>
      <w:r w:rsidR="00F56D2A">
        <w:t xml:space="preserve">were similarly </w:t>
      </w:r>
      <w:r w:rsidR="00416C3C">
        <w:t>confined</w:t>
      </w:r>
      <w:r w:rsidR="00E97F0F">
        <w:t xml:space="preserve">, as is my consideration of them </w:t>
      </w:r>
      <w:r w:rsidR="00265F66">
        <w:t>for the purpose of</w:t>
      </w:r>
      <w:r w:rsidR="00F73360">
        <w:t xml:space="preserve"> determining the appropriate penalty.</w:t>
      </w:r>
    </w:p>
    <w:p w14:paraId="40EF36DC" w14:textId="2BF6FA9B" w:rsidR="00924B69" w:rsidRDefault="00D35D73" w:rsidP="0046414B">
      <w:pPr>
        <w:pStyle w:val="Heading3"/>
      </w:pPr>
      <w:r>
        <w:t xml:space="preserve">Previous </w:t>
      </w:r>
      <w:r w:rsidR="00E267B3">
        <w:t>findings by a court in proceedings under Ch 4 of Pt 5-2</w:t>
      </w:r>
      <w:r>
        <w:t xml:space="preserve"> </w:t>
      </w:r>
      <w:r w:rsidR="00FF4474">
        <w:t>(s 224(2)(c))</w:t>
      </w:r>
    </w:p>
    <w:p w14:paraId="14622B66" w14:textId="2A0F045A" w:rsidR="00FF4474" w:rsidRDefault="007C3488" w:rsidP="007C3488">
      <w:pPr>
        <w:pStyle w:val="ParaNumbering"/>
        <w:numPr>
          <w:ilvl w:val="0"/>
          <w:numId w:val="0"/>
        </w:numPr>
        <w:ind w:hanging="720"/>
      </w:pPr>
      <w:r>
        <w:rPr>
          <w:sz w:val="20"/>
        </w:rPr>
        <w:t>63</w:t>
      </w:r>
      <w:r>
        <w:rPr>
          <w:sz w:val="20"/>
        </w:rPr>
        <w:tab/>
      </w:r>
      <w:r w:rsidR="00253513">
        <w:t xml:space="preserve">Mazda has not previously been found by a </w:t>
      </w:r>
      <w:r w:rsidR="0068360F">
        <w:t>c</w:t>
      </w:r>
      <w:r w:rsidR="00253513">
        <w:t>ourt to have engaged in similar conduct in breach of the ACL.</w:t>
      </w:r>
    </w:p>
    <w:p w14:paraId="5ED30D86" w14:textId="61232086" w:rsidR="007749F7" w:rsidRDefault="00E267B3" w:rsidP="0046414B">
      <w:pPr>
        <w:pStyle w:val="Heading3"/>
      </w:pPr>
      <w:r>
        <w:t xml:space="preserve">Size </w:t>
      </w:r>
      <w:r w:rsidR="003977A7">
        <w:t xml:space="preserve">and financial position </w:t>
      </w:r>
      <w:r>
        <w:t>of the contravening company</w:t>
      </w:r>
    </w:p>
    <w:p w14:paraId="42206723" w14:textId="09AF6DAC" w:rsidR="009B6F2A" w:rsidRDefault="007C3488" w:rsidP="007C3488">
      <w:pPr>
        <w:pStyle w:val="ParaNumbering"/>
        <w:numPr>
          <w:ilvl w:val="0"/>
          <w:numId w:val="0"/>
        </w:numPr>
        <w:ind w:hanging="720"/>
      </w:pPr>
      <w:r>
        <w:rPr>
          <w:sz w:val="20"/>
        </w:rPr>
        <w:t>64</w:t>
      </w:r>
      <w:r>
        <w:rPr>
          <w:sz w:val="20"/>
        </w:rPr>
        <w:tab/>
      </w:r>
      <w:r w:rsidR="00CA2D51">
        <w:t xml:space="preserve">The ACCC drew my attention to </w:t>
      </w:r>
      <w:r w:rsidR="00CD138E">
        <w:t>Mazda</w:t>
      </w:r>
      <w:r w:rsidR="00E67752">
        <w:t>’s</w:t>
      </w:r>
      <w:r w:rsidR="00ED38AC">
        <w:t xml:space="preserve"> </w:t>
      </w:r>
      <w:r w:rsidR="005A5A62">
        <w:t>total</w:t>
      </w:r>
      <w:r w:rsidR="00CD138E">
        <w:t xml:space="preserve"> sales revenue </w:t>
      </w:r>
      <w:r w:rsidR="009B6F2A">
        <w:t>figures f</w:t>
      </w:r>
      <w:r w:rsidR="00CA2D51">
        <w:t xml:space="preserve">or the </w:t>
      </w:r>
      <w:r w:rsidR="009B6F2A">
        <w:t>2018 to 2022 financial years</w:t>
      </w:r>
      <w:r w:rsidR="005969C6">
        <w:t xml:space="preserve">, </w:t>
      </w:r>
      <w:r w:rsidR="00711721">
        <w:t>summarised in the following table</w:t>
      </w:r>
      <w:r w:rsidR="009B6F2A">
        <w:t>:</w:t>
      </w:r>
    </w:p>
    <w:tbl>
      <w:tblPr>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142"/>
        <w:gridCol w:w="1461"/>
        <w:gridCol w:w="1463"/>
        <w:gridCol w:w="1461"/>
        <w:gridCol w:w="1463"/>
        <w:gridCol w:w="1463"/>
      </w:tblGrid>
      <w:tr w:rsidR="00E67752" w14:paraId="52FD98C1" w14:textId="77777777" w:rsidTr="00F42AEE">
        <w:trPr>
          <w:trHeight w:val="457"/>
        </w:trPr>
        <w:tc>
          <w:tcPr>
            <w:tcW w:w="1142" w:type="dxa"/>
            <w:shd w:val="clear" w:color="auto" w:fill="D9D9D9"/>
          </w:tcPr>
          <w:p w14:paraId="10C97E9B" w14:textId="77777777" w:rsidR="00E67752" w:rsidRPr="00E67752" w:rsidRDefault="00E67752" w:rsidP="00E67752">
            <w:pPr>
              <w:pStyle w:val="Small-TableswithinQuotes"/>
              <w:rPr>
                <w:b/>
                <w:bCs/>
              </w:rPr>
            </w:pPr>
            <w:r w:rsidRPr="00E67752">
              <w:rPr>
                <w:b/>
                <w:bCs/>
              </w:rPr>
              <w:t>Revenue</w:t>
            </w:r>
          </w:p>
        </w:tc>
        <w:tc>
          <w:tcPr>
            <w:tcW w:w="1461" w:type="dxa"/>
            <w:shd w:val="clear" w:color="auto" w:fill="D9D9D9"/>
          </w:tcPr>
          <w:p w14:paraId="1D0AC4DF" w14:textId="77777777" w:rsidR="00E67752" w:rsidRPr="00E67752" w:rsidRDefault="00E67752" w:rsidP="00E67752">
            <w:pPr>
              <w:pStyle w:val="Small-TableswithinQuotes"/>
              <w:rPr>
                <w:b/>
                <w:bCs/>
              </w:rPr>
            </w:pPr>
            <w:r w:rsidRPr="00E67752">
              <w:rPr>
                <w:b/>
                <w:bCs/>
              </w:rPr>
              <w:t>FY2018</w:t>
            </w:r>
          </w:p>
        </w:tc>
        <w:tc>
          <w:tcPr>
            <w:tcW w:w="1463" w:type="dxa"/>
            <w:shd w:val="clear" w:color="auto" w:fill="D9D9D9"/>
          </w:tcPr>
          <w:p w14:paraId="412F5A35" w14:textId="77777777" w:rsidR="00E67752" w:rsidRPr="00E67752" w:rsidRDefault="00E67752" w:rsidP="00E67752">
            <w:pPr>
              <w:pStyle w:val="Small-TableswithinQuotes"/>
              <w:rPr>
                <w:b/>
                <w:bCs/>
              </w:rPr>
            </w:pPr>
            <w:r w:rsidRPr="00E67752">
              <w:rPr>
                <w:b/>
                <w:bCs/>
              </w:rPr>
              <w:t>FY2019</w:t>
            </w:r>
          </w:p>
        </w:tc>
        <w:tc>
          <w:tcPr>
            <w:tcW w:w="1461" w:type="dxa"/>
            <w:shd w:val="clear" w:color="auto" w:fill="D9D9D9"/>
          </w:tcPr>
          <w:p w14:paraId="50A469C3" w14:textId="77777777" w:rsidR="00E67752" w:rsidRPr="00E67752" w:rsidRDefault="00E67752" w:rsidP="00E67752">
            <w:pPr>
              <w:pStyle w:val="Small-TableswithinQuotes"/>
              <w:rPr>
                <w:b/>
                <w:bCs/>
              </w:rPr>
            </w:pPr>
            <w:r w:rsidRPr="00E67752">
              <w:rPr>
                <w:b/>
                <w:bCs/>
              </w:rPr>
              <w:t>FY2020</w:t>
            </w:r>
          </w:p>
        </w:tc>
        <w:tc>
          <w:tcPr>
            <w:tcW w:w="1463" w:type="dxa"/>
            <w:shd w:val="clear" w:color="auto" w:fill="D9D9D9"/>
          </w:tcPr>
          <w:p w14:paraId="4E7A34C2" w14:textId="77777777" w:rsidR="00E67752" w:rsidRPr="00E67752" w:rsidRDefault="00E67752" w:rsidP="00E67752">
            <w:pPr>
              <w:pStyle w:val="Small-TableswithinQuotes"/>
              <w:rPr>
                <w:b/>
                <w:bCs/>
              </w:rPr>
            </w:pPr>
            <w:r w:rsidRPr="00E67752">
              <w:rPr>
                <w:b/>
                <w:bCs/>
              </w:rPr>
              <w:t>FY2021</w:t>
            </w:r>
          </w:p>
        </w:tc>
        <w:tc>
          <w:tcPr>
            <w:tcW w:w="1463" w:type="dxa"/>
            <w:shd w:val="clear" w:color="auto" w:fill="D9D9D9"/>
          </w:tcPr>
          <w:p w14:paraId="4146C4ED" w14:textId="77777777" w:rsidR="00E67752" w:rsidRPr="00E67752" w:rsidRDefault="00E67752" w:rsidP="00E67752">
            <w:pPr>
              <w:pStyle w:val="Small-TableswithinQuotes"/>
              <w:rPr>
                <w:b/>
                <w:bCs/>
              </w:rPr>
            </w:pPr>
            <w:r w:rsidRPr="00E67752">
              <w:rPr>
                <w:b/>
                <w:bCs/>
              </w:rPr>
              <w:t>FY2022</w:t>
            </w:r>
          </w:p>
        </w:tc>
      </w:tr>
      <w:tr w:rsidR="00E67752" w14:paraId="02AABE0B" w14:textId="77777777" w:rsidTr="00F42AEE">
        <w:trPr>
          <w:trHeight w:val="894"/>
        </w:trPr>
        <w:tc>
          <w:tcPr>
            <w:tcW w:w="1142" w:type="dxa"/>
          </w:tcPr>
          <w:p w14:paraId="65DA0A17" w14:textId="77777777" w:rsidR="00E67752" w:rsidRDefault="00E67752" w:rsidP="00E67752">
            <w:pPr>
              <w:pStyle w:val="Small-TableswithinQuotes"/>
            </w:pPr>
            <w:r>
              <w:t>Sales</w:t>
            </w:r>
            <w:r>
              <w:rPr>
                <w:spacing w:val="-5"/>
              </w:rPr>
              <w:t xml:space="preserve"> </w:t>
            </w:r>
            <w:r>
              <w:t>of goods - Vehicles</w:t>
            </w:r>
          </w:p>
        </w:tc>
        <w:tc>
          <w:tcPr>
            <w:tcW w:w="1461" w:type="dxa"/>
          </w:tcPr>
          <w:p w14:paraId="78C1F65C" w14:textId="77777777" w:rsidR="00E67752" w:rsidRDefault="00E67752" w:rsidP="00E67752">
            <w:pPr>
              <w:pStyle w:val="Small-TableswithinQuotes"/>
            </w:pPr>
            <w:r>
              <w:t>2,922,941,000</w:t>
            </w:r>
          </w:p>
        </w:tc>
        <w:tc>
          <w:tcPr>
            <w:tcW w:w="1463" w:type="dxa"/>
          </w:tcPr>
          <w:p w14:paraId="441517BD" w14:textId="77777777" w:rsidR="00E67752" w:rsidRDefault="00E67752" w:rsidP="00E67752">
            <w:pPr>
              <w:pStyle w:val="Small-TableswithinQuotes"/>
            </w:pPr>
            <w:r>
              <w:t>2,783,815,000</w:t>
            </w:r>
          </w:p>
        </w:tc>
        <w:tc>
          <w:tcPr>
            <w:tcW w:w="1461" w:type="dxa"/>
          </w:tcPr>
          <w:p w14:paraId="783C9249" w14:textId="77777777" w:rsidR="00E67752" w:rsidRDefault="00E67752" w:rsidP="00E67752">
            <w:pPr>
              <w:pStyle w:val="Small-TableswithinQuotes"/>
            </w:pPr>
            <w:r>
              <w:t>2,411,325,000</w:t>
            </w:r>
          </w:p>
        </w:tc>
        <w:tc>
          <w:tcPr>
            <w:tcW w:w="1463" w:type="dxa"/>
          </w:tcPr>
          <w:p w14:paraId="46C4F88D" w14:textId="77777777" w:rsidR="00E67752" w:rsidRDefault="00E67752" w:rsidP="00E67752">
            <w:pPr>
              <w:pStyle w:val="Small-TableswithinQuotes"/>
            </w:pPr>
            <w:r>
              <w:t>2,800,850,000</w:t>
            </w:r>
          </w:p>
        </w:tc>
        <w:tc>
          <w:tcPr>
            <w:tcW w:w="1463" w:type="dxa"/>
          </w:tcPr>
          <w:p w14:paraId="0D8000C8" w14:textId="77777777" w:rsidR="00E67752" w:rsidRDefault="00E67752" w:rsidP="00E67752">
            <w:pPr>
              <w:pStyle w:val="Small-TableswithinQuotes"/>
            </w:pPr>
            <w:r>
              <w:t>3,139,531,000</w:t>
            </w:r>
          </w:p>
        </w:tc>
      </w:tr>
      <w:tr w:rsidR="00E67752" w14:paraId="50866869" w14:textId="77777777" w:rsidTr="00F42AEE">
        <w:trPr>
          <w:trHeight w:val="897"/>
        </w:trPr>
        <w:tc>
          <w:tcPr>
            <w:tcW w:w="1142" w:type="dxa"/>
          </w:tcPr>
          <w:p w14:paraId="6B49671D" w14:textId="77777777" w:rsidR="00E67752" w:rsidRDefault="00E67752" w:rsidP="00E67752">
            <w:pPr>
              <w:pStyle w:val="Small-TableswithinQuotes"/>
            </w:pPr>
            <w:r>
              <w:t>Sales</w:t>
            </w:r>
            <w:r>
              <w:rPr>
                <w:spacing w:val="-14"/>
              </w:rPr>
              <w:t xml:space="preserve"> </w:t>
            </w:r>
            <w:r>
              <w:t>of Goods</w:t>
            </w:r>
            <w:r>
              <w:rPr>
                <w:spacing w:val="-14"/>
              </w:rPr>
              <w:t xml:space="preserve"> </w:t>
            </w:r>
            <w:r>
              <w:t>- parts</w:t>
            </w:r>
          </w:p>
        </w:tc>
        <w:tc>
          <w:tcPr>
            <w:tcW w:w="1461" w:type="dxa"/>
          </w:tcPr>
          <w:p w14:paraId="7A05A970" w14:textId="77777777" w:rsidR="00E67752" w:rsidRDefault="00E67752" w:rsidP="00E67752">
            <w:pPr>
              <w:pStyle w:val="Small-TableswithinQuotes"/>
            </w:pPr>
            <w:r>
              <w:t>268,219,000</w:t>
            </w:r>
          </w:p>
        </w:tc>
        <w:tc>
          <w:tcPr>
            <w:tcW w:w="1463" w:type="dxa"/>
          </w:tcPr>
          <w:p w14:paraId="46421FCE" w14:textId="77777777" w:rsidR="00E67752" w:rsidRDefault="00E67752" w:rsidP="00E67752">
            <w:pPr>
              <w:pStyle w:val="Small-TableswithinQuotes"/>
            </w:pPr>
            <w:r>
              <w:t>288,689,000</w:t>
            </w:r>
          </w:p>
        </w:tc>
        <w:tc>
          <w:tcPr>
            <w:tcW w:w="1461" w:type="dxa"/>
          </w:tcPr>
          <w:p w14:paraId="71CAEDE3" w14:textId="77777777" w:rsidR="00E67752" w:rsidRDefault="00E67752" w:rsidP="00E67752">
            <w:pPr>
              <w:pStyle w:val="Small-TableswithinQuotes"/>
            </w:pPr>
            <w:r>
              <w:t>313,753,000</w:t>
            </w:r>
          </w:p>
        </w:tc>
        <w:tc>
          <w:tcPr>
            <w:tcW w:w="1463" w:type="dxa"/>
          </w:tcPr>
          <w:p w14:paraId="11150552" w14:textId="77777777" w:rsidR="00E67752" w:rsidRDefault="00E67752" w:rsidP="00E67752">
            <w:pPr>
              <w:pStyle w:val="Small-TableswithinQuotes"/>
            </w:pPr>
            <w:r>
              <w:t>272,663,000</w:t>
            </w:r>
          </w:p>
        </w:tc>
        <w:tc>
          <w:tcPr>
            <w:tcW w:w="1463" w:type="dxa"/>
          </w:tcPr>
          <w:p w14:paraId="6E79C4F9" w14:textId="77777777" w:rsidR="00E67752" w:rsidRDefault="00E67752" w:rsidP="00E67752">
            <w:pPr>
              <w:pStyle w:val="Small-TableswithinQuotes"/>
            </w:pPr>
            <w:r>
              <w:t>305,858,000</w:t>
            </w:r>
          </w:p>
        </w:tc>
      </w:tr>
      <w:tr w:rsidR="00E67752" w14:paraId="497D2592" w14:textId="77777777" w:rsidTr="00F42AEE">
        <w:trPr>
          <w:trHeight w:val="894"/>
        </w:trPr>
        <w:tc>
          <w:tcPr>
            <w:tcW w:w="1142" w:type="dxa"/>
          </w:tcPr>
          <w:p w14:paraId="4F6069F9" w14:textId="77777777" w:rsidR="00E67752" w:rsidRPr="00E67752" w:rsidRDefault="00E67752" w:rsidP="00E67752">
            <w:pPr>
              <w:pStyle w:val="Small-TableswithinQuotes"/>
              <w:rPr>
                <w:b/>
                <w:bCs/>
              </w:rPr>
            </w:pPr>
            <w:r w:rsidRPr="00E67752">
              <w:rPr>
                <w:b/>
                <w:bCs/>
              </w:rPr>
              <w:t>Total Sales Revenue</w:t>
            </w:r>
          </w:p>
        </w:tc>
        <w:tc>
          <w:tcPr>
            <w:tcW w:w="1461" w:type="dxa"/>
          </w:tcPr>
          <w:p w14:paraId="40CE4987" w14:textId="77777777" w:rsidR="00E67752" w:rsidRPr="0046414B" w:rsidRDefault="00E67752" w:rsidP="00E67752">
            <w:pPr>
              <w:pStyle w:val="Small-TableswithinQuotes"/>
              <w:rPr>
                <w:b/>
                <w:bCs/>
              </w:rPr>
            </w:pPr>
            <w:r w:rsidRPr="0046414B">
              <w:rPr>
                <w:b/>
                <w:bCs/>
              </w:rPr>
              <w:t>3,191,160,000</w:t>
            </w:r>
          </w:p>
        </w:tc>
        <w:tc>
          <w:tcPr>
            <w:tcW w:w="1463" w:type="dxa"/>
          </w:tcPr>
          <w:p w14:paraId="44E7923D" w14:textId="77777777" w:rsidR="00E67752" w:rsidRPr="0046414B" w:rsidRDefault="00E67752" w:rsidP="00E67752">
            <w:pPr>
              <w:pStyle w:val="Small-TableswithinQuotes"/>
              <w:rPr>
                <w:b/>
                <w:bCs/>
              </w:rPr>
            </w:pPr>
            <w:r w:rsidRPr="0046414B">
              <w:rPr>
                <w:b/>
                <w:bCs/>
              </w:rPr>
              <w:t>3,072,504,000</w:t>
            </w:r>
          </w:p>
        </w:tc>
        <w:tc>
          <w:tcPr>
            <w:tcW w:w="1461" w:type="dxa"/>
          </w:tcPr>
          <w:p w14:paraId="02E211F8" w14:textId="77777777" w:rsidR="00E67752" w:rsidRPr="0046414B" w:rsidRDefault="00E67752" w:rsidP="00E67752">
            <w:pPr>
              <w:pStyle w:val="Small-TableswithinQuotes"/>
              <w:rPr>
                <w:b/>
                <w:bCs/>
              </w:rPr>
            </w:pPr>
            <w:r w:rsidRPr="0046414B">
              <w:rPr>
                <w:b/>
                <w:bCs/>
              </w:rPr>
              <w:t>2,725,078,000</w:t>
            </w:r>
          </w:p>
        </w:tc>
        <w:tc>
          <w:tcPr>
            <w:tcW w:w="1463" w:type="dxa"/>
          </w:tcPr>
          <w:p w14:paraId="35D80879" w14:textId="77777777" w:rsidR="00E67752" w:rsidRPr="0046414B" w:rsidRDefault="00E67752" w:rsidP="00E67752">
            <w:pPr>
              <w:pStyle w:val="Small-TableswithinQuotes"/>
              <w:rPr>
                <w:b/>
                <w:bCs/>
              </w:rPr>
            </w:pPr>
            <w:r w:rsidRPr="0046414B">
              <w:rPr>
                <w:b/>
                <w:bCs/>
              </w:rPr>
              <w:t>3,073,513,000</w:t>
            </w:r>
          </w:p>
        </w:tc>
        <w:tc>
          <w:tcPr>
            <w:tcW w:w="1463" w:type="dxa"/>
          </w:tcPr>
          <w:p w14:paraId="3BC9D856" w14:textId="77777777" w:rsidR="00E67752" w:rsidRPr="0046414B" w:rsidRDefault="00E67752" w:rsidP="00E67752">
            <w:pPr>
              <w:pStyle w:val="Small-TableswithinQuotes"/>
              <w:rPr>
                <w:b/>
                <w:bCs/>
              </w:rPr>
            </w:pPr>
            <w:r w:rsidRPr="0046414B">
              <w:rPr>
                <w:b/>
                <w:bCs/>
              </w:rPr>
              <w:t>3,445,389,000</w:t>
            </w:r>
          </w:p>
        </w:tc>
      </w:tr>
    </w:tbl>
    <w:p w14:paraId="5A5F3036" w14:textId="14728D9D" w:rsidR="00E67752" w:rsidRDefault="007C3488" w:rsidP="007C3488">
      <w:pPr>
        <w:pStyle w:val="ParaNumbering"/>
        <w:numPr>
          <w:ilvl w:val="0"/>
          <w:numId w:val="0"/>
        </w:numPr>
        <w:ind w:hanging="720"/>
      </w:pPr>
      <w:r>
        <w:rPr>
          <w:sz w:val="20"/>
        </w:rPr>
        <w:t>65</w:t>
      </w:r>
      <w:r>
        <w:rPr>
          <w:sz w:val="20"/>
        </w:rPr>
        <w:tab/>
      </w:r>
      <w:r w:rsidR="00B73FA0">
        <w:t>Mazda</w:t>
      </w:r>
      <w:r w:rsidR="00EA4DCA">
        <w:t xml:space="preserve">, on the other hand, submitted that the appropriate figures </w:t>
      </w:r>
      <w:r w:rsidR="00A342DE">
        <w:t xml:space="preserve">to consider </w:t>
      </w:r>
      <w:r w:rsidR="005422C5">
        <w:t xml:space="preserve">were </w:t>
      </w:r>
      <w:r w:rsidR="00A342DE">
        <w:t>its</w:t>
      </w:r>
      <w:r w:rsidR="005422C5">
        <w:t xml:space="preserve"> </w:t>
      </w:r>
      <w:r w:rsidR="00B73FA0">
        <w:t>net profit</w:t>
      </w:r>
      <w:r w:rsidR="00A342DE">
        <w:t xml:space="preserve">s. </w:t>
      </w:r>
      <w:r w:rsidR="003E0602">
        <w:t xml:space="preserve"> </w:t>
      </w:r>
      <w:r w:rsidR="00F1766A">
        <w:t>As Mr Robins deposed, i</w:t>
      </w:r>
      <w:r w:rsidR="00CC71AC">
        <w:t xml:space="preserve">n </w:t>
      </w:r>
      <w:r w:rsidR="003E0602">
        <w:t xml:space="preserve">the </w:t>
      </w:r>
      <w:r w:rsidR="003B576C">
        <w:t xml:space="preserve">2018 to </w:t>
      </w:r>
      <w:r w:rsidR="00BA25A1">
        <w:t>2020 financial years</w:t>
      </w:r>
      <w:r w:rsidR="00A342DE">
        <w:t>, Mazda’s net profit after tax</w:t>
      </w:r>
      <w:r w:rsidR="00870477">
        <w:t xml:space="preserve"> ranged from </w:t>
      </w:r>
      <w:r w:rsidR="00CC71AC">
        <w:t>$58,372,000 to $79,569,00</w:t>
      </w:r>
      <w:r w:rsidR="00D80CC1">
        <w:t>0</w:t>
      </w:r>
      <w:r w:rsidR="00CC71AC">
        <w:t>.</w:t>
      </w:r>
    </w:p>
    <w:p w14:paraId="315DD6FC" w14:textId="1BBF497A" w:rsidR="00CC71AC" w:rsidRDefault="007C3488" w:rsidP="007C3488">
      <w:pPr>
        <w:pStyle w:val="ParaNumbering"/>
        <w:numPr>
          <w:ilvl w:val="0"/>
          <w:numId w:val="0"/>
        </w:numPr>
        <w:ind w:hanging="720"/>
      </w:pPr>
      <w:r>
        <w:rPr>
          <w:sz w:val="20"/>
        </w:rPr>
        <w:lastRenderedPageBreak/>
        <w:t>66</w:t>
      </w:r>
      <w:r>
        <w:rPr>
          <w:sz w:val="20"/>
        </w:rPr>
        <w:tab/>
      </w:r>
      <w:r w:rsidR="00CC71AC">
        <w:t xml:space="preserve">On either measure, </w:t>
      </w:r>
      <w:r w:rsidR="00F412F8">
        <w:t xml:space="preserve">however, </w:t>
      </w:r>
      <w:r w:rsidR="00CC71AC">
        <w:t xml:space="preserve">it is uncontroversial that Mazda is a large </w:t>
      </w:r>
      <w:r w:rsidR="000E5DF2">
        <w:t xml:space="preserve">and profitable </w:t>
      </w:r>
      <w:r w:rsidR="00CC71AC">
        <w:t>company.</w:t>
      </w:r>
    </w:p>
    <w:p w14:paraId="31780F8F" w14:textId="4E65356C" w:rsidR="00B06985" w:rsidRDefault="007C3488" w:rsidP="007C3488">
      <w:pPr>
        <w:pStyle w:val="ParaNumbering"/>
        <w:numPr>
          <w:ilvl w:val="0"/>
          <w:numId w:val="0"/>
        </w:numPr>
        <w:ind w:hanging="720"/>
      </w:pPr>
      <w:r>
        <w:rPr>
          <w:sz w:val="20"/>
        </w:rPr>
        <w:t>67</w:t>
      </w:r>
      <w:r>
        <w:rPr>
          <w:sz w:val="20"/>
        </w:rPr>
        <w:tab/>
      </w:r>
      <w:r w:rsidR="009D7615">
        <w:t xml:space="preserve">The </w:t>
      </w:r>
      <w:r w:rsidR="00D16B34">
        <w:t xml:space="preserve">ACCC </w:t>
      </w:r>
      <w:r w:rsidR="00C27BE8">
        <w:t xml:space="preserve">also </w:t>
      </w:r>
      <w:r w:rsidR="00D16B34">
        <w:t xml:space="preserve">sought </w:t>
      </w:r>
      <w:r w:rsidR="000E5DF2">
        <w:t xml:space="preserve">in addition </w:t>
      </w:r>
      <w:r w:rsidR="00D16B34">
        <w:t>to rely on</w:t>
      </w:r>
      <w:r w:rsidR="00152F8D">
        <w:t xml:space="preserve"> Mazda’s</w:t>
      </w:r>
      <w:r w:rsidR="00D16B34">
        <w:t xml:space="preserve"> </w:t>
      </w:r>
      <w:r w:rsidR="002E2F24">
        <w:t xml:space="preserve">parent company, </w:t>
      </w:r>
      <w:r w:rsidR="00D16B34">
        <w:t xml:space="preserve">Mazda </w:t>
      </w:r>
      <w:r w:rsidR="00D80CC1">
        <w:t xml:space="preserve">Motor </w:t>
      </w:r>
      <w:r w:rsidR="00152F8D">
        <w:t>Corporation</w:t>
      </w:r>
      <w:r w:rsidR="002C520E">
        <w:t xml:space="preserve">, </w:t>
      </w:r>
      <w:r w:rsidR="000E5DF2">
        <w:t>describing it</w:t>
      </w:r>
      <w:r w:rsidR="00756A9D">
        <w:t xml:space="preserve"> as a “global behemoth”</w:t>
      </w:r>
      <w:r w:rsidR="00B06985">
        <w:t>.</w:t>
      </w:r>
    </w:p>
    <w:p w14:paraId="5624A7F7" w14:textId="172054E3" w:rsidR="00CC0071" w:rsidRDefault="007C3488" w:rsidP="007C3488">
      <w:pPr>
        <w:pStyle w:val="ParaNumbering"/>
        <w:numPr>
          <w:ilvl w:val="0"/>
          <w:numId w:val="0"/>
        </w:numPr>
        <w:ind w:hanging="720"/>
      </w:pPr>
      <w:r>
        <w:rPr>
          <w:sz w:val="20"/>
        </w:rPr>
        <w:t>68</w:t>
      </w:r>
      <w:r>
        <w:rPr>
          <w:sz w:val="20"/>
        </w:rPr>
        <w:tab/>
      </w:r>
      <w:r w:rsidR="004B4B8E">
        <w:t xml:space="preserve">The </w:t>
      </w:r>
      <w:r w:rsidR="00CC0071">
        <w:t xml:space="preserve">relevant </w:t>
      </w:r>
      <w:r w:rsidR="004B4B8E">
        <w:t xml:space="preserve">financial position of the Mazda </w:t>
      </w:r>
      <w:r w:rsidR="00CD699B">
        <w:t xml:space="preserve">Motor </w:t>
      </w:r>
      <w:r w:rsidR="004B4B8E">
        <w:t xml:space="preserve">Corporation was </w:t>
      </w:r>
      <w:r w:rsidR="00A24DE2">
        <w:t xml:space="preserve">also </w:t>
      </w:r>
      <w:r w:rsidR="00CC0071">
        <w:t>in evidenc</w:t>
      </w:r>
      <w:r w:rsidR="000E6250">
        <w:t>e</w:t>
      </w:r>
      <w:r w:rsidR="00955902">
        <w:t xml:space="preserve">.  In summary, </w:t>
      </w:r>
      <w:r w:rsidR="002D5A71">
        <w:t xml:space="preserve">Mazda </w:t>
      </w:r>
      <w:r w:rsidR="00CD699B">
        <w:t>Motor C</w:t>
      </w:r>
      <w:r w:rsidR="002D5A71">
        <w:t>orporation</w:t>
      </w:r>
      <w:r w:rsidR="00CD699B">
        <w:t>’</w:t>
      </w:r>
      <w:r w:rsidR="002D5A71">
        <w:t xml:space="preserve">s net sales in the 2018 to 2022 financial years ranged from approximately </w:t>
      </w:r>
      <w:r w:rsidR="00914B3E">
        <w:t xml:space="preserve">$29 billion to $36 billion.  </w:t>
      </w:r>
      <w:r w:rsidR="00664F1B">
        <w:t xml:space="preserve">Its net income after tax for those financial years was, on average, </w:t>
      </w:r>
      <w:r w:rsidR="006822A3">
        <w:t>around $500 million.</w:t>
      </w:r>
    </w:p>
    <w:p w14:paraId="4EC107A3" w14:textId="4B22F510" w:rsidR="00A9593C" w:rsidRDefault="007C3488" w:rsidP="007C3488">
      <w:pPr>
        <w:pStyle w:val="ParaNumbering"/>
        <w:numPr>
          <w:ilvl w:val="0"/>
          <w:numId w:val="0"/>
        </w:numPr>
        <w:ind w:hanging="720"/>
      </w:pPr>
      <w:r>
        <w:rPr>
          <w:sz w:val="20"/>
        </w:rPr>
        <w:t>69</w:t>
      </w:r>
      <w:r>
        <w:rPr>
          <w:sz w:val="20"/>
        </w:rPr>
        <w:tab/>
      </w:r>
      <w:r w:rsidR="00CC0071">
        <w:t>Although</w:t>
      </w:r>
      <w:r w:rsidR="00D16B34">
        <w:t xml:space="preserve"> Mazda </w:t>
      </w:r>
      <w:r w:rsidR="00E73A3D">
        <w:t xml:space="preserve">Motor </w:t>
      </w:r>
      <w:r w:rsidR="005618C2">
        <w:t>Corporation</w:t>
      </w:r>
      <w:r w:rsidR="00D16B34">
        <w:t xml:space="preserve"> </w:t>
      </w:r>
      <w:r w:rsidR="00001D19">
        <w:t>wa</w:t>
      </w:r>
      <w:r w:rsidR="00D16B34">
        <w:t xml:space="preserve">s not involved in </w:t>
      </w:r>
      <w:r w:rsidR="002E2F24">
        <w:t>the contraventions</w:t>
      </w:r>
      <w:r w:rsidR="00592A95">
        <w:t xml:space="preserve"> </w:t>
      </w:r>
      <w:r w:rsidR="00EE684A">
        <w:t>(</w:t>
      </w:r>
      <w:r w:rsidR="009238BA">
        <w:t xml:space="preserve">something </w:t>
      </w:r>
      <w:r w:rsidR="009D7615">
        <w:t xml:space="preserve">the </w:t>
      </w:r>
      <w:r w:rsidR="00EE684A">
        <w:t>ACCC accepted)</w:t>
      </w:r>
      <w:r w:rsidR="00CC0071">
        <w:t xml:space="preserve">, as Bromwich J said in </w:t>
      </w:r>
      <w:r w:rsidR="00FB0B55" w:rsidRPr="00416014">
        <w:rPr>
          <w:i/>
          <w:iCs/>
        </w:rPr>
        <w:t xml:space="preserve">Australian Competition and Consumer Commission v </w:t>
      </w:r>
      <w:r w:rsidR="00A9593C" w:rsidRPr="00416014">
        <w:rPr>
          <w:i/>
          <w:iCs/>
        </w:rPr>
        <w:t xml:space="preserve">GlaxoSmithKline </w:t>
      </w:r>
      <w:r w:rsidR="00B8019A" w:rsidRPr="00416014">
        <w:rPr>
          <w:i/>
          <w:iCs/>
        </w:rPr>
        <w:t>Consumer Healthcare Australia Pty Ltd (No 2)</w:t>
      </w:r>
      <w:r w:rsidR="00B8019A" w:rsidRPr="00416014">
        <w:t xml:space="preserve"> [2020] FCA 724</w:t>
      </w:r>
      <w:r w:rsidR="00B8019A">
        <w:t xml:space="preserve"> </w:t>
      </w:r>
      <w:r w:rsidR="00A9593C">
        <w:t>at [50]:</w:t>
      </w:r>
    </w:p>
    <w:p w14:paraId="5E4ED7E6" w14:textId="398C3C4C" w:rsidR="00A9593C" w:rsidRDefault="00541105" w:rsidP="00A9593C">
      <w:pPr>
        <w:pStyle w:val="Quote1"/>
      </w:pPr>
      <w:r>
        <w:t>…</w:t>
      </w:r>
      <w:r w:rsidR="009F3D5C" w:rsidRPr="009F3D5C">
        <w:t>It would be artificial not to at least have some cognisance of the ownership and ultimate control of the respondents. The conduct of the respondents does reflect poorly on their ultimate parent companies, not just GSK PLC. The subsidiaries bear the name of their parents…, and to that extent there is some general deterrence, and even almost specific deterrence, by reason of the adverse impact on their reputation.</w:t>
      </w:r>
    </w:p>
    <w:p w14:paraId="1EDBB2A8" w14:textId="11D8F45B" w:rsidR="000614BF" w:rsidRDefault="007C3488" w:rsidP="007C3488">
      <w:pPr>
        <w:pStyle w:val="ParaNumbering"/>
        <w:numPr>
          <w:ilvl w:val="0"/>
          <w:numId w:val="0"/>
        </w:numPr>
        <w:ind w:hanging="720"/>
      </w:pPr>
      <w:r>
        <w:rPr>
          <w:sz w:val="20"/>
        </w:rPr>
        <w:t>70</w:t>
      </w:r>
      <w:r>
        <w:rPr>
          <w:sz w:val="20"/>
        </w:rPr>
        <w:tab/>
      </w:r>
      <w:r w:rsidR="009F3D5C">
        <w:t>I adopt the same approach here</w:t>
      </w:r>
      <w:r w:rsidR="00925ED4">
        <w:t>.</w:t>
      </w:r>
    </w:p>
    <w:p w14:paraId="62203BF3" w14:textId="421000B6" w:rsidR="009831DE" w:rsidRDefault="00E34447" w:rsidP="0046414B">
      <w:pPr>
        <w:pStyle w:val="Heading3"/>
      </w:pPr>
      <w:r>
        <w:t xml:space="preserve">Involvement </w:t>
      </w:r>
      <w:r w:rsidR="00E6351A">
        <w:t>of senior management</w:t>
      </w:r>
    </w:p>
    <w:p w14:paraId="09566C53" w14:textId="1C4157FB" w:rsidR="000976CC" w:rsidRDefault="007C3488" w:rsidP="007C3488">
      <w:pPr>
        <w:pStyle w:val="ParaNumbering"/>
        <w:numPr>
          <w:ilvl w:val="0"/>
          <w:numId w:val="0"/>
        </w:numPr>
        <w:ind w:hanging="720"/>
      </w:pPr>
      <w:r>
        <w:rPr>
          <w:sz w:val="20"/>
        </w:rPr>
        <w:t>71</w:t>
      </w:r>
      <w:r>
        <w:rPr>
          <w:sz w:val="20"/>
        </w:rPr>
        <w:tab/>
      </w:r>
      <w:r w:rsidR="004443A8">
        <w:t>The</w:t>
      </w:r>
      <w:r w:rsidR="00C1549C">
        <w:t xml:space="preserve"> annexur</w:t>
      </w:r>
      <w:r w:rsidR="008307E4">
        <w:t xml:space="preserve">e to Mazda’s submissions set out </w:t>
      </w:r>
      <w:r w:rsidR="00F453E6">
        <w:t xml:space="preserve">a table </w:t>
      </w:r>
      <w:r w:rsidR="00AC486C">
        <w:t>summaris</w:t>
      </w:r>
      <w:r w:rsidR="006B5113">
        <w:t>ing</w:t>
      </w:r>
      <w:r w:rsidR="00AC486C">
        <w:t xml:space="preserve"> </w:t>
      </w:r>
      <w:r w:rsidR="006B5113">
        <w:t>th</w:t>
      </w:r>
      <w:r w:rsidR="00E71FB2">
        <w:t>e</w:t>
      </w:r>
      <w:r w:rsidR="00F453E6">
        <w:t xml:space="preserve"> employees </w:t>
      </w:r>
      <w:r w:rsidR="00E71FB2">
        <w:t>found to</w:t>
      </w:r>
      <w:r w:rsidR="00197FF9">
        <w:t xml:space="preserve"> have</w:t>
      </w:r>
      <w:r w:rsidR="00E71FB2">
        <w:t xml:space="preserve"> be</w:t>
      </w:r>
      <w:r w:rsidR="00197FF9">
        <w:t>en</w:t>
      </w:r>
      <w:r w:rsidR="00E71FB2">
        <w:t xml:space="preserve"> </w:t>
      </w:r>
      <w:r w:rsidR="00F453E6">
        <w:t>involved in each of the contraventions</w:t>
      </w:r>
      <w:r w:rsidR="006B5113">
        <w:t xml:space="preserve"> in the Liability </w:t>
      </w:r>
      <w:r w:rsidR="009D334E">
        <w:t>Judgment</w:t>
      </w:r>
      <w:r w:rsidR="00F453E6">
        <w:t>.</w:t>
      </w:r>
      <w:r w:rsidR="00C157B7">
        <w:t xml:space="preserve">  </w:t>
      </w:r>
      <w:r w:rsidR="000976CC">
        <w:t>Mazda emphasised in its submissions that</w:t>
      </w:r>
      <w:r w:rsidR="00DB6741">
        <w:t xml:space="preserve"> </w:t>
      </w:r>
      <w:r w:rsidR="000976CC">
        <w:t>a substantial portion of the false representations were made by call centre staff</w:t>
      </w:r>
      <w:r w:rsidR="00A37504">
        <w:t xml:space="preserve"> </w:t>
      </w:r>
      <w:r w:rsidR="004B1C3A">
        <w:t>who</w:t>
      </w:r>
      <w:r w:rsidR="005C3D32">
        <w:t xml:space="preserve"> were</w:t>
      </w:r>
      <w:r w:rsidR="004B1C3A">
        <w:t xml:space="preserve"> not </w:t>
      </w:r>
      <w:r w:rsidR="00A37504">
        <w:t>senior management</w:t>
      </w:r>
      <w:r w:rsidR="00660B6E">
        <w:t xml:space="preserve">.  </w:t>
      </w:r>
      <w:r w:rsidR="00BB631B">
        <w:t>The annexure also demonstrates, however, that numerous senior management employees were involved in 15 of the contraventions</w:t>
      </w:r>
      <w:r w:rsidR="00EE1BFF">
        <w:t xml:space="preserve">, which </w:t>
      </w:r>
      <w:r w:rsidR="00B76E50">
        <w:t xml:space="preserve">the </w:t>
      </w:r>
      <w:r w:rsidR="00CC75EF">
        <w:t xml:space="preserve">ACCC submitted </w:t>
      </w:r>
      <w:r w:rsidR="00995ABC">
        <w:t>wa</w:t>
      </w:r>
      <w:r w:rsidR="00C0206C">
        <w:t>s</w:t>
      </w:r>
      <w:r w:rsidR="00C1107D">
        <w:t xml:space="preserve"> </w:t>
      </w:r>
      <w:r w:rsidR="00F1686D">
        <w:t xml:space="preserve">a </w:t>
      </w:r>
      <w:r w:rsidR="006122EA">
        <w:t xml:space="preserve">clearly </w:t>
      </w:r>
      <w:r w:rsidR="00C0206C">
        <w:t xml:space="preserve">relevant fact </w:t>
      </w:r>
      <w:r w:rsidR="006122EA">
        <w:t>for consideration</w:t>
      </w:r>
      <w:r w:rsidR="00C0206C">
        <w:t xml:space="preserve">. </w:t>
      </w:r>
      <w:r w:rsidR="00BB631B">
        <w:t xml:space="preserve"> Mazda accepted</w:t>
      </w:r>
      <w:r w:rsidR="00944058">
        <w:t>, and I agree,</w:t>
      </w:r>
      <w:r w:rsidR="00BB631B">
        <w:t xml:space="preserve"> that </w:t>
      </w:r>
      <w:r w:rsidR="0020458B">
        <w:t>senior management’s involvement in 15 of the contraventions</w:t>
      </w:r>
      <w:r w:rsidR="00BB631B">
        <w:t xml:space="preserve"> </w:t>
      </w:r>
      <w:r w:rsidR="00EE1BFF">
        <w:t>i</w:t>
      </w:r>
      <w:r w:rsidR="00BB631B">
        <w:t xml:space="preserve">s an </w:t>
      </w:r>
      <w:r w:rsidR="0020458B">
        <w:t>“</w:t>
      </w:r>
      <w:r w:rsidR="00BB631B">
        <w:t>aggravating factor</w:t>
      </w:r>
      <w:r w:rsidR="0020458B">
        <w:t>”</w:t>
      </w:r>
      <w:r w:rsidR="00BB631B">
        <w:t xml:space="preserve"> for penalty</w:t>
      </w:r>
      <w:r w:rsidR="007915C6">
        <w:t xml:space="preserve"> purposes</w:t>
      </w:r>
      <w:r w:rsidR="00944058">
        <w:t xml:space="preserve">.  </w:t>
      </w:r>
    </w:p>
    <w:p w14:paraId="0B76AB7D" w14:textId="77D77BBD" w:rsidR="00C05982" w:rsidRDefault="00713D32" w:rsidP="0046414B">
      <w:pPr>
        <w:pStyle w:val="Heading3"/>
      </w:pPr>
      <w:r w:rsidRPr="00E07CA8">
        <w:t>Corporate culture</w:t>
      </w:r>
      <w:r w:rsidR="006B2285" w:rsidRPr="00E07CA8">
        <w:t xml:space="preserve"> of compliance</w:t>
      </w:r>
      <w:r w:rsidR="00E07CA8" w:rsidRPr="00E07CA8">
        <w:t xml:space="preserve"> and corrective measures</w:t>
      </w:r>
    </w:p>
    <w:p w14:paraId="3BDF81BC" w14:textId="7296BF99" w:rsidR="00BF44B1" w:rsidRDefault="007C3488" w:rsidP="007C3488">
      <w:pPr>
        <w:pStyle w:val="ParaNumbering"/>
        <w:numPr>
          <w:ilvl w:val="0"/>
          <w:numId w:val="0"/>
        </w:numPr>
        <w:ind w:hanging="720"/>
      </w:pPr>
      <w:r>
        <w:rPr>
          <w:sz w:val="20"/>
        </w:rPr>
        <w:t>72</w:t>
      </w:r>
      <w:r>
        <w:rPr>
          <w:sz w:val="20"/>
        </w:rPr>
        <w:tab/>
      </w:r>
      <w:r w:rsidR="001C002F">
        <w:t>The ACCC</w:t>
      </w:r>
      <w:r w:rsidR="00397461">
        <w:t xml:space="preserve"> contended that </w:t>
      </w:r>
      <w:r w:rsidR="00AD429F">
        <w:t>Mazda’s failure</w:t>
      </w:r>
      <w:r w:rsidR="00CD6EAC">
        <w:t xml:space="preserve"> to comply with its own </w:t>
      </w:r>
      <w:r w:rsidR="00B975A6">
        <w:t>ACL compliance documents and policies was a</w:t>
      </w:r>
      <w:r w:rsidR="00C4698D">
        <w:t>n “aggravating factor” in respect of penalty</w:t>
      </w:r>
      <w:r w:rsidR="0004431A">
        <w:t xml:space="preserve">, and </w:t>
      </w:r>
      <w:r w:rsidR="0077739C">
        <w:t xml:space="preserve">that </w:t>
      </w:r>
      <w:r w:rsidR="009F63C4">
        <w:t>th</w:t>
      </w:r>
      <w:r w:rsidR="008B5896">
        <w:t>e existence of those</w:t>
      </w:r>
      <w:r w:rsidR="009F63C4">
        <w:t xml:space="preserve"> documents</w:t>
      </w:r>
      <w:r w:rsidR="008B5896">
        <w:t>, rather than demonstrat</w:t>
      </w:r>
      <w:r w:rsidR="00275E1A">
        <w:t>e</w:t>
      </w:r>
      <w:r w:rsidR="008B5896">
        <w:t xml:space="preserve"> an</w:t>
      </w:r>
      <w:r w:rsidR="00275E1A">
        <w:t>y</w:t>
      </w:r>
      <w:r w:rsidR="008B5896">
        <w:t xml:space="preserve"> culture of compliance at Mazda</w:t>
      </w:r>
      <w:r w:rsidR="00275E1A">
        <w:t xml:space="preserve">, </w:t>
      </w:r>
      <w:r w:rsidR="009F63C4">
        <w:t>highlighted the “inadequacy of the compliance systems in place”.</w:t>
      </w:r>
      <w:r w:rsidR="006E56E0">
        <w:t xml:space="preserve">  </w:t>
      </w:r>
      <w:r w:rsidR="00C4698D">
        <w:t xml:space="preserve">In oral submissions, </w:t>
      </w:r>
      <w:r w:rsidR="00DD7927">
        <w:t xml:space="preserve">counsel for the ACCC clarified </w:t>
      </w:r>
      <w:r w:rsidR="0080584D">
        <w:t xml:space="preserve">that </w:t>
      </w:r>
      <w:r w:rsidR="00F57006">
        <w:t>Mazda’s</w:t>
      </w:r>
      <w:r w:rsidR="00305853">
        <w:t xml:space="preserve"> asserted</w:t>
      </w:r>
      <w:r w:rsidR="00890052">
        <w:t xml:space="preserve"> failure to demonstrate</w:t>
      </w:r>
      <w:r w:rsidR="0080584D">
        <w:t xml:space="preserve"> a culture of compliance was only </w:t>
      </w:r>
      <w:r w:rsidR="00650B01">
        <w:t>pertaining to</w:t>
      </w:r>
      <w:r w:rsidR="0080584D">
        <w:t xml:space="preserve"> </w:t>
      </w:r>
      <w:r w:rsidR="00305853">
        <w:t>Mazda’s</w:t>
      </w:r>
      <w:r w:rsidR="0080584D">
        <w:t xml:space="preserve"> </w:t>
      </w:r>
      <w:r w:rsidR="00697EFB">
        <w:t>dealings</w:t>
      </w:r>
      <w:r w:rsidR="008641E0">
        <w:t xml:space="preserve"> </w:t>
      </w:r>
      <w:r w:rsidR="00697EFB">
        <w:t>with</w:t>
      </w:r>
      <w:r w:rsidR="008641E0">
        <w:t xml:space="preserve"> </w:t>
      </w:r>
      <w:r w:rsidR="00C507D6">
        <w:t>the nine consumers, and that</w:t>
      </w:r>
      <w:r w:rsidR="00074DE8">
        <w:t xml:space="preserve"> </w:t>
      </w:r>
      <w:r w:rsidR="009B62CF">
        <w:t>thi</w:t>
      </w:r>
      <w:r w:rsidR="009F6531">
        <w:t xml:space="preserve">s should </w:t>
      </w:r>
      <w:r w:rsidR="00F57006">
        <w:t xml:space="preserve">simply </w:t>
      </w:r>
      <w:r w:rsidR="009F6531">
        <w:t xml:space="preserve">be </w:t>
      </w:r>
      <w:r w:rsidR="009F6531">
        <w:lastRenderedPageBreak/>
        <w:t>considered as a further relevant circumstance in which the contravening conduct occurred pursuant to s 224(2)(b) of the AC</w:t>
      </w:r>
      <w:r w:rsidR="00C507D6">
        <w:t>L.</w:t>
      </w:r>
      <w:r w:rsidR="00953C57">
        <w:t xml:space="preserve">  </w:t>
      </w:r>
    </w:p>
    <w:p w14:paraId="6E5F3E9F" w14:textId="244B29FE" w:rsidR="00713D32" w:rsidRDefault="007C3488" w:rsidP="007C3488">
      <w:pPr>
        <w:pStyle w:val="ParaNumbering"/>
        <w:numPr>
          <w:ilvl w:val="0"/>
          <w:numId w:val="0"/>
        </w:numPr>
        <w:ind w:hanging="720"/>
      </w:pPr>
      <w:r>
        <w:rPr>
          <w:sz w:val="20"/>
        </w:rPr>
        <w:t>73</w:t>
      </w:r>
      <w:r>
        <w:rPr>
          <w:sz w:val="20"/>
        </w:rPr>
        <w:tab/>
      </w:r>
      <w:r w:rsidR="007324B1">
        <w:t xml:space="preserve">As </w:t>
      </w:r>
      <w:r w:rsidR="006F3378">
        <w:t>noted at [</w:t>
      </w:r>
      <w:r w:rsidR="00023DF7">
        <w:fldChar w:fldCharType="begin"/>
      </w:r>
      <w:r w:rsidR="00023DF7">
        <w:instrText xml:space="preserve"> REF _Ref158021559 \r \h </w:instrText>
      </w:r>
      <w:r w:rsidR="00023DF7">
        <w:fldChar w:fldCharType="separate"/>
      </w:r>
      <w:r w:rsidR="00E73A3D">
        <w:t>60</w:t>
      </w:r>
      <w:r w:rsidR="00023DF7">
        <w:fldChar w:fldCharType="end"/>
      </w:r>
      <w:r w:rsidR="006F3378">
        <w:t>](b)</w:t>
      </w:r>
      <w:r w:rsidR="00DB49A1">
        <w:t xml:space="preserve"> above</w:t>
      </w:r>
      <w:r w:rsidR="006F3378">
        <w:t xml:space="preserve">, </w:t>
      </w:r>
      <w:r w:rsidR="00F9586B">
        <w:t>I</w:t>
      </w:r>
      <w:r w:rsidR="001A159B">
        <w:t xml:space="preserve"> accept</w:t>
      </w:r>
      <w:r w:rsidR="00D76639">
        <w:t xml:space="preserve"> as a relevant </w:t>
      </w:r>
      <w:r w:rsidR="000B50E6">
        <w:t>circumstance</w:t>
      </w:r>
      <w:r w:rsidR="00D76639">
        <w:t xml:space="preserve"> the fact tha</w:t>
      </w:r>
      <w:r w:rsidR="001A7F78">
        <w:t>t, by engaging in the contravening conduct, Mazda</w:t>
      </w:r>
      <w:r w:rsidR="00AA20EC">
        <w:t xml:space="preserve"> </w:t>
      </w:r>
      <w:r w:rsidR="00EA3338">
        <w:t>did not comply with its own ACL compliance policies</w:t>
      </w:r>
      <w:r w:rsidR="001A7F78">
        <w:t xml:space="preserve">.  </w:t>
      </w:r>
      <w:r w:rsidR="001349BD">
        <w:t>It is telling that</w:t>
      </w:r>
      <w:r w:rsidR="001A7F78">
        <w:t xml:space="preserve"> the existenc</w:t>
      </w:r>
      <w:r w:rsidR="00023202">
        <w:t>e</w:t>
      </w:r>
      <w:r w:rsidR="001A7F78">
        <w:t xml:space="preserve"> of the</w:t>
      </w:r>
      <w:r w:rsidR="00970904">
        <w:t>se</w:t>
      </w:r>
      <w:r w:rsidR="001A7F78">
        <w:t xml:space="preserve"> compliance po</w:t>
      </w:r>
      <w:r w:rsidR="00E63FCD">
        <w:t>lic</w:t>
      </w:r>
      <w:r w:rsidR="00970904">
        <w:t>ies</w:t>
      </w:r>
      <w:r w:rsidR="00E63FCD">
        <w:t xml:space="preserve"> did not prevent </w:t>
      </w:r>
      <w:r w:rsidR="009C1385">
        <w:t xml:space="preserve">the </w:t>
      </w:r>
      <w:r w:rsidR="00E63FCD">
        <w:t>contraven</w:t>
      </w:r>
      <w:r w:rsidR="009C1385">
        <w:t>tions</w:t>
      </w:r>
      <w:r w:rsidR="00E63FCD">
        <w:t xml:space="preserve"> from occurring</w:t>
      </w:r>
      <w:r w:rsidR="008113DC">
        <w:t>.</w:t>
      </w:r>
      <w:r w:rsidR="00E604E2">
        <w:t xml:space="preserve">  </w:t>
      </w:r>
    </w:p>
    <w:p w14:paraId="61822227" w14:textId="19C13641" w:rsidR="001B4188" w:rsidRDefault="007C3488" w:rsidP="007C3488">
      <w:pPr>
        <w:pStyle w:val="ParaNumbering"/>
        <w:numPr>
          <w:ilvl w:val="0"/>
          <w:numId w:val="0"/>
        </w:numPr>
        <w:ind w:hanging="720"/>
      </w:pPr>
      <w:r>
        <w:rPr>
          <w:sz w:val="20"/>
        </w:rPr>
        <w:t>74</w:t>
      </w:r>
      <w:r>
        <w:rPr>
          <w:sz w:val="20"/>
        </w:rPr>
        <w:tab/>
      </w:r>
      <w:r w:rsidR="00CE5A32">
        <w:t>The</w:t>
      </w:r>
      <w:r w:rsidR="005C0E9A">
        <w:t xml:space="preserve"> parties</w:t>
      </w:r>
      <w:r w:rsidR="00850980">
        <w:t xml:space="preserve"> agreed</w:t>
      </w:r>
      <w:r w:rsidR="004E7D0B">
        <w:t xml:space="preserve"> </w:t>
      </w:r>
      <w:r w:rsidR="0056187E">
        <w:t xml:space="preserve">that it </w:t>
      </w:r>
      <w:r w:rsidR="00137F92">
        <w:t>i</w:t>
      </w:r>
      <w:r w:rsidR="0056187E">
        <w:t>s relevant to consider the extent to which Mazda</w:t>
      </w:r>
      <w:r w:rsidR="004E7D0B">
        <w:t xml:space="preserve"> has demonstrated a corporate culture </w:t>
      </w:r>
      <w:r w:rsidR="00C94562">
        <w:t>of</w:t>
      </w:r>
      <w:r w:rsidR="004E7D0B">
        <w:t xml:space="preserve"> compliance</w:t>
      </w:r>
      <w:r w:rsidR="00850980">
        <w:t xml:space="preserve"> </w:t>
      </w:r>
      <w:r w:rsidR="00850980">
        <w:rPr>
          <w:i/>
          <w:iCs/>
        </w:rPr>
        <w:t xml:space="preserve">after </w:t>
      </w:r>
      <w:r w:rsidR="00850980">
        <w:t xml:space="preserve">the contravention findings </w:t>
      </w:r>
      <w:r w:rsidR="00EE5CB2">
        <w:t xml:space="preserve">were </w:t>
      </w:r>
      <w:r w:rsidR="00850980">
        <w:t>made</w:t>
      </w:r>
      <w:r w:rsidR="009755FB">
        <w:t xml:space="preserve">.  </w:t>
      </w:r>
      <w:r w:rsidR="00594521">
        <w:t>Mazda submitted that the corrective measures</w:t>
      </w:r>
      <w:r w:rsidR="00890F52">
        <w:t xml:space="preserve"> </w:t>
      </w:r>
      <w:r w:rsidR="00594521">
        <w:t>deposed to by Mr Robins</w:t>
      </w:r>
      <w:r w:rsidR="00496102">
        <w:t xml:space="preserve"> </w:t>
      </w:r>
      <w:r w:rsidR="00ED7988">
        <w:t xml:space="preserve">demonstrate </w:t>
      </w:r>
      <w:r w:rsidR="00C94562">
        <w:t xml:space="preserve">a culture which is </w:t>
      </w:r>
      <w:r w:rsidR="00256693">
        <w:t xml:space="preserve">attentive to and </w:t>
      </w:r>
      <w:r w:rsidR="00512269">
        <w:t>conducive to</w:t>
      </w:r>
      <w:r w:rsidR="00ED0E36">
        <w:t xml:space="preserve"> compliance.  The ACCC accepted that </w:t>
      </w:r>
      <w:r w:rsidR="007112A8">
        <w:t xml:space="preserve">Mazda’s implementation of these corrective measures </w:t>
      </w:r>
      <w:r w:rsidR="00795AE1">
        <w:t>could be a</w:t>
      </w:r>
      <w:r w:rsidR="00496102">
        <w:t xml:space="preserve"> mitigating </w:t>
      </w:r>
      <w:proofErr w:type="gramStart"/>
      <w:r w:rsidR="00496102">
        <w:t xml:space="preserve">factor, </w:t>
      </w:r>
      <w:r w:rsidR="003D7223">
        <w:t>but</w:t>
      </w:r>
      <w:proofErr w:type="gramEnd"/>
      <w:r w:rsidR="003D7223">
        <w:t xml:space="preserve"> </w:t>
      </w:r>
      <w:r w:rsidR="003F710E">
        <w:t xml:space="preserve">submitted that a contravener should not receive </w:t>
      </w:r>
      <w:r w:rsidR="00390A5A">
        <w:t>“much credit on penalty for correcting an inadequate compliance system after the event”</w:t>
      </w:r>
      <w:r w:rsidR="00ED2E0C">
        <w:t>.</w:t>
      </w:r>
    </w:p>
    <w:p w14:paraId="64743C67" w14:textId="02588A60" w:rsidR="00A04325" w:rsidRDefault="007C3488" w:rsidP="007C3488">
      <w:pPr>
        <w:pStyle w:val="ParaNumbering"/>
        <w:numPr>
          <w:ilvl w:val="0"/>
          <w:numId w:val="0"/>
        </w:numPr>
        <w:ind w:hanging="720"/>
      </w:pPr>
      <w:r>
        <w:rPr>
          <w:sz w:val="20"/>
        </w:rPr>
        <w:t>75</w:t>
      </w:r>
      <w:r>
        <w:rPr>
          <w:sz w:val="20"/>
        </w:rPr>
        <w:tab/>
      </w:r>
      <w:r w:rsidR="00E430CE">
        <w:t>I</w:t>
      </w:r>
      <w:r w:rsidR="00E52ABB">
        <w:t>n my view</w:t>
      </w:r>
      <w:r w:rsidR="0030207D">
        <w:t xml:space="preserve"> </w:t>
      </w:r>
      <w:r w:rsidR="00474EDD">
        <w:t>the corrective actions</w:t>
      </w:r>
      <w:r w:rsidR="0033476D">
        <w:t xml:space="preserve"> undertaken</w:t>
      </w:r>
      <w:r w:rsidR="00474EDD">
        <w:t xml:space="preserve"> by Mazda since the contraventions are</w:t>
      </w:r>
      <w:r w:rsidR="006045D5">
        <w:t xml:space="preserve"> </w:t>
      </w:r>
      <w:r w:rsidR="0030207D">
        <w:t>relevant</w:t>
      </w:r>
      <w:r w:rsidR="00E85E6B">
        <w:t xml:space="preserve"> to the </w:t>
      </w:r>
      <w:r w:rsidR="00CD7F75">
        <w:t xml:space="preserve">determination of </w:t>
      </w:r>
      <w:r w:rsidR="0030207D">
        <w:t>the size of the penalties to be imposed</w:t>
      </w:r>
      <w:r w:rsidR="00474EDD">
        <w:t xml:space="preserve">.  </w:t>
      </w:r>
      <w:r w:rsidR="00715EC7">
        <w:t xml:space="preserve">For the most part, </w:t>
      </w:r>
      <w:r w:rsidR="006702DD">
        <w:t>Mazda no longer assumes the dealers’ responsibility under the ACL to provide refunds or replacement to consumers.</w:t>
      </w:r>
      <w:r w:rsidR="009F5FF8">
        <w:t xml:space="preserve">  Consumer</w:t>
      </w:r>
      <w:r w:rsidR="008D572E">
        <w:t xml:space="preserve"> </w:t>
      </w:r>
      <w:r w:rsidR="009110B6">
        <w:t>requests for refund or replacement</w:t>
      </w:r>
      <w:r w:rsidR="008D572E">
        <w:t xml:space="preserve"> are now directed to, and largely handled, by the dealers</w:t>
      </w:r>
      <w:r w:rsidR="009110B6">
        <w:t xml:space="preserve">.  </w:t>
      </w:r>
      <w:r w:rsidR="003856B6">
        <w:t>Mazda’s call centre</w:t>
      </w:r>
      <w:r w:rsidR="00F72A73">
        <w:t xml:space="preserve"> </w:t>
      </w:r>
      <w:proofErr w:type="gramStart"/>
      <w:r w:rsidR="00F72A73">
        <w:t>has no involvement</w:t>
      </w:r>
      <w:proofErr w:type="gramEnd"/>
      <w:r w:rsidR="00F72A73">
        <w:t xml:space="preserve"> in the complaints process.  </w:t>
      </w:r>
      <w:r w:rsidR="009110B6">
        <w:t xml:space="preserve">In circumstances where </w:t>
      </w:r>
      <w:r w:rsidR="003856B6">
        <w:t xml:space="preserve">a </w:t>
      </w:r>
      <w:r w:rsidR="00F05D18">
        <w:t>complaint is referred to</w:t>
      </w:r>
      <w:r w:rsidR="00C06038">
        <w:t xml:space="preserve"> </w:t>
      </w:r>
      <w:r w:rsidR="004C008D">
        <w:t xml:space="preserve">the </w:t>
      </w:r>
      <w:r w:rsidR="00776106">
        <w:t>e</w:t>
      </w:r>
      <w:r w:rsidR="004C008D">
        <w:t xml:space="preserve">xecutive </w:t>
      </w:r>
      <w:r w:rsidR="00776106">
        <w:t>p</w:t>
      </w:r>
      <w:r w:rsidR="004C008D">
        <w:t>anel</w:t>
      </w:r>
      <w:r w:rsidR="00F05D18">
        <w:t xml:space="preserve"> because a consumer refuses to deal with </w:t>
      </w:r>
      <w:r w:rsidR="00A96E25">
        <w:t xml:space="preserve">the </w:t>
      </w:r>
      <w:r w:rsidR="00F05D18">
        <w:t xml:space="preserve">dealer, Mr Robins </w:t>
      </w:r>
      <w:r w:rsidR="004C008D">
        <w:t xml:space="preserve">now actively manages the complaints process to ensure ACL compliance.  </w:t>
      </w:r>
      <w:r w:rsidR="00692E63">
        <w:t>Mr Robins</w:t>
      </w:r>
      <w:r w:rsidR="00C656AE">
        <w:t>’</w:t>
      </w:r>
      <w:r w:rsidR="00F9007A">
        <w:t xml:space="preserve"> </w:t>
      </w:r>
      <w:r w:rsidR="00C656AE">
        <w:t xml:space="preserve">evidence </w:t>
      </w:r>
      <w:r w:rsidR="004B0C57">
        <w:t>wa</w:t>
      </w:r>
      <w:r w:rsidR="00C656AE">
        <w:t>s that since implementation of the new process, no consumer complaint has</w:t>
      </w:r>
      <w:r w:rsidR="004B0C57">
        <w:t xml:space="preserve"> been referred to the </w:t>
      </w:r>
      <w:r w:rsidR="00776106">
        <w:t>e</w:t>
      </w:r>
      <w:r w:rsidR="004B0C57">
        <w:t xml:space="preserve">xecutive </w:t>
      </w:r>
      <w:r w:rsidR="00776106">
        <w:t>p</w:t>
      </w:r>
      <w:r w:rsidR="004B0C57">
        <w:t>anel.</w:t>
      </w:r>
      <w:r w:rsidR="00C656AE">
        <w:t xml:space="preserve"> </w:t>
      </w:r>
      <w:r w:rsidR="00F9007A">
        <w:t xml:space="preserve"> </w:t>
      </w:r>
      <w:r w:rsidR="004C008D">
        <w:t>The result</w:t>
      </w:r>
      <w:r w:rsidR="00816823">
        <w:t xml:space="preserve"> is that, as Mazda submitted, the structural changes </w:t>
      </w:r>
      <w:r w:rsidR="0082263F">
        <w:t>to the complaints process have significantly reduced the risk of future</w:t>
      </w:r>
      <w:r w:rsidR="00121011">
        <w:t xml:space="preserve"> contraventions occurring.</w:t>
      </w:r>
      <w:r w:rsidR="00692E63">
        <w:t xml:space="preserve"> </w:t>
      </w:r>
      <w:r w:rsidR="004222AB">
        <w:t xml:space="preserve"> </w:t>
      </w:r>
      <w:r w:rsidR="004222AB" w:rsidRPr="00F9007A">
        <w:t xml:space="preserve">The need </w:t>
      </w:r>
      <w:r w:rsidR="00E34C55" w:rsidRPr="00F9007A">
        <w:t xml:space="preserve">for the penalty to achieve specific deterrence </w:t>
      </w:r>
      <w:r w:rsidR="0033088B" w:rsidRPr="00F9007A">
        <w:t xml:space="preserve">is therefore considerably </w:t>
      </w:r>
      <w:r w:rsidR="00852DE0" w:rsidRPr="00F9007A">
        <w:t>lessened in this case.</w:t>
      </w:r>
    </w:p>
    <w:p w14:paraId="4CF880EE" w14:textId="4AAD09D9" w:rsidR="00713D32" w:rsidRDefault="00AB719E" w:rsidP="0046414B">
      <w:pPr>
        <w:pStyle w:val="Heading3"/>
      </w:pPr>
      <w:r>
        <w:t xml:space="preserve">Cooperation with </w:t>
      </w:r>
      <w:r w:rsidR="0042099B">
        <w:t>the ACCC</w:t>
      </w:r>
    </w:p>
    <w:p w14:paraId="34B72B99" w14:textId="6F78A4D6" w:rsidR="009837C4" w:rsidRDefault="007C3488" w:rsidP="007C3488">
      <w:pPr>
        <w:pStyle w:val="ParaNumbering"/>
        <w:numPr>
          <w:ilvl w:val="0"/>
          <w:numId w:val="0"/>
        </w:numPr>
        <w:ind w:hanging="720"/>
      </w:pPr>
      <w:r>
        <w:rPr>
          <w:sz w:val="20"/>
        </w:rPr>
        <w:t>76</w:t>
      </w:r>
      <w:r>
        <w:rPr>
          <w:sz w:val="20"/>
        </w:rPr>
        <w:tab/>
      </w:r>
      <w:r w:rsidR="005B7BB7">
        <w:t>The ACCC submitted</w:t>
      </w:r>
      <w:r w:rsidR="008731DE">
        <w:t xml:space="preserve"> that Mazda is not entitled to any mitigation of the penalty in recognition of cooperation with the regulator, as there has </w:t>
      </w:r>
      <w:r w:rsidR="001F7A0D">
        <w:t xml:space="preserve">been no cooperation with the ACCC </w:t>
      </w:r>
      <w:proofErr w:type="gramStart"/>
      <w:r w:rsidR="001F7A0D">
        <w:t>during the course of</w:t>
      </w:r>
      <w:proofErr w:type="gramEnd"/>
      <w:r w:rsidR="001F7A0D">
        <w:t xml:space="preserve"> proceedings. </w:t>
      </w:r>
      <w:r w:rsidR="00296942">
        <w:t xml:space="preserve"> Mazda </w:t>
      </w:r>
      <w:r w:rsidR="00E7211C">
        <w:t>observed that this submission did not ack</w:t>
      </w:r>
      <w:r w:rsidR="00690B3F">
        <w:t>n</w:t>
      </w:r>
      <w:r w:rsidR="00E7211C">
        <w:t>ow</w:t>
      </w:r>
      <w:r w:rsidR="00690B3F">
        <w:t>le</w:t>
      </w:r>
      <w:r w:rsidR="00E7211C">
        <w:t>dge its cooperation in the</w:t>
      </w:r>
      <w:r w:rsidR="00DF769C">
        <w:t xml:space="preserve"> ACCC’s</w:t>
      </w:r>
      <w:r w:rsidR="00E7211C">
        <w:t xml:space="preserve"> investigation </w:t>
      </w:r>
      <w:r w:rsidR="00DF769C">
        <w:t xml:space="preserve">of Mazda prior to issuing proceedings, but ultimately did not </w:t>
      </w:r>
      <w:r w:rsidR="0033625A">
        <w:t xml:space="preserve">contend </w:t>
      </w:r>
      <w:r w:rsidR="004F08D3">
        <w:t xml:space="preserve">– nor could it contend – </w:t>
      </w:r>
      <w:r w:rsidR="0033625A">
        <w:t>that</w:t>
      </w:r>
      <w:r w:rsidR="004F08D3">
        <w:t xml:space="preserve"> </w:t>
      </w:r>
      <w:r w:rsidR="0033625A">
        <w:t>it should receive any penalty discount on this basis</w:t>
      </w:r>
      <w:r w:rsidR="00690B3F">
        <w:t>.</w:t>
      </w:r>
    </w:p>
    <w:p w14:paraId="587BF860" w14:textId="51558096" w:rsidR="0042099B" w:rsidRDefault="008125FF" w:rsidP="0046414B">
      <w:pPr>
        <w:pStyle w:val="Heading3"/>
      </w:pPr>
      <w:r>
        <w:lastRenderedPageBreak/>
        <w:t>Contrition</w:t>
      </w:r>
    </w:p>
    <w:p w14:paraId="12FBD4B7" w14:textId="30F98539" w:rsidR="00AD5877" w:rsidRDefault="007C3488" w:rsidP="007C3488">
      <w:pPr>
        <w:pStyle w:val="ParaNumbering"/>
        <w:numPr>
          <w:ilvl w:val="0"/>
          <w:numId w:val="0"/>
        </w:numPr>
        <w:ind w:hanging="720"/>
      </w:pPr>
      <w:r>
        <w:rPr>
          <w:sz w:val="20"/>
        </w:rPr>
        <w:t>77</w:t>
      </w:r>
      <w:r>
        <w:rPr>
          <w:sz w:val="20"/>
        </w:rPr>
        <w:tab/>
      </w:r>
      <w:r w:rsidR="00312155">
        <w:t xml:space="preserve">As </w:t>
      </w:r>
      <w:proofErr w:type="spellStart"/>
      <w:r w:rsidR="00312155">
        <w:t>Wigney</w:t>
      </w:r>
      <w:proofErr w:type="spellEnd"/>
      <w:r w:rsidR="00312155">
        <w:t>, Bea</w:t>
      </w:r>
      <w:r w:rsidR="00AA3E21">
        <w:t>ch</w:t>
      </w:r>
      <w:r w:rsidR="00312155">
        <w:t xml:space="preserve"> and O’Bryan JJ </w:t>
      </w:r>
      <w:r w:rsidR="0033230F">
        <w:t xml:space="preserve">explained </w:t>
      </w:r>
      <w:r w:rsidR="00312155">
        <w:t>i</w:t>
      </w:r>
      <w:r w:rsidR="00A1551E">
        <w:t xml:space="preserve">n </w:t>
      </w:r>
      <w:r w:rsidR="00A1551E" w:rsidRPr="00416014">
        <w:rPr>
          <w:i/>
          <w:iCs/>
        </w:rPr>
        <w:t xml:space="preserve">Volkswagen </w:t>
      </w:r>
      <w:proofErr w:type="spellStart"/>
      <w:r w:rsidR="00A1551E" w:rsidRPr="00416014">
        <w:rPr>
          <w:i/>
          <w:iCs/>
        </w:rPr>
        <w:t>Aktiengesellschaft</w:t>
      </w:r>
      <w:proofErr w:type="spellEnd"/>
      <w:r w:rsidR="00A1551E" w:rsidRPr="00416014">
        <w:rPr>
          <w:i/>
          <w:iCs/>
        </w:rPr>
        <w:t xml:space="preserve"> v A</w:t>
      </w:r>
      <w:r w:rsidR="00C777B2" w:rsidRPr="00416014">
        <w:rPr>
          <w:i/>
          <w:iCs/>
        </w:rPr>
        <w:t xml:space="preserve">ustralian </w:t>
      </w:r>
      <w:r w:rsidR="00A1551E" w:rsidRPr="00416014">
        <w:rPr>
          <w:i/>
          <w:iCs/>
        </w:rPr>
        <w:t>C</w:t>
      </w:r>
      <w:r w:rsidR="00C777B2" w:rsidRPr="00416014">
        <w:rPr>
          <w:i/>
          <w:iCs/>
        </w:rPr>
        <w:t xml:space="preserve">ompetition and </w:t>
      </w:r>
      <w:r w:rsidR="00A1551E" w:rsidRPr="00416014">
        <w:rPr>
          <w:i/>
          <w:iCs/>
        </w:rPr>
        <w:t>C</w:t>
      </w:r>
      <w:r w:rsidR="00C777B2" w:rsidRPr="00416014">
        <w:rPr>
          <w:i/>
          <w:iCs/>
        </w:rPr>
        <w:t xml:space="preserve">onsumer </w:t>
      </w:r>
      <w:r w:rsidR="00A1551E" w:rsidRPr="00416014">
        <w:rPr>
          <w:i/>
          <w:iCs/>
        </w:rPr>
        <w:t>C</w:t>
      </w:r>
      <w:r w:rsidR="00C777B2" w:rsidRPr="00416014">
        <w:rPr>
          <w:i/>
          <w:iCs/>
        </w:rPr>
        <w:t>om</w:t>
      </w:r>
      <w:r w:rsidR="00E95820" w:rsidRPr="00C25353">
        <w:rPr>
          <w:i/>
          <w:iCs/>
        </w:rPr>
        <w:t>m</w:t>
      </w:r>
      <w:r w:rsidR="00C777B2" w:rsidRPr="00C25353">
        <w:rPr>
          <w:i/>
          <w:iCs/>
        </w:rPr>
        <w:t>ission</w:t>
      </w:r>
      <w:r w:rsidR="00A1551E" w:rsidRPr="00416014">
        <w:rPr>
          <w:i/>
          <w:iCs/>
        </w:rPr>
        <w:t xml:space="preserve"> </w:t>
      </w:r>
      <w:r w:rsidR="00A1551E" w:rsidRPr="00416014">
        <w:t>(2021)</w:t>
      </w:r>
      <w:r w:rsidR="00312155" w:rsidRPr="00416014">
        <w:t xml:space="preserve"> </w:t>
      </w:r>
      <w:r w:rsidR="00167E0C" w:rsidRPr="00416014">
        <w:t>2</w:t>
      </w:r>
      <w:r w:rsidR="00312155" w:rsidRPr="00416014">
        <w:t>84 FCR 24</w:t>
      </w:r>
      <w:r w:rsidR="00312155">
        <w:t xml:space="preserve"> at [153]</w:t>
      </w:r>
      <w:r w:rsidR="00AD5877">
        <w:t>:</w:t>
      </w:r>
    </w:p>
    <w:p w14:paraId="36C9A491" w14:textId="33278C2B" w:rsidR="001A7550" w:rsidRDefault="00312155" w:rsidP="0046414B">
      <w:pPr>
        <w:pStyle w:val="Quote1"/>
      </w:pPr>
      <w:r>
        <w:t xml:space="preserve"> </w:t>
      </w:r>
      <w:r w:rsidR="00AD5877">
        <w:t xml:space="preserve">… </w:t>
      </w:r>
      <w:r>
        <w:t>a con</w:t>
      </w:r>
      <w:r w:rsidR="002B14CF">
        <w:t>travener who has displayed no contrition or remorse, and no insight into their contravening conduct, would generally expect a higher penalty than would a contravener who has shown genuine contrition and remorse and good prospects of rehabilitation.</w:t>
      </w:r>
      <w:r w:rsidR="00A20842">
        <w:t xml:space="preserve">  That</w:t>
      </w:r>
      <w:r w:rsidR="00046FBF">
        <w:t xml:space="preserve"> </w:t>
      </w:r>
      <w:r w:rsidR="00A20842">
        <w:t xml:space="preserve">is because the requirement of specific deterrence is generally considered to be greater in the case of a contravener who has shown no contrition or insight into their offending behaviour.  </w:t>
      </w:r>
    </w:p>
    <w:p w14:paraId="0D409D11" w14:textId="09E8545F" w:rsidR="0040233C" w:rsidRDefault="007C3488" w:rsidP="007C3488">
      <w:pPr>
        <w:pStyle w:val="ParaNumbering"/>
        <w:numPr>
          <w:ilvl w:val="0"/>
          <w:numId w:val="0"/>
        </w:numPr>
        <w:ind w:hanging="720"/>
      </w:pPr>
      <w:r>
        <w:rPr>
          <w:sz w:val="20"/>
        </w:rPr>
        <w:t>78</w:t>
      </w:r>
      <w:r>
        <w:rPr>
          <w:sz w:val="20"/>
        </w:rPr>
        <w:tab/>
      </w:r>
      <w:r w:rsidR="007B2C06">
        <w:t xml:space="preserve">In his affidavit of 22 August 2023, Mr Robins </w:t>
      </w:r>
      <w:r w:rsidR="006D7048">
        <w:t>expressed</w:t>
      </w:r>
      <w:r w:rsidR="007B2C06">
        <w:t xml:space="preserve"> that </w:t>
      </w:r>
      <w:r w:rsidR="00F7339D">
        <w:t>“</w:t>
      </w:r>
      <w:r w:rsidR="006D7048">
        <w:t xml:space="preserve">[o]n behalf of </w:t>
      </w:r>
      <w:r w:rsidR="00B65E44">
        <w:t>Mazda Australia, the Executive Team takes responsibility and unreservedly apologises for the contraventions”.</w:t>
      </w:r>
      <w:r w:rsidR="007510FE">
        <w:t xml:space="preserve">  The </w:t>
      </w:r>
      <w:r w:rsidR="0030091B">
        <w:t>ACCC submi</w:t>
      </w:r>
      <w:r w:rsidR="0079364F">
        <w:t>tted</w:t>
      </w:r>
      <w:r w:rsidR="0030091B">
        <w:t xml:space="preserve"> that </w:t>
      </w:r>
      <w:r w:rsidR="0079571D">
        <w:t xml:space="preserve">beyond this </w:t>
      </w:r>
      <w:r w:rsidR="00D81D65">
        <w:t>one sentence, Mazda has not indicated any contrition</w:t>
      </w:r>
      <w:r w:rsidR="0040233C">
        <w:t xml:space="preserve"> or insight</w:t>
      </w:r>
      <w:r w:rsidR="00D81D65">
        <w:t xml:space="preserve"> into its contravening conduct and </w:t>
      </w:r>
      <w:r w:rsidR="000D3BA7">
        <w:t xml:space="preserve">that </w:t>
      </w:r>
      <w:r w:rsidR="00914E05">
        <w:t xml:space="preserve">Mr Robins’ apology should </w:t>
      </w:r>
      <w:r w:rsidR="00EF22FF">
        <w:t xml:space="preserve">accordingly </w:t>
      </w:r>
      <w:r w:rsidR="00914E05">
        <w:t>be afforded no weight</w:t>
      </w:r>
      <w:r w:rsidR="00EF22FF">
        <w:t xml:space="preserve">.  </w:t>
      </w:r>
    </w:p>
    <w:p w14:paraId="694A3510" w14:textId="1703DAA9" w:rsidR="000C27A3" w:rsidRDefault="007C3488" w:rsidP="007C3488">
      <w:pPr>
        <w:pStyle w:val="ParaNumbering"/>
        <w:numPr>
          <w:ilvl w:val="0"/>
          <w:numId w:val="0"/>
        </w:numPr>
        <w:ind w:hanging="720"/>
      </w:pPr>
      <w:r>
        <w:rPr>
          <w:sz w:val="20"/>
        </w:rPr>
        <w:t>79</w:t>
      </w:r>
      <w:r>
        <w:rPr>
          <w:sz w:val="20"/>
        </w:rPr>
        <w:tab/>
      </w:r>
      <w:r w:rsidR="000C27A3">
        <w:t xml:space="preserve">Mazda </w:t>
      </w:r>
      <w:r w:rsidR="00FA6A0C">
        <w:t>rejected the ACCC’s characterisation of Mr Robin’s apology</w:t>
      </w:r>
      <w:r w:rsidR="00FE0C82">
        <w:t xml:space="preserve"> as</w:t>
      </w:r>
      <w:r w:rsidR="001F12FB">
        <w:t xml:space="preserve"> </w:t>
      </w:r>
      <w:r w:rsidR="00FA6A0C">
        <w:t xml:space="preserve">the </w:t>
      </w:r>
      <w:r w:rsidR="00BA13C1">
        <w:t xml:space="preserve">sole </w:t>
      </w:r>
      <w:r w:rsidR="004E239B">
        <w:t xml:space="preserve">indication of </w:t>
      </w:r>
      <w:r w:rsidR="0011115D">
        <w:t>Mazda’s</w:t>
      </w:r>
      <w:r w:rsidR="004E239B">
        <w:t xml:space="preserve"> contrition</w:t>
      </w:r>
      <w:r w:rsidR="00FE0C82">
        <w:t>.  Mazda</w:t>
      </w:r>
      <w:r w:rsidR="004E239B">
        <w:t xml:space="preserve"> </w:t>
      </w:r>
      <w:r w:rsidR="00D24623">
        <w:t>submitted that</w:t>
      </w:r>
      <w:r w:rsidR="002915A7">
        <w:t xml:space="preserve"> </w:t>
      </w:r>
      <w:r w:rsidR="002409CF">
        <w:t xml:space="preserve">the detailed </w:t>
      </w:r>
      <w:r w:rsidR="0042696B">
        <w:t>review</w:t>
      </w:r>
      <w:r w:rsidR="002915A7">
        <w:t xml:space="preserve"> </w:t>
      </w:r>
      <w:r w:rsidR="002409CF">
        <w:t>undertaken by Mr Robins</w:t>
      </w:r>
      <w:r w:rsidR="002915A7">
        <w:t xml:space="preserve"> </w:t>
      </w:r>
      <w:r w:rsidR="0042696B">
        <w:t xml:space="preserve">and </w:t>
      </w:r>
      <w:r w:rsidR="002915A7">
        <w:t xml:space="preserve">the </w:t>
      </w:r>
      <w:r w:rsidR="0042696B">
        <w:t xml:space="preserve">corrective measures </w:t>
      </w:r>
      <w:r w:rsidR="002409CF">
        <w:t>the organisation</w:t>
      </w:r>
      <w:r w:rsidR="0042696B">
        <w:t xml:space="preserve"> </w:t>
      </w:r>
      <w:r w:rsidR="002915A7">
        <w:t xml:space="preserve">has implemented since </w:t>
      </w:r>
      <w:r w:rsidR="006A7137">
        <w:t>the</w:t>
      </w:r>
      <w:r w:rsidR="002915A7">
        <w:t xml:space="preserve"> </w:t>
      </w:r>
      <w:r w:rsidR="002409CF">
        <w:t xml:space="preserve">liability findings </w:t>
      </w:r>
      <w:r w:rsidR="00D24623">
        <w:t xml:space="preserve">demonstrates </w:t>
      </w:r>
      <w:r w:rsidR="002409CF">
        <w:t xml:space="preserve">insight </w:t>
      </w:r>
      <w:r w:rsidR="00732CD8">
        <w:t xml:space="preserve">into its conduct.  </w:t>
      </w:r>
      <w:r w:rsidR="000C0EE2">
        <w:t xml:space="preserve">As evidence of its genuine contrition, remorse and embarrassment, </w:t>
      </w:r>
      <w:r w:rsidR="00732CD8">
        <w:t xml:space="preserve">Mazda also </w:t>
      </w:r>
      <w:r w:rsidR="00D24623">
        <w:t xml:space="preserve">pointed to its willingness to provide redress to the consumers (a matter </w:t>
      </w:r>
      <w:r w:rsidR="007820FA">
        <w:t xml:space="preserve">with </w:t>
      </w:r>
      <w:r w:rsidR="00D24623">
        <w:t xml:space="preserve">which I will deal in further detail below), and </w:t>
      </w:r>
      <w:r w:rsidR="009F3790">
        <w:t xml:space="preserve">the evidence of Mr Robins in his November </w:t>
      </w:r>
      <w:r w:rsidR="00090EE8">
        <w:t xml:space="preserve">2023 </w:t>
      </w:r>
      <w:r w:rsidR="009F3790">
        <w:t>affidavit that</w:t>
      </w:r>
      <w:r w:rsidR="009B5C7F">
        <w:t xml:space="preserve"> my</w:t>
      </w:r>
      <w:r w:rsidR="00180984">
        <w:t xml:space="preserve"> </w:t>
      </w:r>
      <w:r w:rsidR="009B5C7F">
        <w:t>observation</w:t>
      </w:r>
      <w:r w:rsidR="00180984">
        <w:t xml:space="preserve"> that Mazda had provided “appalling customer service” to the nine consumers</w:t>
      </w:r>
      <w:r w:rsidR="00EB1238">
        <w:t>, which has been reported widely,</w:t>
      </w:r>
      <w:r w:rsidR="00180984">
        <w:t xml:space="preserve"> was of </w:t>
      </w:r>
      <w:r w:rsidR="00EB1238">
        <w:t>“significant concern to Mazda” who</w:t>
      </w:r>
      <w:r w:rsidR="009B5C7F">
        <w:t xml:space="preserve"> “is committed to ensuring that this </w:t>
      </w:r>
      <w:r w:rsidR="000C0EE2">
        <w:t>does not happen again”.</w:t>
      </w:r>
    </w:p>
    <w:p w14:paraId="30400CA6" w14:textId="3BC5315F" w:rsidR="00257FA7" w:rsidRDefault="007C3488" w:rsidP="007C3488">
      <w:pPr>
        <w:pStyle w:val="ParaNumbering"/>
        <w:numPr>
          <w:ilvl w:val="0"/>
          <w:numId w:val="0"/>
        </w:numPr>
        <w:ind w:hanging="720"/>
      </w:pPr>
      <w:r>
        <w:rPr>
          <w:sz w:val="20"/>
        </w:rPr>
        <w:t>80</w:t>
      </w:r>
      <w:r>
        <w:rPr>
          <w:sz w:val="20"/>
        </w:rPr>
        <w:tab/>
      </w:r>
      <w:r w:rsidR="006C3A53">
        <w:t>I</w:t>
      </w:r>
      <w:r w:rsidR="00B048DC">
        <w:t>t m</w:t>
      </w:r>
      <w:r w:rsidR="001A2745">
        <w:t>ay</w:t>
      </w:r>
      <w:r w:rsidR="00B048DC">
        <w:t xml:space="preserve"> be accepted that Mr Robins’ </w:t>
      </w:r>
      <w:r w:rsidR="001A2745">
        <w:t xml:space="preserve">brief </w:t>
      </w:r>
      <w:r w:rsidR="005E2D4C">
        <w:t xml:space="preserve">words of </w:t>
      </w:r>
      <w:r w:rsidR="00B048DC">
        <w:t xml:space="preserve">apology in the </w:t>
      </w:r>
      <w:r w:rsidR="001A2745">
        <w:t xml:space="preserve">August affidavit </w:t>
      </w:r>
      <w:r w:rsidR="001B1C8A">
        <w:t>assume</w:t>
      </w:r>
      <w:r w:rsidR="005E2D4C">
        <w:t xml:space="preserve"> little</w:t>
      </w:r>
      <w:r w:rsidR="002362B5">
        <w:t xml:space="preserve"> </w:t>
      </w:r>
      <w:r w:rsidR="001B1C8A">
        <w:t>significance on their own</w:t>
      </w:r>
      <w:r w:rsidR="005E2D4C">
        <w:t xml:space="preserve">.  </w:t>
      </w:r>
      <w:r w:rsidR="006C3A53">
        <w:t>In this case, however</w:t>
      </w:r>
      <w:r w:rsidR="001B1C8A">
        <w:t>,</w:t>
      </w:r>
      <w:r w:rsidR="005E2D4C">
        <w:t xml:space="preserve"> </w:t>
      </w:r>
      <w:r w:rsidR="005907E1">
        <w:t>Mr Robin’s</w:t>
      </w:r>
      <w:r w:rsidR="001B1C8A">
        <w:t xml:space="preserve"> words are supported by </w:t>
      </w:r>
      <w:r w:rsidR="005907E1">
        <w:t>significant remedial action</w:t>
      </w:r>
      <w:r w:rsidR="001570E8">
        <w:t>s.</w:t>
      </w:r>
      <w:r w:rsidR="005907E1">
        <w:t xml:space="preserve"> </w:t>
      </w:r>
      <w:r w:rsidR="002B0D5E">
        <w:t xml:space="preserve"> </w:t>
      </w:r>
      <w:r w:rsidR="003567FD">
        <w:t>It seems to me that</w:t>
      </w:r>
      <w:r w:rsidR="00725796">
        <w:t xml:space="preserve"> </w:t>
      </w:r>
      <w:r w:rsidR="001570E8">
        <w:t>the</w:t>
      </w:r>
      <w:r w:rsidR="00CB422C">
        <w:t xml:space="preserve"> actions taken by Mazda following the </w:t>
      </w:r>
      <w:r w:rsidR="004657ED">
        <w:t>findings of contravention</w:t>
      </w:r>
      <w:r w:rsidR="00CB422C">
        <w:t xml:space="preserve"> demonstrate </w:t>
      </w:r>
      <w:r w:rsidR="002B0D5E">
        <w:t xml:space="preserve">that </w:t>
      </w:r>
      <w:r w:rsidR="00CB422C">
        <w:t>Mazda has</w:t>
      </w:r>
      <w:r w:rsidR="00403B0F">
        <w:t xml:space="preserve"> at least now </w:t>
      </w:r>
      <w:r w:rsidR="00EE3306">
        <w:t>—</w:t>
      </w:r>
      <w:r w:rsidR="00403B0F">
        <w:t xml:space="preserve"> after the trial and an unsuccessful appeal </w:t>
      </w:r>
      <w:r w:rsidR="00EE3306">
        <w:t>—</w:t>
      </w:r>
      <w:r w:rsidR="00403B0F">
        <w:t xml:space="preserve"> </w:t>
      </w:r>
      <w:r w:rsidR="003567FD">
        <w:t>shown</w:t>
      </w:r>
      <w:r w:rsidR="00CB422C">
        <w:t xml:space="preserve"> </w:t>
      </w:r>
      <w:r w:rsidR="002B0D5E">
        <w:t xml:space="preserve">some </w:t>
      </w:r>
      <w:r w:rsidR="00CB422C">
        <w:t xml:space="preserve">insight </w:t>
      </w:r>
      <w:r w:rsidR="003B4D4A">
        <w:t xml:space="preserve">into, and is remorseful about, its conduct.  </w:t>
      </w:r>
    </w:p>
    <w:p w14:paraId="20C5F150" w14:textId="25378637" w:rsidR="008125FF" w:rsidRDefault="00CE7ECB" w:rsidP="0046414B">
      <w:pPr>
        <w:pStyle w:val="Heading3"/>
      </w:pPr>
      <w:r>
        <w:t xml:space="preserve">Other penalties </w:t>
      </w:r>
    </w:p>
    <w:p w14:paraId="73A3BB26" w14:textId="045E96A0" w:rsidR="003A5B2F" w:rsidRDefault="007C3488" w:rsidP="007C3488">
      <w:pPr>
        <w:pStyle w:val="ParaNumbering"/>
        <w:numPr>
          <w:ilvl w:val="0"/>
          <w:numId w:val="0"/>
        </w:numPr>
        <w:ind w:hanging="720"/>
      </w:pPr>
      <w:r>
        <w:rPr>
          <w:sz w:val="20"/>
        </w:rPr>
        <w:t>81</w:t>
      </w:r>
      <w:r>
        <w:rPr>
          <w:sz w:val="20"/>
        </w:rPr>
        <w:tab/>
      </w:r>
      <w:r w:rsidR="00B43296">
        <w:t xml:space="preserve">Mazda submitted there was utility </w:t>
      </w:r>
      <w:r w:rsidR="00EB7F98">
        <w:t xml:space="preserve">in comparing the penalty </w:t>
      </w:r>
      <w:r w:rsidR="001839EB">
        <w:t xml:space="preserve">imposed </w:t>
      </w:r>
      <w:r w:rsidR="00EB7F98">
        <w:t xml:space="preserve">in </w:t>
      </w:r>
      <w:r w:rsidR="00EB7F98" w:rsidRPr="00416014">
        <w:rPr>
          <w:i/>
          <w:iCs/>
        </w:rPr>
        <w:t>A</w:t>
      </w:r>
      <w:r w:rsidR="00DF4554" w:rsidRPr="00416014">
        <w:rPr>
          <w:i/>
          <w:iCs/>
        </w:rPr>
        <w:t xml:space="preserve">ustralian </w:t>
      </w:r>
      <w:r w:rsidR="00EB7F98" w:rsidRPr="00416014">
        <w:rPr>
          <w:i/>
          <w:iCs/>
        </w:rPr>
        <w:t>C</w:t>
      </w:r>
      <w:r w:rsidR="00DF4554" w:rsidRPr="00416014">
        <w:rPr>
          <w:i/>
          <w:iCs/>
        </w:rPr>
        <w:t xml:space="preserve">ompetition and </w:t>
      </w:r>
      <w:r w:rsidR="00EB7F98" w:rsidRPr="00416014">
        <w:rPr>
          <w:i/>
          <w:iCs/>
        </w:rPr>
        <w:t>C</w:t>
      </w:r>
      <w:r w:rsidR="00DF4554" w:rsidRPr="00416014">
        <w:rPr>
          <w:i/>
          <w:iCs/>
        </w:rPr>
        <w:t xml:space="preserve">onsumer </w:t>
      </w:r>
      <w:r w:rsidR="00EB7F98" w:rsidRPr="00416014">
        <w:rPr>
          <w:i/>
          <w:iCs/>
        </w:rPr>
        <w:t>C</w:t>
      </w:r>
      <w:r w:rsidR="00DF4554" w:rsidRPr="00416014">
        <w:rPr>
          <w:i/>
          <w:iCs/>
        </w:rPr>
        <w:t>ommission</w:t>
      </w:r>
      <w:r w:rsidR="00EB7F98" w:rsidRPr="00416014">
        <w:rPr>
          <w:i/>
          <w:iCs/>
        </w:rPr>
        <w:t xml:space="preserve"> </w:t>
      </w:r>
      <w:r w:rsidR="00B16613" w:rsidRPr="00416014">
        <w:rPr>
          <w:i/>
          <w:iCs/>
        </w:rPr>
        <w:t xml:space="preserve">v </w:t>
      </w:r>
      <w:r w:rsidR="00705FBC" w:rsidRPr="00416014">
        <w:rPr>
          <w:i/>
          <w:iCs/>
        </w:rPr>
        <w:t>Ford Motor Company</w:t>
      </w:r>
      <w:r w:rsidR="0042682A" w:rsidRPr="00416014">
        <w:rPr>
          <w:i/>
          <w:iCs/>
        </w:rPr>
        <w:t xml:space="preserve"> of Australia Ltd</w:t>
      </w:r>
      <w:r w:rsidR="00705FBC" w:rsidRPr="00416014">
        <w:rPr>
          <w:i/>
          <w:iCs/>
        </w:rPr>
        <w:t xml:space="preserve"> </w:t>
      </w:r>
      <w:r w:rsidR="00705FBC" w:rsidRPr="00416014">
        <w:t>[2018] FCA 703</w:t>
      </w:r>
      <w:r w:rsidR="0042682A" w:rsidRPr="00416014">
        <w:t>; (2018) 360 ALR 124</w:t>
      </w:r>
      <w:r w:rsidR="00B31BA6">
        <w:t xml:space="preserve"> (</w:t>
      </w:r>
      <w:r w:rsidR="00B31BA6">
        <w:rPr>
          <w:b/>
          <w:bCs/>
          <w:i/>
          <w:iCs/>
        </w:rPr>
        <w:t>Ford</w:t>
      </w:r>
      <w:r w:rsidR="00B31BA6" w:rsidRPr="00B31BA6">
        <w:t>)</w:t>
      </w:r>
      <w:r w:rsidR="00705FBC">
        <w:t xml:space="preserve">.  </w:t>
      </w:r>
      <w:r w:rsidR="001839EB">
        <w:t xml:space="preserve">In that case, the </w:t>
      </w:r>
      <w:r w:rsidR="001132DB">
        <w:t xml:space="preserve">parties jointly proposed a penalty of $10 million which was </w:t>
      </w:r>
      <w:r w:rsidR="00DA59AF">
        <w:t xml:space="preserve">then </w:t>
      </w:r>
      <w:r w:rsidR="001132DB">
        <w:t xml:space="preserve">approved by Middleton J.  </w:t>
      </w:r>
      <w:r w:rsidR="00D01256">
        <w:t xml:space="preserve">Mazda submitted that </w:t>
      </w:r>
      <w:r w:rsidR="00CC5B22">
        <w:t xml:space="preserve">the contraventions </w:t>
      </w:r>
      <w:r w:rsidR="00DA59AF">
        <w:t xml:space="preserve">found </w:t>
      </w:r>
      <w:r w:rsidR="00CC5B22">
        <w:t xml:space="preserve">against </w:t>
      </w:r>
      <w:r w:rsidR="00CC5B22">
        <w:lastRenderedPageBreak/>
        <w:t xml:space="preserve">Ford were of an </w:t>
      </w:r>
      <w:r w:rsidR="00E614FC">
        <w:t>“</w:t>
      </w:r>
      <w:r w:rsidR="00CC5B22">
        <w:t>objectively more serious nature</w:t>
      </w:r>
      <w:r w:rsidR="00E614FC">
        <w:t>”</w:t>
      </w:r>
      <w:r w:rsidR="00CC5B22">
        <w:t xml:space="preserve"> </w:t>
      </w:r>
      <w:r w:rsidR="009460D2">
        <w:t xml:space="preserve">than </w:t>
      </w:r>
      <w:r w:rsidR="0038036F">
        <w:t>those the subject of this proceeding, and that corporations guilty of “less serious contraventions” should not, ordinarily, receive a penalty greate</w:t>
      </w:r>
      <w:r w:rsidR="00FF32B8">
        <w:t>r</w:t>
      </w:r>
      <w:r w:rsidR="0038036F">
        <w:t xml:space="preserve"> than that imposed on a corporation </w:t>
      </w:r>
      <w:r w:rsidR="00483B1B">
        <w:t xml:space="preserve">of conduct </w:t>
      </w:r>
      <w:r w:rsidR="00F201D6">
        <w:t>that is “more egregious”</w:t>
      </w:r>
      <w:r w:rsidR="009862C0">
        <w:t xml:space="preserve">. </w:t>
      </w:r>
    </w:p>
    <w:p w14:paraId="63585DD7" w14:textId="2B73610A" w:rsidR="00CE7ECB" w:rsidRDefault="007C3488" w:rsidP="007C3488">
      <w:pPr>
        <w:pStyle w:val="ParaNumbering"/>
        <w:numPr>
          <w:ilvl w:val="0"/>
          <w:numId w:val="0"/>
        </w:numPr>
        <w:ind w:hanging="720"/>
      </w:pPr>
      <w:r>
        <w:rPr>
          <w:sz w:val="20"/>
        </w:rPr>
        <w:t>82</w:t>
      </w:r>
      <w:r>
        <w:rPr>
          <w:sz w:val="20"/>
        </w:rPr>
        <w:tab/>
      </w:r>
      <w:r w:rsidR="0084787C" w:rsidRPr="00FF334C">
        <w:t xml:space="preserve">As </w:t>
      </w:r>
      <w:r w:rsidR="004E2D01" w:rsidRPr="00FF334C">
        <w:t xml:space="preserve">the ACCC submitted, </w:t>
      </w:r>
      <w:r w:rsidR="00167CCC" w:rsidRPr="00FF334C">
        <w:t xml:space="preserve">however, </w:t>
      </w:r>
      <w:r w:rsidR="002B4A05">
        <w:t>the cases have</w:t>
      </w:r>
      <w:r w:rsidR="004E2D01" w:rsidRPr="00FF334C">
        <w:t xml:space="preserve"> repeatedly emphasised that</w:t>
      </w:r>
      <w:r w:rsidR="00F43A25" w:rsidRPr="00FF334C">
        <w:t xml:space="preserve">, although similar contraventions should incur similar penalties, the differing circumstances of individual cases means that </w:t>
      </w:r>
      <w:r w:rsidR="006729D6" w:rsidRPr="00FF334C">
        <w:t>a penalty in one case cannot dictate the penalty in a later case</w:t>
      </w:r>
      <w:r w:rsidR="00454DFD">
        <w:t xml:space="preserve">.  </w:t>
      </w:r>
      <w:proofErr w:type="gramStart"/>
      <w:r w:rsidR="00454DFD">
        <w:t>So</w:t>
      </w:r>
      <w:proofErr w:type="gramEnd"/>
      <w:r w:rsidR="00454DFD">
        <w:t xml:space="preserve"> </w:t>
      </w:r>
      <w:r w:rsidR="00A34050">
        <w:t>comparisons with previous penalties are</w:t>
      </w:r>
      <w:r w:rsidR="00167CCC" w:rsidRPr="00FF334C">
        <w:t xml:space="preserve"> rarely useful</w:t>
      </w:r>
      <w:r w:rsidR="00DE34B8">
        <w:t>.  S</w:t>
      </w:r>
      <w:r w:rsidR="00125E92" w:rsidRPr="00FF334C">
        <w:t xml:space="preserve">ee </w:t>
      </w:r>
      <w:r w:rsidR="00406343" w:rsidRPr="00416014">
        <w:rPr>
          <w:i/>
          <w:iCs/>
        </w:rPr>
        <w:t>A</w:t>
      </w:r>
      <w:r w:rsidR="00DE34B8" w:rsidRPr="00416014">
        <w:rPr>
          <w:i/>
          <w:iCs/>
        </w:rPr>
        <w:t xml:space="preserve">ustralian </w:t>
      </w:r>
      <w:r w:rsidR="00406343" w:rsidRPr="00416014">
        <w:rPr>
          <w:i/>
          <w:iCs/>
        </w:rPr>
        <w:t>C</w:t>
      </w:r>
      <w:r w:rsidR="00DE34B8" w:rsidRPr="00416014">
        <w:rPr>
          <w:i/>
          <w:iCs/>
        </w:rPr>
        <w:t xml:space="preserve">ompetition and </w:t>
      </w:r>
      <w:r w:rsidR="00406343" w:rsidRPr="00416014">
        <w:rPr>
          <w:i/>
          <w:iCs/>
        </w:rPr>
        <w:t>C</w:t>
      </w:r>
      <w:r w:rsidR="00DE34B8" w:rsidRPr="00416014">
        <w:rPr>
          <w:i/>
          <w:iCs/>
        </w:rPr>
        <w:t xml:space="preserve">onsumer </w:t>
      </w:r>
      <w:r w:rsidR="00406343" w:rsidRPr="00416014">
        <w:rPr>
          <w:i/>
          <w:iCs/>
        </w:rPr>
        <w:t>C</w:t>
      </w:r>
      <w:r w:rsidR="00DE34B8" w:rsidRPr="00416014">
        <w:rPr>
          <w:i/>
          <w:iCs/>
        </w:rPr>
        <w:t>ommission</w:t>
      </w:r>
      <w:r w:rsidR="00406343" w:rsidRPr="00416014">
        <w:rPr>
          <w:i/>
          <w:iCs/>
        </w:rPr>
        <w:t xml:space="preserve"> v Dodo Services Pty Ltd</w:t>
      </w:r>
      <w:r w:rsidR="00406343" w:rsidRPr="00416014">
        <w:t xml:space="preserve"> [2021] FCA 589</w:t>
      </w:r>
      <w:r w:rsidR="00406343" w:rsidRPr="00FF334C">
        <w:t xml:space="preserve"> at [69]</w:t>
      </w:r>
      <w:r w:rsidR="00C12E7E">
        <w:t>–</w:t>
      </w:r>
      <w:r w:rsidR="00406343" w:rsidRPr="00FF334C">
        <w:t xml:space="preserve">[70]; </w:t>
      </w:r>
      <w:r w:rsidR="00A3623E" w:rsidRPr="00416014">
        <w:rPr>
          <w:i/>
          <w:iCs/>
        </w:rPr>
        <w:t>Singtel Optus Pty Ltd v Australian Competition and Consumer Commission</w:t>
      </w:r>
      <w:r w:rsidR="00A3623E" w:rsidRPr="00416014">
        <w:t xml:space="preserve"> [2012] FCAFC 20; (2012) 287 ALR 249</w:t>
      </w:r>
      <w:r w:rsidR="00CD3A94" w:rsidRPr="00FF334C">
        <w:t xml:space="preserve"> at [60]; </w:t>
      </w:r>
      <w:r w:rsidR="00CD3A94" w:rsidRPr="00416014">
        <w:rPr>
          <w:i/>
          <w:iCs/>
        </w:rPr>
        <w:t>Flight Centre</w:t>
      </w:r>
      <w:r w:rsidR="007122F8" w:rsidRPr="00416014">
        <w:rPr>
          <w:i/>
          <w:iCs/>
        </w:rPr>
        <w:t xml:space="preserve"> </w:t>
      </w:r>
      <w:r w:rsidR="00CD3A94" w:rsidRPr="00416014">
        <w:rPr>
          <w:i/>
          <w:iCs/>
        </w:rPr>
        <w:t>Ltd v Australian Competition and Consumer Commission (No 2)</w:t>
      </w:r>
      <w:r w:rsidR="00CD3A94" w:rsidRPr="00416014">
        <w:t xml:space="preserve"> (2018) 260 FCR 68</w:t>
      </w:r>
      <w:r w:rsidR="00073A06" w:rsidRPr="00416014">
        <w:t>,</w:t>
      </w:r>
      <w:r w:rsidR="00DC43CE" w:rsidRPr="00416014">
        <w:t xml:space="preserve"> 86</w:t>
      </w:r>
      <w:r w:rsidR="00CD3A94" w:rsidRPr="00FF334C">
        <w:t xml:space="preserve"> </w:t>
      </w:r>
      <w:r w:rsidR="009A30CF" w:rsidRPr="00FF334C">
        <w:t xml:space="preserve">at [69]; </w:t>
      </w:r>
      <w:r w:rsidR="00FE352D" w:rsidRPr="00416014">
        <w:rPr>
          <w:i/>
          <w:iCs/>
        </w:rPr>
        <w:t>NW Frozen Foods</w:t>
      </w:r>
      <w:r w:rsidR="00485601" w:rsidRPr="00416014">
        <w:rPr>
          <w:i/>
          <w:iCs/>
        </w:rPr>
        <w:t xml:space="preserve"> </w:t>
      </w:r>
      <w:r w:rsidR="00FE352D" w:rsidRPr="00416014">
        <w:rPr>
          <w:i/>
          <w:iCs/>
        </w:rPr>
        <w:t>Pty Ltd v Australian Competition and Consumer Commission</w:t>
      </w:r>
      <w:r w:rsidR="00FE352D" w:rsidRPr="00416014">
        <w:t xml:space="preserve"> (1996) 71 FCR 285</w:t>
      </w:r>
      <w:r w:rsidR="00FF334C" w:rsidRPr="00416014">
        <w:t xml:space="preserve"> at 295</w:t>
      </w:r>
      <w:r w:rsidR="00CB0947" w:rsidRPr="0046414B">
        <w:t>–</w:t>
      </w:r>
      <w:r w:rsidR="00FF334C" w:rsidRPr="00416014">
        <w:t>6</w:t>
      </w:r>
      <w:r w:rsidR="00FF334C">
        <w:t xml:space="preserve">. </w:t>
      </w:r>
    </w:p>
    <w:p w14:paraId="5559B982" w14:textId="50D8E26D" w:rsidR="0049061D" w:rsidRPr="00FF334C" w:rsidRDefault="007C3488" w:rsidP="007C3488">
      <w:pPr>
        <w:pStyle w:val="ParaNumbering"/>
        <w:numPr>
          <w:ilvl w:val="0"/>
          <w:numId w:val="0"/>
        </w:numPr>
        <w:ind w:hanging="720"/>
      </w:pPr>
      <w:r w:rsidRPr="00FF334C">
        <w:rPr>
          <w:sz w:val="20"/>
        </w:rPr>
        <w:t>83</w:t>
      </w:r>
      <w:r w:rsidRPr="00FF334C">
        <w:rPr>
          <w:sz w:val="20"/>
        </w:rPr>
        <w:tab/>
      </w:r>
      <w:r w:rsidR="00522594">
        <w:t xml:space="preserve">I do not consider that a comparison with </w:t>
      </w:r>
      <w:r w:rsidR="00522594" w:rsidRPr="00672838">
        <w:rPr>
          <w:i/>
        </w:rPr>
        <w:t>Ford</w:t>
      </w:r>
      <w:r w:rsidR="00522594">
        <w:t xml:space="preserve">, which involved different facts, </w:t>
      </w:r>
      <w:proofErr w:type="gramStart"/>
      <w:r w:rsidR="00522594">
        <w:t>circumstances</w:t>
      </w:r>
      <w:proofErr w:type="gramEnd"/>
      <w:r w:rsidR="00522594">
        <w:t xml:space="preserve"> and contraventions, is of any benefit in determining the appropriate penalty to be imposed</w:t>
      </w:r>
      <w:r w:rsidR="00E66F4B">
        <w:t xml:space="preserve"> here</w:t>
      </w:r>
      <w:r w:rsidR="00522594">
        <w:t xml:space="preserve">.  </w:t>
      </w:r>
      <w:r w:rsidR="0049061D">
        <w:t xml:space="preserve">During the hearing, counsel for Mazda accepted that it was not appropriate </w:t>
      </w:r>
      <w:r w:rsidR="00A1580C">
        <w:t xml:space="preserve">for the court </w:t>
      </w:r>
      <w:r w:rsidR="0049061D">
        <w:t>to perform a “parity analysis” between the two cases</w:t>
      </w:r>
      <w:r w:rsidR="00ED3C03">
        <w:t xml:space="preserve">.  </w:t>
      </w:r>
      <w:r w:rsidR="00375A67">
        <w:t>Counsel</w:t>
      </w:r>
      <w:r w:rsidR="00ED3C03">
        <w:t xml:space="preserve"> clarified </w:t>
      </w:r>
      <w:r w:rsidR="00375A67">
        <w:t>that the</w:t>
      </w:r>
      <w:r w:rsidR="00ED3C03">
        <w:t xml:space="preserve"> reference to </w:t>
      </w:r>
      <w:r w:rsidR="00ED3C03" w:rsidRPr="006264F6">
        <w:rPr>
          <w:i/>
          <w:iCs/>
        </w:rPr>
        <w:t xml:space="preserve">Ford </w:t>
      </w:r>
      <w:r w:rsidR="00056A4C">
        <w:t xml:space="preserve">was </w:t>
      </w:r>
      <w:r w:rsidR="00375A67">
        <w:t xml:space="preserve">only </w:t>
      </w:r>
      <w:r w:rsidR="00CE7933">
        <w:t xml:space="preserve">intended to </w:t>
      </w:r>
      <w:r w:rsidR="00E20337">
        <w:t>point out tha</w:t>
      </w:r>
      <w:r w:rsidR="00530CE7">
        <w:t>t</w:t>
      </w:r>
      <w:r w:rsidR="00F71420">
        <w:t xml:space="preserve"> </w:t>
      </w:r>
      <w:r w:rsidR="00A1580C">
        <w:t xml:space="preserve">the court should not be completely ignorant of </w:t>
      </w:r>
      <w:r w:rsidR="00530CE7">
        <w:t xml:space="preserve">the level at which </w:t>
      </w:r>
      <w:r w:rsidR="00E35212">
        <w:t xml:space="preserve">penalties </w:t>
      </w:r>
      <w:r w:rsidR="00530CE7">
        <w:t xml:space="preserve">have been </w:t>
      </w:r>
      <w:r w:rsidR="00E35212">
        <w:t xml:space="preserve">fixed in other </w:t>
      </w:r>
      <w:r w:rsidR="00E60C0D">
        <w:t>decision</w:t>
      </w:r>
      <w:r w:rsidR="00167C32">
        <w:t>s</w:t>
      </w:r>
      <w:r w:rsidR="00B75116">
        <w:t xml:space="preserve">. </w:t>
      </w:r>
      <w:r w:rsidR="00A72D8F">
        <w:t xml:space="preserve"> </w:t>
      </w:r>
      <w:r w:rsidR="00A93238">
        <w:t>However, a</w:t>
      </w:r>
      <w:r w:rsidR="00A72D8F">
        <w:t xml:space="preserve">s counsel for Mazda also accepted, </w:t>
      </w:r>
      <w:r w:rsidR="006C3042">
        <w:t xml:space="preserve">merely </w:t>
      </w:r>
      <w:r w:rsidR="0085042D">
        <w:t xml:space="preserve">having </w:t>
      </w:r>
      <w:r w:rsidR="00A72D8F">
        <w:t xml:space="preserve">regard to </w:t>
      </w:r>
      <w:r w:rsidR="0085042D">
        <w:t xml:space="preserve">penalties imposed in other cases in this way is not “particularly </w:t>
      </w:r>
      <w:r w:rsidR="001747BC">
        <w:t>informative”</w:t>
      </w:r>
      <w:r w:rsidR="006C3042">
        <w:t>.  That is especially the case where</w:t>
      </w:r>
      <w:r w:rsidR="007C7DE3">
        <w:t xml:space="preserve"> there ha</w:t>
      </w:r>
      <w:r w:rsidR="00C070C8">
        <w:t>ve</w:t>
      </w:r>
      <w:r w:rsidR="007C7DE3">
        <w:t xml:space="preserve"> been significant amendments and increases to the maximum penalty under s 224, noting that the penalty </w:t>
      </w:r>
      <w:r w:rsidR="00FB016D">
        <w:t xml:space="preserve">in </w:t>
      </w:r>
      <w:r w:rsidR="00FB016D">
        <w:rPr>
          <w:i/>
          <w:iCs/>
        </w:rPr>
        <w:t xml:space="preserve">Ford </w:t>
      </w:r>
      <w:r w:rsidR="00FB016D">
        <w:t xml:space="preserve">was imposed </w:t>
      </w:r>
      <w:r w:rsidR="00207C7D">
        <w:t xml:space="preserve">in respect of contraventions that occurred prior to 1 September </w:t>
      </w:r>
      <w:r w:rsidR="00B51E1E">
        <w:t>2018.</w:t>
      </w:r>
    </w:p>
    <w:p w14:paraId="4ECC3141" w14:textId="2E223E5C" w:rsidR="0000119A" w:rsidRDefault="006C5A90" w:rsidP="0046414B">
      <w:pPr>
        <w:pStyle w:val="Heading3"/>
      </w:pPr>
      <w:r>
        <w:t>Profit or benefit from contraventions</w:t>
      </w:r>
    </w:p>
    <w:p w14:paraId="6BA676A1" w14:textId="0AFAC15E" w:rsidR="00261A4E" w:rsidRDefault="007C3488" w:rsidP="007C3488">
      <w:pPr>
        <w:pStyle w:val="ParaNumbering"/>
        <w:numPr>
          <w:ilvl w:val="0"/>
          <w:numId w:val="0"/>
        </w:numPr>
        <w:ind w:hanging="720"/>
      </w:pPr>
      <w:r>
        <w:rPr>
          <w:sz w:val="20"/>
        </w:rPr>
        <w:t>84</w:t>
      </w:r>
      <w:r>
        <w:rPr>
          <w:sz w:val="20"/>
        </w:rPr>
        <w:tab/>
      </w:r>
      <w:r w:rsidR="0026739B">
        <w:t xml:space="preserve">I accept </w:t>
      </w:r>
      <w:r w:rsidR="002B3A6D">
        <w:t>Mazda</w:t>
      </w:r>
      <w:r w:rsidR="0026739B">
        <w:t>’s</w:t>
      </w:r>
      <w:r w:rsidR="002B3A6D">
        <w:t xml:space="preserve"> submi</w:t>
      </w:r>
      <w:r w:rsidR="0026739B">
        <w:t>ssion</w:t>
      </w:r>
      <w:r w:rsidR="002B3A6D">
        <w:t xml:space="preserve"> that </w:t>
      </w:r>
      <w:r w:rsidR="00063789">
        <w:t>it is relevant to consider any profit or benefit</w:t>
      </w:r>
      <w:r w:rsidR="005A1E4E">
        <w:t xml:space="preserve"> flowing</w:t>
      </w:r>
      <w:r w:rsidR="00892FFF">
        <w:t xml:space="preserve"> to</w:t>
      </w:r>
      <w:r w:rsidR="00063789">
        <w:t xml:space="preserve"> the </w:t>
      </w:r>
      <w:r w:rsidR="00450084">
        <w:t xml:space="preserve">company </w:t>
      </w:r>
      <w:r w:rsidR="00D50E7B">
        <w:t>because of</w:t>
      </w:r>
      <w:r w:rsidR="00C368E0">
        <w:t xml:space="preserve"> the contraventions</w:t>
      </w:r>
      <w:r w:rsidR="00ED5E88">
        <w:t>, as t</w:t>
      </w:r>
      <w:r w:rsidR="005C1E24">
        <w:t>his inform</w:t>
      </w:r>
      <w:r w:rsidR="00B257D1">
        <w:t>s</w:t>
      </w:r>
      <w:r w:rsidR="005C1E24">
        <w:t xml:space="preserve"> the appropriate penalty</w:t>
      </w:r>
      <w:r w:rsidR="00ED5E88">
        <w:t xml:space="preserve"> amount</w:t>
      </w:r>
      <w:r w:rsidR="005C1E24">
        <w:t xml:space="preserve"> to achieve </w:t>
      </w:r>
      <w:r w:rsidR="00603551">
        <w:t xml:space="preserve">the goal of </w:t>
      </w:r>
      <w:r w:rsidR="005C1E24">
        <w:t>deterrence and</w:t>
      </w:r>
      <w:r w:rsidR="00E41445">
        <w:t xml:space="preserve"> to</w:t>
      </w:r>
      <w:r w:rsidR="005C1E24">
        <w:t xml:space="preserve"> ensure the penalty is not perceived as merely </w:t>
      </w:r>
      <w:r w:rsidR="00AB1F15">
        <w:t xml:space="preserve">a “cost of doing business”. </w:t>
      </w:r>
    </w:p>
    <w:p w14:paraId="071F2B54" w14:textId="6B9D4206" w:rsidR="00817867" w:rsidRDefault="007C3488" w:rsidP="007C3488">
      <w:pPr>
        <w:pStyle w:val="ParaNumbering"/>
        <w:numPr>
          <w:ilvl w:val="0"/>
          <w:numId w:val="0"/>
        </w:numPr>
        <w:ind w:hanging="720"/>
      </w:pPr>
      <w:r>
        <w:rPr>
          <w:sz w:val="20"/>
        </w:rPr>
        <w:t>85</w:t>
      </w:r>
      <w:r>
        <w:rPr>
          <w:sz w:val="20"/>
        </w:rPr>
        <w:tab/>
      </w:r>
      <w:r w:rsidR="004F00A5">
        <w:t>Mazda submitted that the contravening conduct in this case has not resulted in any direct or significant financial reward.</w:t>
      </w:r>
      <w:r w:rsidR="00DC5E4E">
        <w:t xml:space="preserve">  </w:t>
      </w:r>
      <w:r w:rsidR="006C0E27">
        <w:t>Any potential</w:t>
      </w:r>
      <w:r w:rsidR="00207880">
        <w:t xml:space="preserve"> benefit to Mazda was said to be “relatively modest” and</w:t>
      </w:r>
      <w:r w:rsidR="00524BEC">
        <w:t xml:space="preserve"> </w:t>
      </w:r>
      <w:r w:rsidR="00207880">
        <w:t>not exceeding $100,000</w:t>
      </w:r>
      <w:r w:rsidR="00AD465F">
        <w:t xml:space="preserve"> (</w:t>
      </w:r>
      <w:r w:rsidR="00B11E40">
        <w:t>being</w:t>
      </w:r>
      <w:r w:rsidR="006F5AC5">
        <w:t xml:space="preserve"> the total cost of refunds that arguably should have been provided to the consumers</w:t>
      </w:r>
      <w:r w:rsidR="00AD465F">
        <w:t xml:space="preserve"> where the vehicle experienced a major failure)</w:t>
      </w:r>
      <w:r w:rsidR="001B7626">
        <w:t xml:space="preserve">.  </w:t>
      </w:r>
    </w:p>
    <w:p w14:paraId="7BFAE527" w14:textId="015D1939" w:rsidR="006C0E27" w:rsidRDefault="007C3488" w:rsidP="007C3488">
      <w:pPr>
        <w:pStyle w:val="ParaNumbering"/>
        <w:numPr>
          <w:ilvl w:val="0"/>
          <w:numId w:val="0"/>
        </w:numPr>
        <w:ind w:hanging="720"/>
      </w:pPr>
      <w:r>
        <w:rPr>
          <w:sz w:val="20"/>
        </w:rPr>
        <w:lastRenderedPageBreak/>
        <w:t>86</w:t>
      </w:r>
      <w:r>
        <w:rPr>
          <w:sz w:val="20"/>
        </w:rPr>
        <w:tab/>
      </w:r>
      <w:r w:rsidR="00830B37">
        <w:t>The ACCC did not seek to contradic</w:t>
      </w:r>
      <w:r w:rsidR="0046055A">
        <w:t>t that submission, and I accept it</w:t>
      </w:r>
      <w:r w:rsidR="00C163FA">
        <w:t>.  That said, it is a factor that in my view does not assume much significance in a case such as this.</w:t>
      </w:r>
    </w:p>
    <w:p w14:paraId="5BF449A1" w14:textId="6BE4D182" w:rsidR="00884DDD" w:rsidRDefault="00884DDD" w:rsidP="0046414B">
      <w:pPr>
        <w:pStyle w:val="Heading2"/>
      </w:pPr>
      <w:r>
        <w:t xml:space="preserve">Conclusion </w:t>
      </w:r>
      <w:r w:rsidR="00E5205E">
        <w:t>regarding</w:t>
      </w:r>
      <w:r w:rsidR="00B66891">
        <w:t xml:space="preserve"> penalty</w:t>
      </w:r>
      <w:r>
        <w:t xml:space="preserve"> </w:t>
      </w:r>
    </w:p>
    <w:p w14:paraId="1D24508F" w14:textId="5D1B74CF" w:rsidR="00B66891" w:rsidRDefault="007C3488" w:rsidP="007C3488">
      <w:pPr>
        <w:pStyle w:val="ParaNumbering"/>
        <w:numPr>
          <w:ilvl w:val="0"/>
          <w:numId w:val="0"/>
        </w:numPr>
        <w:ind w:hanging="720"/>
      </w:pPr>
      <w:r>
        <w:rPr>
          <w:sz w:val="20"/>
        </w:rPr>
        <w:t>87</w:t>
      </w:r>
      <w:r>
        <w:rPr>
          <w:sz w:val="20"/>
        </w:rPr>
        <w:tab/>
      </w:r>
      <w:r w:rsidR="00C12E7E">
        <w:t>T</w:t>
      </w:r>
      <w:r w:rsidR="00C76523">
        <w:t xml:space="preserve">he ACCC </w:t>
      </w:r>
      <w:r w:rsidR="00F8519C">
        <w:t>contends that the total penalty</w:t>
      </w:r>
      <w:r w:rsidR="00B71D1B">
        <w:t xml:space="preserve"> should be in the order of $23 million.  Mazda </w:t>
      </w:r>
      <w:r w:rsidR="006772AB">
        <w:t>said that a penalty in the order of $3 million was appropriate.</w:t>
      </w:r>
    </w:p>
    <w:p w14:paraId="3643671B" w14:textId="1114916B" w:rsidR="00DA74BB" w:rsidRDefault="007C3488" w:rsidP="007C3488">
      <w:pPr>
        <w:pStyle w:val="ParaNumbering"/>
        <w:numPr>
          <w:ilvl w:val="0"/>
          <w:numId w:val="0"/>
        </w:numPr>
        <w:ind w:hanging="720"/>
      </w:pPr>
      <w:r>
        <w:rPr>
          <w:sz w:val="20"/>
        </w:rPr>
        <w:t>88</w:t>
      </w:r>
      <w:r>
        <w:rPr>
          <w:sz w:val="20"/>
        </w:rPr>
        <w:tab/>
      </w:r>
      <w:r w:rsidR="00DA74BB">
        <w:t>The maximum penalt</w:t>
      </w:r>
      <w:r w:rsidR="00EB4621">
        <w:t xml:space="preserve">ies for each of the contraventions was significantly more. </w:t>
      </w:r>
      <w:r w:rsidR="00E52799">
        <w:t xml:space="preserve"> </w:t>
      </w:r>
      <w:r w:rsidR="00EB4621">
        <w:t>See [</w:t>
      </w:r>
      <w:r w:rsidR="001A0D88">
        <w:fldChar w:fldCharType="begin"/>
      </w:r>
      <w:r w:rsidR="001A0D88">
        <w:instrText xml:space="preserve"> REF _Ref158386460 \r \h </w:instrText>
      </w:r>
      <w:r w:rsidR="001A0D88">
        <w:fldChar w:fldCharType="separate"/>
      </w:r>
      <w:r w:rsidR="00C12E7E">
        <w:t>52</w:t>
      </w:r>
      <w:r w:rsidR="001A0D88">
        <w:fldChar w:fldCharType="end"/>
      </w:r>
      <w:r w:rsidR="00EB4621">
        <w:t>] above.</w:t>
      </w:r>
    </w:p>
    <w:p w14:paraId="385BB090" w14:textId="1CFC2B44" w:rsidR="005F6625" w:rsidRDefault="007C3488" w:rsidP="007C3488">
      <w:pPr>
        <w:pStyle w:val="ParaNumbering"/>
        <w:numPr>
          <w:ilvl w:val="0"/>
          <w:numId w:val="0"/>
        </w:numPr>
        <w:ind w:hanging="720"/>
      </w:pPr>
      <w:r>
        <w:rPr>
          <w:sz w:val="20"/>
        </w:rPr>
        <w:t>89</w:t>
      </w:r>
      <w:r>
        <w:rPr>
          <w:sz w:val="20"/>
        </w:rPr>
        <w:tab/>
      </w:r>
      <w:r w:rsidR="009E0E2F">
        <w:t xml:space="preserve">Senior </w:t>
      </w:r>
      <w:r w:rsidR="001E61E8">
        <w:t>C</w:t>
      </w:r>
      <w:r w:rsidR="009E0E2F">
        <w:t xml:space="preserve">ounsel for Mazda conceded in his </w:t>
      </w:r>
      <w:r w:rsidR="00D46A84">
        <w:t xml:space="preserve">oral address that “[t]he seriousness of the contraventions, frankly, speak for themselves”.  </w:t>
      </w:r>
      <w:r w:rsidR="009B3007">
        <w:t xml:space="preserve">They </w:t>
      </w:r>
      <w:r w:rsidR="002E3EAD" w:rsidRPr="002E3EAD">
        <w:t xml:space="preserve">were </w:t>
      </w:r>
      <w:r w:rsidR="009B3007">
        <w:t xml:space="preserve">indeed </w:t>
      </w:r>
      <w:r w:rsidR="002E3EAD" w:rsidRPr="002E3EAD">
        <w:t>serious</w:t>
      </w:r>
      <w:r w:rsidR="001E6704">
        <w:t xml:space="preserve">, </w:t>
      </w:r>
      <w:r w:rsidR="009942C3">
        <w:t>including because</w:t>
      </w:r>
      <w:r w:rsidR="00E37420">
        <w:t>, as I found</w:t>
      </w:r>
      <w:r w:rsidR="00533D0C">
        <w:t xml:space="preserve"> in the Liability Judgment</w:t>
      </w:r>
      <w:r w:rsidR="005F6625">
        <w:t>, Mazda:</w:t>
      </w:r>
    </w:p>
    <w:p w14:paraId="7967A800" w14:textId="193B8F7B" w:rsidR="005F6625" w:rsidRDefault="007C3488" w:rsidP="007C3488">
      <w:pPr>
        <w:pStyle w:val="ListNo1alt"/>
        <w:numPr>
          <w:ilvl w:val="0"/>
          <w:numId w:val="0"/>
        </w:numPr>
        <w:tabs>
          <w:tab w:val="left" w:pos="720"/>
        </w:tabs>
        <w:ind w:left="720" w:hanging="720"/>
      </w:pPr>
      <w:r>
        <w:t>(a)</w:t>
      </w:r>
      <w:r>
        <w:tab/>
      </w:r>
      <w:r w:rsidR="005F6625">
        <w:t>never made</w:t>
      </w:r>
      <w:r w:rsidR="009942C3">
        <w:t xml:space="preserve"> any genuine attempt to consider and apply the consumer guarantee provisions of the ACL to the circumstances of the individual </w:t>
      </w:r>
      <w:proofErr w:type="gramStart"/>
      <w:r w:rsidR="009942C3">
        <w:t>consumer;</w:t>
      </w:r>
      <w:proofErr w:type="gramEnd"/>
      <w:r w:rsidR="009942C3">
        <w:t xml:space="preserve"> </w:t>
      </w:r>
    </w:p>
    <w:p w14:paraId="31694D63" w14:textId="10F4C523" w:rsidR="005F6625" w:rsidRDefault="007C3488" w:rsidP="007C3488">
      <w:pPr>
        <w:pStyle w:val="ListNo1alt"/>
        <w:numPr>
          <w:ilvl w:val="0"/>
          <w:numId w:val="0"/>
        </w:numPr>
        <w:tabs>
          <w:tab w:val="left" w:pos="720"/>
        </w:tabs>
        <w:ind w:left="720" w:hanging="720"/>
      </w:pPr>
      <w:r>
        <w:t>(b)</w:t>
      </w:r>
      <w:r>
        <w:tab/>
      </w:r>
      <w:r w:rsidR="009942C3">
        <w:t xml:space="preserve">did not comply with its own internal ACL compliance standards and </w:t>
      </w:r>
      <w:proofErr w:type="gramStart"/>
      <w:r w:rsidR="009942C3">
        <w:t>processes;</w:t>
      </w:r>
      <w:proofErr w:type="gramEnd"/>
      <w:r w:rsidR="00B64BC1">
        <w:t xml:space="preserve"> </w:t>
      </w:r>
    </w:p>
    <w:p w14:paraId="4D04912F" w14:textId="2AB8DCA1" w:rsidR="000C6384" w:rsidRDefault="007C3488" w:rsidP="007C3488">
      <w:pPr>
        <w:pStyle w:val="ListNo1alt"/>
        <w:numPr>
          <w:ilvl w:val="0"/>
          <w:numId w:val="0"/>
        </w:numPr>
        <w:tabs>
          <w:tab w:val="left" w:pos="720"/>
        </w:tabs>
        <w:ind w:left="720" w:hanging="720"/>
      </w:pPr>
      <w:r>
        <w:t>(c)</w:t>
      </w:r>
      <w:r>
        <w:tab/>
      </w:r>
      <w:r w:rsidR="009942C3">
        <w:t xml:space="preserve">made no sufficient attempt to seek technical advice about the particular issues experienced by the consumers and then to have regard to such advice in applying the statutory </w:t>
      </w:r>
      <w:proofErr w:type="gramStart"/>
      <w:r w:rsidR="009942C3">
        <w:t>guarantee</w:t>
      </w:r>
      <w:proofErr w:type="gramEnd"/>
      <w:r w:rsidR="009942C3">
        <w:t xml:space="preserve"> provisions</w:t>
      </w:r>
      <w:r w:rsidR="00B64BC1">
        <w:t xml:space="preserve">; and </w:t>
      </w:r>
    </w:p>
    <w:p w14:paraId="6E90BC5D" w14:textId="0ED8B588" w:rsidR="000C6384" w:rsidRDefault="007C3488" w:rsidP="007C3488">
      <w:pPr>
        <w:pStyle w:val="ListNo1alt"/>
        <w:numPr>
          <w:ilvl w:val="0"/>
          <w:numId w:val="0"/>
        </w:numPr>
        <w:tabs>
          <w:tab w:val="left" w:pos="720"/>
        </w:tabs>
        <w:ind w:left="720" w:hanging="720"/>
      </w:pPr>
      <w:r>
        <w:t>(d)</w:t>
      </w:r>
      <w:r>
        <w:tab/>
      </w:r>
      <w:r w:rsidR="00533D0C">
        <w:t>i</w:t>
      </w:r>
      <w:r w:rsidR="00533D0C" w:rsidRPr="00533D0C">
        <w:t>nstead</w:t>
      </w:r>
      <w:r w:rsidR="00533D0C">
        <w:t xml:space="preserve"> </w:t>
      </w:r>
      <w:r w:rsidR="00533D0C" w:rsidRPr="00533D0C">
        <w:t>decided that in most instances, its interests were best served by engaging in commercial negotiations which had no regard to the parameters or requirements of the consumer guarantee provisions</w:t>
      </w:r>
      <w:r w:rsidR="009942C3">
        <w:t>.</w:t>
      </w:r>
      <w:r w:rsidR="00115047">
        <w:t xml:space="preserve">  </w:t>
      </w:r>
    </w:p>
    <w:p w14:paraId="29E6BAAB" w14:textId="4A0A7935" w:rsidR="005C797A" w:rsidRDefault="007C3488" w:rsidP="007C3488">
      <w:pPr>
        <w:pStyle w:val="ParaNumbering"/>
        <w:numPr>
          <w:ilvl w:val="0"/>
          <w:numId w:val="0"/>
        </w:numPr>
        <w:ind w:hanging="720"/>
      </w:pPr>
      <w:r>
        <w:rPr>
          <w:sz w:val="20"/>
        </w:rPr>
        <w:t>90</w:t>
      </w:r>
      <w:r>
        <w:rPr>
          <w:sz w:val="20"/>
        </w:rPr>
        <w:tab/>
      </w:r>
      <w:r w:rsidR="00403B0F">
        <w:t>As c</w:t>
      </w:r>
      <w:r w:rsidR="005C797A">
        <w:t>ounsel for the ACCC submitted, “</w:t>
      </w:r>
      <w:r w:rsidR="00956B44">
        <w:t>[</w:t>
      </w:r>
      <w:proofErr w:type="spellStart"/>
      <w:r w:rsidR="00956B44">
        <w:t>i</w:t>
      </w:r>
      <w:proofErr w:type="spellEnd"/>
      <w:r w:rsidR="00956B44">
        <w:t>]</w:t>
      </w:r>
      <w:r w:rsidR="00956B44" w:rsidRPr="00956B44">
        <w:t>t is notable that the contraventions occurred in circumstances where members of the Mazda team had an imperfect understanding of the operation of the ACL (to say the least) and any compliance system in place did not prevent the contravention that occurred</w:t>
      </w:r>
      <w:r w:rsidR="00831201">
        <w:t xml:space="preserve">”. </w:t>
      </w:r>
      <w:r w:rsidR="006E36BA">
        <w:t xml:space="preserve"> To describe </w:t>
      </w:r>
      <w:r w:rsidR="00953B36">
        <w:t xml:space="preserve">the understanding of “the Mazda Team” as </w:t>
      </w:r>
      <w:r w:rsidR="000B196D">
        <w:t>being “imperfect” is indeed a considerable understatement</w:t>
      </w:r>
      <w:r w:rsidR="008E6056">
        <w:t>.</w:t>
      </w:r>
    </w:p>
    <w:p w14:paraId="203B5DB0" w14:textId="11AD8D17" w:rsidR="001E6704" w:rsidRDefault="007C3488" w:rsidP="007C3488">
      <w:pPr>
        <w:pStyle w:val="ParaNumbering"/>
        <w:numPr>
          <w:ilvl w:val="0"/>
          <w:numId w:val="0"/>
        </w:numPr>
        <w:ind w:hanging="720"/>
      </w:pPr>
      <w:r>
        <w:rPr>
          <w:sz w:val="20"/>
        </w:rPr>
        <w:t>91</w:t>
      </w:r>
      <w:r>
        <w:rPr>
          <w:sz w:val="20"/>
        </w:rPr>
        <w:tab/>
      </w:r>
      <w:r w:rsidR="00115047">
        <w:t xml:space="preserve">The contraventions were also serious because of the </w:t>
      </w:r>
      <w:r w:rsidR="00115047" w:rsidRPr="00115047">
        <w:t xml:space="preserve">distress, </w:t>
      </w:r>
      <w:r w:rsidR="008F29A2">
        <w:t xml:space="preserve">disruption, </w:t>
      </w:r>
      <w:proofErr w:type="gramStart"/>
      <w:r w:rsidR="00115047" w:rsidRPr="00115047">
        <w:t>frustration</w:t>
      </w:r>
      <w:proofErr w:type="gramEnd"/>
      <w:r w:rsidR="00115047" w:rsidRPr="00115047">
        <w:t xml:space="preserve"> and inconvenience</w:t>
      </w:r>
      <w:r w:rsidR="00115047">
        <w:t xml:space="preserve"> caused to the consumers.</w:t>
      </w:r>
    </w:p>
    <w:p w14:paraId="47098E86" w14:textId="0C6ECCA5" w:rsidR="00C420B5" w:rsidRDefault="007C3488" w:rsidP="007C3488">
      <w:pPr>
        <w:pStyle w:val="ParaNumbering"/>
        <w:numPr>
          <w:ilvl w:val="0"/>
          <w:numId w:val="0"/>
        </w:numPr>
        <w:ind w:hanging="720"/>
      </w:pPr>
      <w:r>
        <w:rPr>
          <w:sz w:val="20"/>
        </w:rPr>
        <w:t>92</w:t>
      </w:r>
      <w:r>
        <w:rPr>
          <w:sz w:val="20"/>
        </w:rPr>
        <w:tab/>
      </w:r>
      <w:r w:rsidR="00C255FF">
        <w:t>Mazda</w:t>
      </w:r>
      <w:r w:rsidR="002E3EAD" w:rsidRPr="002E3EAD">
        <w:t xml:space="preserve"> is a large </w:t>
      </w:r>
      <w:r w:rsidR="00C255FF">
        <w:t xml:space="preserve">and profitable </w:t>
      </w:r>
      <w:r w:rsidR="002E3EAD" w:rsidRPr="002E3EAD">
        <w:t>company</w:t>
      </w:r>
      <w:r w:rsidR="00DA0EB4">
        <w:t xml:space="preserve">, and although specific deterrence is not </w:t>
      </w:r>
      <w:r w:rsidR="008D54BB">
        <w:t>significant</w:t>
      </w:r>
      <w:r w:rsidR="00DA0EB4">
        <w:t xml:space="preserve"> here because of the changes to the</w:t>
      </w:r>
      <w:r w:rsidR="008D54BB">
        <w:t xml:space="preserve"> complaint handling process that have been made, </w:t>
      </w:r>
      <w:r w:rsidR="002E3EAD" w:rsidRPr="002E3EAD">
        <w:t xml:space="preserve">a large penalty is </w:t>
      </w:r>
      <w:r w:rsidR="008D54BB">
        <w:t>still</w:t>
      </w:r>
      <w:r w:rsidR="002E3EAD" w:rsidRPr="002E3EAD">
        <w:t xml:space="preserve"> required to achieve general deterrence.  </w:t>
      </w:r>
    </w:p>
    <w:p w14:paraId="1E7988D9" w14:textId="22680AB0" w:rsidR="002E3EAD" w:rsidRDefault="007C3488" w:rsidP="007C3488">
      <w:pPr>
        <w:pStyle w:val="ParaNumbering"/>
        <w:numPr>
          <w:ilvl w:val="0"/>
          <w:numId w:val="0"/>
        </w:numPr>
        <w:ind w:hanging="720"/>
      </w:pPr>
      <w:r>
        <w:rPr>
          <w:sz w:val="20"/>
        </w:rPr>
        <w:lastRenderedPageBreak/>
        <w:t>93</w:t>
      </w:r>
      <w:r>
        <w:rPr>
          <w:sz w:val="20"/>
        </w:rPr>
        <w:tab/>
      </w:r>
      <w:r w:rsidR="008D54BB">
        <w:t>Mazda did not</w:t>
      </w:r>
      <w:r w:rsidR="002E3EAD" w:rsidRPr="002E3EAD">
        <w:t xml:space="preserve"> coope</w:t>
      </w:r>
      <w:r w:rsidR="008D54BB">
        <w:t xml:space="preserve">rate </w:t>
      </w:r>
      <w:r w:rsidR="002E3EAD" w:rsidRPr="002E3EAD">
        <w:t xml:space="preserve">with the ACCC </w:t>
      </w:r>
      <w:r w:rsidR="008D54BB">
        <w:t xml:space="preserve">after the instigation of the proceeding, so </w:t>
      </w:r>
      <w:r w:rsidR="00C705B6">
        <w:t>that there is to be no reduction on that score.</w:t>
      </w:r>
      <w:r w:rsidR="002E3EAD" w:rsidRPr="002E3EAD">
        <w:t xml:space="preserve"> </w:t>
      </w:r>
      <w:r w:rsidR="000D1BBE">
        <w:t xml:space="preserve"> But as I have explained, Mazda has shown insight </w:t>
      </w:r>
      <w:r w:rsidR="00BC68AC">
        <w:t xml:space="preserve">by implementing the new regime; </w:t>
      </w:r>
      <w:r w:rsidR="004A56A8">
        <w:t xml:space="preserve">and </w:t>
      </w:r>
      <w:r w:rsidR="00BC68AC">
        <w:t>it has not engaged in any previous similar conduct</w:t>
      </w:r>
      <w:r w:rsidR="004A56A8">
        <w:t>.  Both of those considerations weigh in its favour.</w:t>
      </w:r>
    </w:p>
    <w:p w14:paraId="6D673CD8" w14:textId="46ED8DDC" w:rsidR="00B3330C" w:rsidRDefault="007C3488" w:rsidP="007C3488">
      <w:pPr>
        <w:pStyle w:val="ParaNumbering"/>
        <w:numPr>
          <w:ilvl w:val="0"/>
          <w:numId w:val="0"/>
        </w:numPr>
        <w:ind w:hanging="720"/>
      </w:pPr>
      <w:r>
        <w:rPr>
          <w:sz w:val="20"/>
        </w:rPr>
        <w:t>94</w:t>
      </w:r>
      <w:r>
        <w:rPr>
          <w:sz w:val="20"/>
        </w:rPr>
        <w:tab/>
      </w:r>
      <w:r w:rsidR="00B3330C" w:rsidRPr="00B3330C">
        <w:t>In all the circumstances, subject to consideration of the totality principle, I consider the following penalties to be appropriate</w:t>
      </w:r>
      <w:r w:rsidR="00F95BB4">
        <w:t xml:space="preserve"> (</w:t>
      </w:r>
      <w:proofErr w:type="gramStart"/>
      <w:r w:rsidR="00F95BB4">
        <w:t>noting also</w:t>
      </w:r>
      <w:proofErr w:type="gramEnd"/>
      <w:r w:rsidR="00F95BB4">
        <w:t xml:space="preserve"> the </w:t>
      </w:r>
      <w:r w:rsidR="004351A4">
        <w:t xml:space="preserve">increase to the maximum penalties applicable in the cases marked with an </w:t>
      </w:r>
      <w:r w:rsidR="00782EA4">
        <w:t>asterisk)</w:t>
      </w:r>
      <w:r w:rsidR="00B3330C">
        <w:t>:</w:t>
      </w:r>
    </w:p>
    <w:tbl>
      <w:tblPr>
        <w:tblStyle w:val="TableGrid"/>
        <w:tblW w:w="0" w:type="auto"/>
        <w:tblInd w:w="6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48"/>
        <w:gridCol w:w="1948"/>
        <w:gridCol w:w="1948"/>
      </w:tblGrid>
      <w:tr w:rsidR="00B3330C" w14:paraId="4557E336" w14:textId="77777777" w:rsidTr="00F42AEE">
        <w:tc>
          <w:tcPr>
            <w:tcW w:w="1948" w:type="dxa"/>
            <w:shd w:val="clear" w:color="auto" w:fill="D9D9D9" w:themeFill="background1" w:themeFillShade="D9"/>
          </w:tcPr>
          <w:p w14:paraId="71B2A678" w14:textId="77777777" w:rsidR="00B3330C" w:rsidRPr="0032610F" w:rsidRDefault="00B3330C" w:rsidP="002071E7">
            <w:pPr>
              <w:pStyle w:val="Small-TableswithinQuotes"/>
              <w:widowControl/>
              <w:rPr>
                <w:b/>
                <w:bCs/>
              </w:rPr>
            </w:pPr>
            <w:r>
              <w:rPr>
                <w:b/>
                <w:bCs/>
              </w:rPr>
              <w:t>Consumer</w:t>
            </w:r>
          </w:p>
        </w:tc>
        <w:tc>
          <w:tcPr>
            <w:tcW w:w="1948" w:type="dxa"/>
            <w:shd w:val="clear" w:color="auto" w:fill="D9D9D9" w:themeFill="background1" w:themeFillShade="D9"/>
          </w:tcPr>
          <w:p w14:paraId="6DA92B13" w14:textId="77777777" w:rsidR="00B3330C" w:rsidRPr="0032610F" w:rsidRDefault="00B3330C" w:rsidP="002071E7">
            <w:pPr>
              <w:pStyle w:val="Small-TableswithinQuotes"/>
              <w:widowControl/>
              <w:rPr>
                <w:b/>
                <w:bCs/>
              </w:rPr>
            </w:pPr>
            <w:r>
              <w:rPr>
                <w:b/>
                <w:bCs/>
              </w:rPr>
              <w:t>Number of Contraventions</w:t>
            </w:r>
          </w:p>
        </w:tc>
        <w:tc>
          <w:tcPr>
            <w:tcW w:w="1948" w:type="dxa"/>
            <w:shd w:val="clear" w:color="auto" w:fill="D9D9D9" w:themeFill="background1" w:themeFillShade="D9"/>
          </w:tcPr>
          <w:p w14:paraId="0DE65DE2" w14:textId="3DC97DA6" w:rsidR="00B3330C" w:rsidRPr="0023510F" w:rsidRDefault="00B3330C" w:rsidP="002071E7">
            <w:pPr>
              <w:pStyle w:val="Small-TableswithinQuotes"/>
              <w:widowControl/>
              <w:rPr>
                <w:b/>
                <w:bCs/>
              </w:rPr>
            </w:pPr>
            <w:r>
              <w:rPr>
                <w:b/>
                <w:bCs/>
              </w:rPr>
              <w:t>Penalty</w:t>
            </w:r>
          </w:p>
        </w:tc>
      </w:tr>
      <w:tr w:rsidR="00B3330C" w14:paraId="590EB1B0" w14:textId="77777777" w:rsidTr="00F42AEE">
        <w:tc>
          <w:tcPr>
            <w:tcW w:w="1948" w:type="dxa"/>
          </w:tcPr>
          <w:p w14:paraId="57B46F0C" w14:textId="77777777" w:rsidR="00B3330C" w:rsidRDefault="00B3330C" w:rsidP="002071E7">
            <w:pPr>
              <w:pStyle w:val="Small-TableswithinQuotes"/>
            </w:pPr>
            <w:r>
              <w:t>RC</w:t>
            </w:r>
          </w:p>
        </w:tc>
        <w:tc>
          <w:tcPr>
            <w:tcW w:w="1948" w:type="dxa"/>
          </w:tcPr>
          <w:p w14:paraId="401516CC" w14:textId="77777777" w:rsidR="00B3330C" w:rsidRDefault="00B3330C" w:rsidP="002071E7">
            <w:pPr>
              <w:pStyle w:val="Small-TableswithinQuotes"/>
            </w:pPr>
            <w:r>
              <w:t>12</w:t>
            </w:r>
          </w:p>
        </w:tc>
        <w:tc>
          <w:tcPr>
            <w:tcW w:w="1948" w:type="dxa"/>
          </w:tcPr>
          <w:p w14:paraId="0418581F" w14:textId="584791AB" w:rsidR="00B3330C" w:rsidRDefault="00B3330C" w:rsidP="002071E7">
            <w:pPr>
              <w:pStyle w:val="Small-TableswithinQuotes"/>
            </w:pPr>
            <w:r>
              <w:t>$</w:t>
            </w:r>
            <w:r w:rsidR="00171D07">
              <w:t>2</w:t>
            </w:r>
            <w:r w:rsidR="00585B8A">
              <w:t>,</w:t>
            </w:r>
            <w:r w:rsidR="00171D07">
              <w:t>0</w:t>
            </w:r>
            <w:r w:rsidR="00585B8A">
              <w:t>00,000</w:t>
            </w:r>
          </w:p>
        </w:tc>
      </w:tr>
      <w:tr w:rsidR="00B3330C" w14:paraId="549017B7" w14:textId="77777777" w:rsidTr="00F42AEE">
        <w:tc>
          <w:tcPr>
            <w:tcW w:w="1948" w:type="dxa"/>
          </w:tcPr>
          <w:p w14:paraId="23C39517" w14:textId="77777777" w:rsidR="00B3330C" w:rsidRDefault="00B3330C" w:rsidP="002071E7">
            <w:pPr>
              <w:pStyle w:val="Small-TableswithinQuotes"/>
            </w:pPr>
            <w:r>
              <w:t>MT/CT</w:t>
            </w:r>
          </w:p>
        </w:tc>
        <w:tc>
          <w:tcPr>
            <w:tcW w:w="1948" w:type="dxa"/>
          </w:tcPr>
          <w:p w14:paraId="213B5944" w14:textId="77777777" w:rsidR="00B3330C" w:rsidRDefault="00B3330C" w:rsidP="002071E7">
            <w:pPr>
              <w:pStyle w:val="Small-TableswithinQuotes"/>
            </w:pPr>
            <w:r>
              <w:t>10</w:t>
            </w:r>
          </w:p>
        </w:tc>
        <w:tc>
          <w:tcPr>
            <w:tcW w:w="1948" w:type="dxa"/>
          </w:tcPr>
          <w:p w14:paraId="7CDC4B3C" w14:textId="036AFC87" w:rsidR="00B3330C" w:rsidRDefault="00B3330C" w:rsidP="002071E7">
            <w:pPr>
              <w:pStyle w:val="Small-TableswithinQuotes"/>
            </w:pPr>
            <w:r>
              <w:t>$</w:t>
            </w:r>
            <w:r w:rsidR="00171D07">
              <w:t>1</w:t>
            </w:r>
            <w:r>
              <w:t>,000,000</w:t>
            </w:r>
          </w:p>
        </w:tc>
      </w:tr>
      <w:tr w:rsidR="00B3330C" w14:paraId="74CE1D8D" w14:textId="77777777" w:rsidTr="00F42AEE">
        <w:tc>
          <w:tcPr>
            <w:tcW w:w="1948" w:type="dxa"/>
          </w:tcPr>
          <w:p w14:paraId="36EAAA3D" w14:textId="77777777" w:rsidR="00B3330C" w:rsidRDefault="00B3330C" w:rsidP="002071E7">
            <w:pPr>
              <w:pStyle w:val="Small-TableswithinQuotes"/>
            </w:pPr>
            <w:r>
              <w:t>SB/KB</w:t>
            </w:r>
          </w:p>
        </w:tc>
        <w:tc>
          <w:tcPr>
            <w:tcW w:w="1948" w:type="dxa"/>
          </w:tcPr>
          <w:p w14:paraId="6391A912" w14:textId="77777777" w:rsidR="00B3330C" w:rsidRDefault="00B3330C" w:rsidP="002071E7">
            <w:pPr>
              <w:pStyle w:val="Small-TableswithinQuotes"/>
            </w:pPr>
            <w:r>
              <w:t>8</w:t>
            </w:r>
          </w:p>
        </w:tc>
        <w:tc>
          <w:tcPr>
            <w:tcW w:w="1948" w:type="dxa"/>
          </w:tcPr>
          <w:p w14:paraId="660FF93E" w14:textId="14681B61" w:rsidR="00B3330C" w:rsidRDefault="00B3330C" w:rsidP="002071E7">
            <w:pPr>
              <w:pStyle w:val="Small-TableswithinQuotes"/>
            </w:pPr>
            <w:r>
              <w:t>$</w:t>
            </w:r>
            <w:r w:rsidR="00C451DC">
              <w:t>1</w:t>
            </w:r>
            <w:r>
              <w:t>,</w:t>
            </w:r>
            <w:r w:rsidR="00C451DC">
              <w:t>5</w:t>
            </w:r>
            <w:r>
              <w:t>00,000</w:t>
            </w:r>
          </w:p>
        </w:tc>
      </w:tr>
      <w:tr w:rsidR="00B3330C" w14:paraId="2AF62691" w14:textId="77777777" w:rsidTr="00F42AEE">
        <w:tc>
          <w:tcPr>
            <w:tcW w:w="1948" w:type="dxa"/>
          </w:tcPr>
          <w:p w14:paraId="22509FCA" w14:textId="77777777" w:rsidR="00B3330C" w:rsidRDefault="00B3330C" w:rsidP="002071E7">
            <w:pPr>
              <w:pStyle w:val="Small-TableswithinQuotes"/>
            </w:pPr>
            <w:r>
              <w:t>MG</w:t>
            </w:r>
          </w:p>
        </w:tc>
        <w:tc>
          <w:tcPr>
            <w:tcW w:w="1948" w:type="dxa"/>
          </w:tcPr>
          <w:p w14:paraId="0A0EBBB6" w14:textId="77777777" w:rsidR="00B3330C" w:rsidRDefault="00B3330C" w:rsidP="002071E7">
            <w:pPr>
              <w:pStyle w:val="Small-TableswithinQuotes"/>
            </w:pPr>
            <w:r>
              <w:t>6</w:t>
            </w:r>
          </w:p>
        </w:tc>
        <w:tc>
          <w:tcPr>
            <w:tcW w:w="1948" w:type="dxa"/>
          </w:tcPr>
          <w:p w14:paraId="7243F8DA" w14:textId="0802A1BD" w:rsidR="00B3330C" w:rsidRDefault="00B3330C" w:rsidP="002071E7">
            <w:pPr>
              <w:pStyle w:val="Small-TableswithinQuotes"/>
            </w:pPr>
            <w:r>
              <w:t>$</w:t>
            </w:r>
            <w:r w:rsidR="00C451DC">
              <w:t>1</w:t>
            </w:r>
            <w:r>
              <w:t>,500,000</w:t>
            </w:r>
          </w:p>
        </w:tc>
      </w:tr>
      <w:tr w:rsidR="00B3330C" w14:paraId="3AF90118" w14:textId="77777777" w:rsidTr="00F42AEE">
        <w:tc>
          <w:tcPr>
            <w:tcW w:w="1948" w:type="dxa"/>
          </w:tcPr>
          <w:p w14:paraId="40326271" w14:textId="5AA4E94F" w:rsidR="00B3330C" w:rsidRDefault="00B3330C" w:rsidP="002071E7">
            <w:pPr>
              <w:pStyle w:val="Small-TableswithinQuotes"/>
            </w:pPr>
            <w:r>
              <w:t>TK*</w:t>
            </w:r>
          </w:p>
        </w:tc>
        <w:tc>
          <w:tcPr>
            <w:tcW w:w="1948" w:type="dxa"/>
          </w:tcPr>
          <w:p w14:paraId="67F753C1" w14:textId="77777777" w:rsidR="00B3330C" w:rsidRDefault="00B3330C" w:rsidP="002071E7">
            <w:pPr>
              <w:pStyle w:val="Small-TableswithinQuotes"/>
            </w:pPr>
            <w:r>
              <w:t>5</w:t>
            </w:r>
          </w:p>
        </w:tc>
        <w:tc>
          <w:tcPr>
            <w:tcW w:w="1948" w:type="dxa"/>
          </w:tcPr>
          <w:p w14:paraId="1654F0A0" w14:textId="123821AF" w:rsidR="00B3330C" w:rsidRDefault="00B3330C" w:rsidP="002071E7">
            <w:pPr>
              <w:pStyle w:val="Small-TableswithinQuotes"/>
            </w:pPr>
            <w:r>
              <w:t>$</w:t>
            </w:r>
            <w:r w:rsidR="00E672F1">
              <w:t>3</w:t>
            </w:r>
            <w:r>
              <w:t>,000,000</w:t>
            </w:r>
          </w:p>
        </w:tc>
      </w:tr>
      <w:tr w:rsidR="00B3330C" w14:paraId="500702A7" w14:textId="77777777" w:rsidTr="00F42AEE">
        <w:tc>
          <w:tcPr>
            <w:tcW w:w="1948" w:type="dxa"/>
          </w:tcPr>
          <w:p w14:paraId="7DABD64C" w14:textId="77777777" w:rsidR="00B3330C" w:rsidRDefault="00B3330C" w:rsidP="002071E7">
            <w:pPr>
              <w:pStyle w:val="Small-TableswithinQuotes"/>
            </w:pPr>
            <w:r>
              <w:t>LC</w:t>
            </w:r>
          </w:p>
        </w:tc>
        <w:tc>
          <w:tcPr>
            <w:tcW w:w="1948" w:type="dxa"/>
          </w:tcPr>
          <w:p w14:paraId="444926FB" w14:textId="77777777" w:rsidR="00B3330C" w:rsidRDefault="00B3330C" w:rsidP="002071E7">
            <w:pPr>
              <w:pStyle w:val="Small-TableswithinQuotes"/>
            </w:pPr>
            <w:r>
              <w:t>6</w:t>
            </w:r>
          </w:p>
        </w:tc>
        <w:tc>
          <w:tcPr>
            <w:tcW w:w="1948" w:type="dxa"/>
          </w:tcPr>
          <w:p w14:paraId="45695150" w14:textId="2036BF36" w:rsidR="00B3330C" w:rsidRDefault="00B3330C" w:rsidP="002071E7">
            <w:pPr>
              <w:pStyle w:val="Small-TableswithinQuotes"/>
            </w:pPr>
            <w:r>
              <w:t>$</w:t>
            </w:r>
            <w:r w:rsidR="00E672F1">
              <w:t>1</w:t>
            </w:r>
            <w:r>
              <w:t>,000,000</w:t>
            </w:r>
          </w:p>
        </w:tc>
      </w:tr>
      <w:tr w:rsidR="00B3330C" w14:paraId="1D8B4FA9" w14:textId="77777777" w:rsidTr="00F42AEE">
        <w:tc>
          <w:tcPr>
            <w:tcW w:w="1948" w:type="dxa"/>
          </w:tcPr>
          <w:p w14:paraId="37FDA60C" w14:textId="77777777" w:rsidR="00B3330C" w:rsidRDefault="00B3330C" w:rsidP="002071E7">
            <w:pPr>
              <w:pStyle w:val="Small-TableswithinQuotes"/>
            </w:pPr>
            <w:r>
              <w:t>EG*</w:t>
            </w:r>
          </w:p>
        </w:tc>
        <w:tc>
          <w:tcPr>
            <w:tcW w:w="1948" w:type="dxa"/>
          </w:tcPr>
          <w:p w14:paraId="18D7EAFC" w14:textId="77777777" w:rsidR="00B3330C" w:rsidRDefault="00B3330C" w:rsidP="002071E7">
            <w:pPr>
              <w:pStyle w:val="Small-TableswithinQuotes"/>
            </w:pPr>
            <w:r>
              <w:t>2</w:t>
            </w:r>
          </w:p>
        </w:tc>
        <w:tc>
          <w:tcPr>
            <w:tcW w:w="1948" w:type="dxa"/>
          </w:tcPr>
          <w:p w14:paraId="2E5E8A1C" w14:textId="3AA83F90" w:rsidR="00B3330C" w:rsidRDefault="00B3330C" w:rsidP="002071E7">
            <w:pPr>
              <w:pStyle w:val="Small-TableswithinQuotes"/>
            </w:pPr>
            <w:r>
              <w:t>$</w:t>
            </w:r>
            <w:r w:rsidR="00E672F1">
              <w:t>1</w:t>
            </w:r>
            <w:r>
              <w:t>,</w:t>
            </w:r>
            <w:r w:rsidR="00E672F1">
              <w:t>5</w:t>
            </w:r>
            <w:r>
              <w:t>00,000</w:t>
            </w:r>
          </w:p>
        </w:tc>
      </w:tr>
      <w:tr w:rsidR="009F6B07" w14:paraId="3251EF95" w14:textId="77777777" w:rsidTr="00F42AEE">
        <w:tc>
          <w:tcPr>
            <w:tcW w:w="1948" w:type="dxa"/>
          </w:tcPr>
          <w:p w14:paraId="43F36C2A" w14:textId="596C5167" w:rsidR="009F6B07" w:rsidRPr="0046414B" w:rsidRDefault="00C11DC0" w:rsidP="002071E7">
            <w:pPr>
              <w:pStyle w:val="Small-TableswithinQuotes"/>
              <w:rPr>
                <w:b/>
                <w:bCs/>
              </w:rPr>
            </w:pPr>
            <w:r>
              <w:rPr>
                <w:b/>
                <w:bCs/>
              </w:rPr>
              <w:t>Total</w:t>
            </w:r>
          </w:p>
        </w:tc>
        <w:tc>
          <w:tcPr>
            <w:tcW w:w="1948" w:type="dxa"/>
          </w:tcPr>
          <w:p w14:paraId="6C895003" w14:textId="7BA6D8E0" w:rsidR="009F6B07" w:rsidRPr="0046414B" w:rsidRDefault="00C11DC0" w:rsidP="002071E7">
            <w:pPr>
              <w:pStyle w:val="Small-TableswithinQuotes"/>
              <w:rPr>
                <w:b/>
                <w:bCs/>
              </w:rPr>
            </w:pPr>
            <w:r>
              <w:rPr>
                <w:b/>
                <w:bCs/>
              </w:rPr>
              <w:t>49</w:t>
            </w:r>
          </w:p>
        </w:tc>
        <w:tc>
          <w:tcPr>
            <w:tcW w:w="1948" w:type="dxa"/>
          </w:tcPr>
          <w:p w14:paraId="6ACF6B3D" w14:textId="63806A8D" w:rsidR="009F6B07" w:rsidRPr="0046414B" w:rsidRDefault="00C11DC0" w:rsidP="002071E7">
            <w:pPr>
              <w:pStyle w:val="Small-TableswithinQuotes"/>
              <w:rPr>
                <w:b/>
                <w:bCs/>
              </w:rPr>
            </w:pPr>
            <w:r w:rsidRPr="0046414B">
              <w:rPr>
                <w:b/>
                <w:bCs/>
              </w:rPr>
              <w:t>$11,500,00</w:t>
            </w:r>
            <w:r w:rsidR="00FE19A2">
              <w:rPr>
                <w:b/>
                <w:bCs/>
              </w:rPr>
              <w:t>0</w:t>
            </w:r>
          </w:p>
        </w:tc>
      </w:tr>
    </w:tbl>
    <w:p w14:paraId="1666680E" w14:textId="268B3E9B" w:rsidR="00B3330C" w:rsidRPr="00B66891" w:rsidRDefault="007C3488" w:rsidP="007C3488">
      <w:pPr>
        <w:pStyle w:val="ParaNumbering"/>
        <w:numPr>
          <w:ilvl w:val="0"/>
          <w:numId w:val="0"/>
        </w:numPr>
        <w:ind w:hanging="720"/>
      </w:pPr>
      <w:r w:rsidRPr="00B66891">
        <w:rPr>
          <w:sz w:val="20"/>
        </w:rPr>
        <w:t>95</w:t>
      </w:r>
      <w:r w:rsidRPr="00B66891">
        <w:rPr>
          <w:sz w:val="20"/>
        </w:rPr>
        <w:tab/>
      </w:r>
      <w:r w:rsidR="006A6E8B" w:rsidRPr="006A6E8B">
        <w:t xml:space="preserve">I have considered whether any reduction is required </w:t>
      </w:r>
      <w:proofErr w:type="gramStart"/>
      <w:r w:rsidR="006A6E8B" w:rsidRPr="006A6E8B">
        <w:t>on the basis of</w:t>
      </w:r>
      <w:proofErr w:type="gramEnd"/>
      <w:r w:rsidR="006A6E8B" w:rsidRPr="006A6E8B">
        <w:t xml:space="preserve"> the totality principle</w:t>
      </w:r>
      <w:r w:rsidR="00580758">
        <w:t>.  S</w:t>
      </w:r>
      <w:r w:rsidR="006A6E8B" w:rsidRPr="006A6E8B">
        <w:t>ee</w:t>
      </w:r>
      <w:r w:rsidR="006A6E8B">
        <w:t>, by way of example only,</w:t>
      </w:r>
      <w:r w:rsidR="006A6E8B" w:rsidRPr="006A6E8B">
        <w:t xml:space="preserve"> </w:t>
      </w:r>
      <w:r w:rsidR="006A6E8B" w:rsidRPr="00416014">
        <w:rPr>
          <w:i/>
          <w:iCs/>
        </w:rPr>
        <w:t>Australian Securities and Investments Commission v Wooldridge</w:t>
      </w:r>
      <w:r w:rsidR="006A6E8B" w:rsidRPr="00416014">
        <w:t xml:space="preserve"> [2019] FCAFC 172</w:t>
      </w:r>
      <w:r w:rsidR="006A6E8B" w:rsidRPr="006A6E8B">
        <w:t xml:space="preserve"> at [26].  I do not consider that any reduction is required.  I will therefore impose a total penalty of $</w:t>
      </w:r>
      <w:r w:rsidR="006A6E8B">
        <w:t>11.5</w:t>
      </w:r>
      <w:r w:rsidR="006A6E8B" w:rsidRPr="006A6E8B">
        <w:t xml:space="preserve"> million.</w:t>
      </w:r>
    </w:p>
    <w:p w14:paraId="355F8695" w14:textId="221A296E" w:rsidR="00B66891" w:rsidRDefault="007C3488" w:rsidP="00042838">
      <w:pPr>
        <w:pStyle w:val="Heading1"/>
      </w:pPr>
      <w:r>
        <w:rPr>
          <w:caps w:val="0"/>
        </w:rPr>
        <w:t>OTHER RELIEF</w:t>
      </w:r>
    </w:p>
    <w:p w14:paraId="247A12FC" w14:textId="2B34E03D" w:rsidR="00042838" w:rsidRDefault="007C3488" w:rsidP="007C3488">
      <w:pPr>
        <w:pStyle w:val="ParaNumbering"/>
        <w:numPr>
          <w:ilvl w:val="0"/>
          <w:numId w:val="0"/>
        </w:numPr>
        <w:ind w:hanging="720"/>
      </w:pPr>
      <w:r>
        <w:rPr>
          <w:sz w:val="20"/>
        </w:rPr>
        <w:t>96</w:t>
      </w:r>
      <w:r>
        <w:rPr>
          <w:sz w:val="20"/>
        </w:rPr>
        <w:tab/>
      </w:r>
      <w:r w:rsidR="00A26CBE">
        <w:t xml:space="preserve">The ACCC sought </w:t>
      </w:r>
      <w:r w:rsidR="009F7026">
        <w:t xml:space="preserve">further </w:t>
      </w:r>
      <w:r w:rsidR="00A26CBE">
        <w:t xml:space="preserve">orders for other </w:t>
      </w:r>
      <w:r w:rsidR="00215A1F">
        <w:t>relief in addition to the pecuniary penalty</w:t>
      </w:r>
      <w:r w:rsidR="00C0427E">
        <w:t>.</w:t>
      </w:r>
    </w:p>
    <w:p w14:paraId="4402A43D" w14:textId="09EB5720" w:rsidR="008E0A28" w:rsidRDefault="008E0A28" w:rsidP="00042838">
      <w:pPr>
        <w:pStyle w:val="Heading2"/>
      </w:pPr>
      <w:r>
        <w:t>Compliance Program</w:t>
      </w:r>
    </w:p>
    <w:p w14:paraId="1C1A8C21" w14:textId="20B06C3B" w:rsidR="00121064" w:rsidRDefault="007C3488" w:rsidP="007C3488">
      <w:pPr>
        <w:pStyle w:val="ParaNumbering"/>
        <w:numPr>
          <w:ilvl w:val="0"/>
          <w:numId w:val="0"/>
        </w:numPr>
        <w:ind w:hanging="720"/>
      </w:pPr>
      <w:r>
        <w:rPr>
          <w:sz w:val="20"/>
        </w:rPr>
        <w:t>97</w:t>
      </w:r>
      <w:r>
        <w:rPr>
          <w:sz w:val="20"/>
        </w:rPr>
        <w:tab/>
      </w:r>
      <w:r w:rsidR="008E0A28">
        <w:t xml:space="preserve">The ACCC sought orders that Mazda administer and comply with a “competition and consumer compliance program” </w:t>
      </w:r>
      <w:r w:rsidR="000E666D">
        <w:t>in the terms that are detailed in a document attached to a draft proposed order and that Mazda maintain th</w:t>
      </w:r>
      <w:r w:rsidR="00757D73">
        <w:t>is</w:t>
      </w:r>
      <w:r w:rsidR="000E666D">
        <w:t xml:space="preserve"> program for three years.  In my view, </w:t>
      </w:r>
      <w:proofErr w:type="gramStart"/>
      <w:r w:rsidR="000E666D">
        <w:t>in light of</w:t>
      </w:r>
      <w:proofErr w:type="gramEnd"/>
      <w:r w:rsidR="000E666D">
        <w:t xml:space="preserve"> the </w:t>
      </w:r>
      <w:r w:rsidR="000561FF">
        <w:t>changes made to the customer complaint systems deposed to by Mr Robins</w:t>
      </w:r>
      <w:r w:rsidR="00DF514F">
        <w:t>,</w:t>
      </w:r>
      <w:r w:rsidR="003B5CFB">
        <w:t xml:space="preserve"> there is no point to be served in the making of such order</w:t>
      </w:r>
      <w:r w:rsidR="00CC4BEB">
        <w:t>,</w:t>
      </w:r>
      <w:r w:rsidR="003B5CFB">
        <w:t xml:space="preserve"> and I decline to make it</w:t>
      </w:r>
      <w:r w:rsidR="00FA2514">
        <w:t xml:space="preserve"> in the form proposed by the ACCC</w:t>
      </w:r>
      <w:r w:rsidR="003B5CFB">
        <w:t xml:space="preserve">. </w:t>
      </w:r>
    </w:p>
    <w:p w14:paraId="44F61259" w14:textId="43294106" w:rsidR="00FA2514" w:rsidRDefault="007C3488" w:rsidP="007C3488">
      <w:pPr>
        <w:pStyle w:val="ParaNumbering"/>
        <w:numPr>
          <w:ilvl w:val="0"/>
          <w:numId w:val="0"/>
        </w:numPr>
        <w:ind w:hanging="720"/>
      </w:pPr>
      <w:r>
        <w:rPr>
          <w:sz w:val="20"/>
        </w:rPr>
        <w:t>98</w:t>
      </w:r>
      <w:r>
        <w:rPr>
          <w:sz w:val="20"/>
        </w:rPr>
        <w:tab/>
      </w:r>
      <w:r w:rsidR="00FA2514">
        <w:t xml:space="preserve">Mazda did, however, agree to </w:t>
      </w:r>
      <w:r w:rsidR="00F85C4E">
        <w:t xml:space="preserve">comply with </w:t>
      </w:r>
      <w:r w:rsidR="00FA2514">
        <w:t xml:space="preserve">a more limited </w:t>
      </w:r>
      <w:r w:rsidR="00F85C4E">
        <w:t>compliance program</w:t>
      </w:r>
      <w:r w:rsidR="00080B9E">
        <w:t xml:space="preserve">.  I have made </w:t>
      </w:r>
      <w:r w:rsidR="003E78F9">
        <w:t>provision for a compliance program</w:t>
      </w:r>
      <w:r w:rsidR="00080B9E">
        <w:t xml:space="preserve"> substantially in the form sought by Mazda</w:t>
      </w:r>
      <w:r w:rsidR="0086702D">
        <w:t>.</w:t>
      </w:r>
      <w:r w:rsidR="00080B9E">
        <w:t xml:space="preserve">  </w:t>
      </w:r>
      <w:r w:rsidR="0088486C">
        <w:t>It is</w:t>
      </w:r>
      <w:r w:rsidR="0028631A">
        <w:t xml:space="preserve"> </w:t>
      </w:r>
      <w:r w:rsidR="0088486C">
        <w:t>contained</w:t>
      </w:r>
      <w:r w:rsidR="00F85C4E">
        <w:t xml:space="preserve"> </w:t>
      </w:r>
      <w:r w:rsidR="00100EB8">
        <w:t xml:space="preserve">in Appendix </w:t>
      </w:r>
      <w:r w:rsidR="008F2D15">
        <w:t>A</w:t>
      </w:r>
      <w:r w:rsidR="00100EB8">
        <w:t xml:space="preserve"> to the orders</w:t>
      </w:r>
      <w:r w:rsidR="0028631A">
        <w:t xml:space="preserve"> set out</w:t>
      </w:r>
      <w:r w:rsidR="00100EB8">
        <w:t xml:space="preserve"> above.</w:t>
      </w:r>
      <w:r w:rsidR="00CC4BEB">
        <w:t xml:space="preserve">  In my view, that compliance program</w:t>
      </w:r>
      <w:r w:rsidR="00451460">
        <w:t xml:space="preserve"> </w:t>
      </w:r>
      <w:r w:rsidR="00CC4BEB">
        <w:t>is better tailored to the prevailing realities deposed to by Mr Robins.</w:t>
      </w:r>
    </w:p>
    <w:p w14:paraId="661FA826" w14:textId="605C5231" w:rsidR="001405A2" w:rsidRDefault="001405A2" w:rsidP="00AA13E5">
      <w:pPr>
        <w:pStyle w:val="Heading2"/>
      </w:pPr>
      <w:r>
        <w:lastRenderedPageBreak/>
        <w:t>Injunctive relief</w:t>
      </w:r>
    </w:p>
    <w:p w14:paraId="15A2FFA8" w14:textId="30AEF63D" w:rsidR="001B6234" w:rsidRDefault="007C3488" w:rsidP="007C3488">
      <w:pPr>
        <w:pStyle w:val="ParaNumbering"/>
        <w:numPr>
          <w:ilvl w:val="0"/>
          <w:numId w:val="0"/>
        </w:numPr>
        <w:ind w:hanging="720"/>
      </w:pPr>
      <w:r>
        <w:rPr>
          <w:sz w:val="20"/>
        </w:rPr>
        <w:t>99</w:t>
      </w:r>
      <w:r>
        <w:rPr>
          <w:sz w:val="20"/>
        </w:rPr>
        <w:tab/>
      </w:r>
      <w:r w:rsidR="0031395B">
        <w:t xml:space="preserve">Section </w:t>
      </w:r>
      <w:r w:rsidR="0031395B" w:rsidRPr="00416014">
        <w:t>232(1)</w:t>
      </w:r>
      <w:r w:rsidR="00D3570F" w:rsidRPr="00416014">
        <w:t>(a)</w:t>
      </w:r>
      <w:r w:rsidR="0031395B" w:rsidRPr="00416014">
        <w:t xml:space="preserve"> of the ACL</w:t>
      </w:r>
      <w:r w:rsidR="0031395B">
        <w:t xml:space="preserve"> </w:t>
      </w:r>
      <w:r w:rsidR="007E1DA3">
        <w:t xml:space="preserve">relevantly </w:t>
      </w:r>
      <w:r w:rsidR="0031395B">
        <w:t xml:space="preserve">provides that the court may grant an injunction, in such terms as the court considers appropriate, if the court is satisfied that a person has engaged </w:t>
      </w:r>
      <w:r w:rsidR="001426DB">
        <w:t>in conduct that constitutes a contravention of</w:t>
      </w:r>
      <w:r w:rsidR="00D3570F">
        <w:t xml:space="preserve"> </w:t>
      </w:r>
      <w:r w:rsidR="00C93A5B">
        <w:t>a provision of Chapter 2 (which includes s 18(1)), Chapter 3 (which includes s 29(1)(m))</w:t>
      </w:r>
      <w:r w:rsidR="0011075E">
        <w:t>,</w:t>
      </w:r>
      <w:r w:rsidR="00C93A5B">
        <w:t xml:space="preserve"> or Chapter 4.</w:t>
      </w:r>
      <w:r w:rsidR="00DC7567">
        <w:t xml:space="preserve"> </w:t>
      </w:r>
      <w:r w:rsidR="001F36F6">
        <w:t xml:space="preserve"> </w:t>
      </w:r>
    </w:p>
    <w:p w14:paraId="6482696A" w14:textId="3430014F" w:rsidR="00E205F0" w:rsidRDefault="007C3488" w:rsidP="007C3488">
      <w:pPr>
        <w:pStyle w:val="ParaNumbering"/>
        <w:numPr>
          <w:ilvl w:val="0"/>
          <w:numId w:val="0"/>
        </w:numPr>
        <w:ind w:hanging="720"/>
      </w:pPr>
      <w:r>
        <w:rPr>
          <w:sz w:val="20"/>
        </w:rPr>
        <w:t>100</w:t>
      </w:r>
      <w:r>
        <w:rPr>
          <w:sz w:val="20"/>
        </w:rPr>
        <w:tab/>
      </w:r>
      <w:r w:rsidR="00D04CD9">
        <w:t xml:space="preserve">ACCC sought, and Mazda consented to, </w:t>
      </w:r>
      <w:r w:rsidR="00F129F8">
        <w:t>an order for injunctive relief as follows:</w:t>
      </w:r>
    </w:p>
    <w:p w14:paraId="4AE20B32" w14:textId="7A98BDB9" w:rsidR="00F129F8" w:rsidRDefault="0081300B" w:rsidP="00BC3A4A">
      <w:pPr>
        <w:pStyle w:val="Quote1"/>
      </w:pPr>
      <w:r>
        <w:t>Pursuant to section 232 of the ACL, Mazda be restrained, whether by itself, its officers, employees, agents or otherwise, for a period of 5 years from the date of the order, from, in</w:t>
      </w:r>
      <w:r w:rsidR="00C21FAD">
        <w:t xml:space="preserve"> trade or commerce, making false or misleading representations in the course of communication with consumers, concerning the existence or effect of consumer guarantees under Part 3-2 of the ACL, and the rights or remedies available under Part 5-4 of the ACL, and whether it had reasonable grounds for forming </w:t>
      </w:r>
      <w:r w:rsidR="00631092">
        <w:t xml:space="preserve">an opinion </w:t>
      </w:r>
      <w:r w:rsidR="005647D0">
        <w:t>that the consumer was not entitled to a refund or replacement vehicle at no cost to them under the consumer guarantee provisions of the ACL when it had no reasonable grounds for forming such an opinion.</w:t>
      </w:r>
    </w:p>
    <w:p w14:paraId="634D2A10" w14:textId="5C636E01" w:rsidR="005647D0" w:rsidRDefault="005647D0" w:rsidP="0081300B">
      <w:pPr>
        <w:pStyle w:val="Quote1"/>
      </w:pPr>
      <w:r>
        <w:t>For the avoidance of doubt, the word “agents”</w:t>
      </w:r>
      <w:r w:rsidR="00BC3A4A">
        <w:t xml:space="preserve"> in order 2 does not include any Mazda dealer.</w:t>
      </w:r>
    </w:p>
    <w:p w14:paraId="29AB72E8" w14:textId="41174146" w:rsidR="00077D01" w:rsidRDefault="007C3488" w:rsidP="007C3488">
      <w:pPr>
        <w:pStyle w:val="ParaNumbering"/>
        <w:numPr>
          <w:ilvl w:val="0"/>
          <w:numId w:val="0"/>
        </w:numPr>
        <w:ind w:hanging="720"/>
      </w:pPr>
      <w:r>
        <w:rPr>
          <w:sz w:val="20"/>
        </w:rPr>
        <w:t>101</w:t>
      </w:r>
      <w:r>
        <w:rPr>
          <w:sz w:val="20"/>
        </w:rPr>
        <w:tab/>
      </w:r>
      <w:r w:rsidR="00BF4AE5">
        <w:t>I am satisfied that the proposed</w:t>
      </w:r>
      <w:r w:rsidR="008007AD">
        <w:t xml:space="preserve"> order is consistent with the three limitations on the courts power pursuant to s 232 of the ACL to grant</w:t>
      </w:r>
      <w:r w:rsidR="00982E71">
        <w:t xml:space="preserve"> injunctive relief </w:t>
      </w:r>
      <w:r w:rsidR="008007AD">
        <w:t>set out</w:t>
      </w:r>
      <w:r w:rsidR="00982E71">
        <w:t xml:space="preserve"> by Merkel J</w:t>
      </w:r>
      <w:r w:rsidR="008007AD">
        <w:t xml:space="preserve"> in </w:t>
      </w:r>
      <w:r w:rsidR="008007AD" w:rsidRPr="00416014">
        <w:rPr>
          <w:i/>
          <w:iCs/>
        </w:rPr>
        <w:t>A</w:t>
      </w:r>
      <w:r w:rsidR="00FD482E" w:rsidRPr="00416014">
        <w:rPr>
          <w:i/>
          <w:iCs/>
        </w:rPr>
        <w:t xml:space="preserve">ustralian </w:t>
      </w:r>
      <w:r w:rsidR="008007AD" w:rsidRPr="00416014">
        <w:rPr>
          <w:i/>
          <w:iCs/>
        </w:rPr>
        <w:t>C</w:t>
      </w:r>
      <w:r w:rsidR="00FD482E" w:rsidRPr="00416014">
        <w:rPr>
          <w:i/>
          <w:iCs/>
        </w:rPr>
        <w:t xml:space="preserve">ompetition and </w:t>
      </w:r>
      <w:r w:rsidR="008007AD" w:rsidRPr="00416014">
        <w:rPr>
          <w:i/>
          <w:iCs/>
        </w:rPr>
        <w:t>C</w:t>
      </w:r>
      <w:r w:rsidR="00FD482E" w:rsidRPr="00416014">
        <w:rPr>
          <w:i/>
          <w:iCs/>
        </w:rPr>
        <w:t xml:space="preserve">onsumer </w:t>
      </w:r>
      <w:r w:rsidR="008007AD" w:rsidRPr="00416014">
        <w:rPr>
          <w:i/>
          <w:iCs/>
        </w:rPr>
        <w:t>C</w:t>
      </w:r>
      <w:r w:rsidR="00FD482E" w:rsidRPr="00416014">
        <w:rPr>
          <w:i/>
          <w:iCs/>
        </w:rPr>
        <w:t>ommission</w:t>
      </w:r>
      <w:r w:rsidR="008007AD" w:rsidRPr="00416014">
        <w:rPr>
          <w:i/>
          <w:iCs/>
        </w:rPr>
        <w:t xml:space="preserve"> v Z-T</w:t>
      </w:r>
      <w:r w:rsidR="00982E71" w:rsidRPr="00416014">
        <w:rPr>
          <w:i/>
          <w:iCs/>
        </w:rPr>
        <w:t xml:space="preserve">ek Computer Pty Ltd </w:t>
      </w:r>
      <w:r w:rsidR="00982E71" w:rsidRPr="00416014">
        <w:t>(</w:t>
      </w:r>
      <w:r w:rsidR="00A27559" w:rsidRPr="00416014">
        <w:t>1997) 78 FCR 197</w:t>
      </w:r>
      <w:r w:rsidR="00A27559">
        <w:t xml:space="preserve"> </w:t>
      </w:r>
      <w:r w:rsidR="007F1A0D">
        <w:t>at 203</w:t>
      </w:r>
      <w:r w:rsidR="00DD0C45">
        <w:t>–</w:t>
      </w:r>
      <w:r w:rsidR="007F1A0D">
        <w:t>204</w:t>
      </w:r>
      <w:r w:rsidR="00117014">
        <w:t>, and recently applied by Murphy J</w:t>
      </w:r>
      <w:r w:rsidR="007B2FF7">
        <w:t xml:space="preserve"> in </w:t>
      </w:r>
      <w:r w:rsidR="007B2FF7" w:rsidRPr="00416014">
        <w:rPr>
          <w:i/>
          <w:iCs/>
        </w:rPr>
        <w:t xml:space="preserve">Australian Competition and Consumer Commission v Acquire Learning &amp; Careers Pty Ltd </w:t>
      </w:r>
      <w:r w:rsidR="007B2FF7" w:rsidRPr="00416014">
        <w:t>[2017] FCA 602</w:t>
      </w:r>
      <w:r w:rsidR="004F2D2E" w:rsidRPr="00416014">
        <w:t xml:space="preserve">; </w:t>
      </w:r>
      <w:r w:rsidR="00A45929" w:rsidRPr="00416014">
        <w:t>[2017] ATPR 42-543</w:t>
      </w:r>
      <w:r w:rsidR="00DD0C45">
        <w:t xml:space="preserve"> at </w:t>
      </w:r>
      <w:r w:rsidR="002B1F9F">
        <w:t>[98]</w:t>
      </w:r>
      <w:r w:rsidR="00A45929">
        <w:t>–</w:t>
      </w:r>
      <w:r w:rsidR="002B1F9F">
        <w:t>[99]</w:t>
      </w:r>
      <w:r w:rsidR="007F1A0D">
        <w:t xml:space="preserve">.  Namely, the proposed </w:t>
      </w:r>
      <w:r w:rsidR="0088411E">
        <w:t>injunctive</w:t>
      </w:r>
      <w:r w:rsidR="00E46F39">
        <w:t xml:space="preserve"> relief</w:t>
      </w:r>
      <w:r w:rsidR="007F1A0D">
        <w:t xml:space="preserve"> is:</w:t>
      </w:r>
    </w:p>
    <w:p w14:paraId="7DFC31C5" w14:textId="282C286A" w:rsidR="00E46F39" w:rsidRDefault="007C3488" w:rsidP="007C3488">
      <w:pPr>
        <w:pStyle w:val="ListNo1alt"/>
        <w:numPr>
          <w:ilvl w:val="0"/>
          <w:numId w:val="0"/>
        </w:numPr>
        <w:tabs>
          <w:tab w:val="left" w:pos="720"/>
        </w:tabs>
        <w:ind w:left="720" w:hanging="720"/>
      </w:pPr>
      <w:r>
        <w:t>(a)</w:t>
      </w:r>
      <w:r>
        <w:tab/>
      </w:r>
      <w:r w:rsidR="00BB547C">
        <w:t xml:space="preserve">designed to </w:t>
      </w:r>
      <w:r w:rsidR="00692694">
        <w:t xml:space="preserve">deter a repetition of the contravening </w:t>
      </w:r>
      <w:proofErr w:type="gramStart"/>
      <w:r w:rsidR="00692694">
        <w:t>conduct</w:t>
      </w:r>
      <w:r w:rsidR="008836D1">
        <w:t>;</w:t>
      </w:r>
      <w:proofErr w:type="gramEnd"/>
    </w:p>
    <w:p w14:paraId="05D7A44B" w14:textId="2522192A" w:rsidR="008836D1" w:rsidRDefault="007C3488" w:rsidP="007C3488">
      <w:pPr>
        <w:pStyle w:val="ListNo1alt"/>
        <w:numPr>
          <w:ilvl w:val="0"/>
          <w:numId w:val="0"/>
        </w:numPr>
        <w:tabs>
          <w:tab w:val="left" w:pos="720"/>
        </w:tabs>
        <w:ind w:left="720" w:hanging="720"/>
      </w:pPr>
      <w:r>
        <w:t>(b)</w:t>
      </w:r>
      <w:r>
        <w:tab/>
      </w:r>
      <w:r w:rsidR="008836D1">
        <w:t>has a sufficient nexus or relationship to</w:t>
      </w:r>
      <w:r w:rsidR="00371C8F">
        <w:t xml:space="preserve"> </w:t>
      </w:r>
      <w:r w:rsidR="008836D1">
        <w:t>t</w:t>
      </w:r>
      <w:r w:rsidR="00371C8F">
        <w:t>he</w:t>
      </w:r>
      <w:r w:rsidR="008836D1">
        <w:t xml:space="preserve"> contraventions; and</w:t>
      </w:r>
    </w:p>
    <w:p w14:paraId="0F232960" w14:textId="1D24BAE1" w:rsidR="008836D1" w:rsidRDefault="007C3488" w:rsidP="007C3488">
      <w:pPr>
        <w:pStyle w:val="ListNo1alt"/>
        <w:numPr>
          <w:ilvl w:val="0"/>
          <w:numId w:val="0"/>
        </w:numPr>
        <w:tabs>
          <w:tab w:val="left" w:pos="720"/>
        </w:tabs>
        <w:ind w:left="720" w:hanging="720"/>
      </w:pPr>
      <w:r>
        <w:t>(c)</w:t>
      </w:r>
      <w:r>
        <w:tab/>
      </w:r>
      <w:r w:rsidR="008836D1">
        <w:t xml:space="preserve">relates to the </w:t>
      </w:r>
      <w:r w:rsidR="00BE2C4E">
        <w:t>case or controversy</w:t>
      </w:r>
      <w:r w:rsidR="00FD4DC7">
        <w:t>, or “matter”,</w:t>
      </w:r>
      <w:r w:rsidR="00BE2C4E">
        <w:t xml:space="preserve"> </w:t>
      </w:r>
      <w:r w:rsidR="008A795D">
        <w:t xml:space="preserve">that is the subject of the proceeding </w:t>
      </w:r>
      <w:r w:rsidR="008836D1">
        <w:t xml:space="preserve">before the </w:t>
      </w:r>
      <w:r w:rsidR="000D3014">
        <w:t xml:space="preserve">court. </w:t>
      </w:r>
    </w:p>
    <w:p w14:paraId="39EFD7ED" w14:textId="06FFC492" w:rsidR="00D06AAC" w:rsidRDefault="007C3488" w:rsidP="007C3488">
      <w:pPr>
        <w:pStyle w:val="ParaNumbering"/>
        <w:numPr>
          <w:ilvl w:val="0"/>
          <w:numId w:val="0"/>
        </w:numPr>
        <w:ind w:hanging="720"/>
      </w:pPr>
      <w:r>
        <w:rPr>
          <w:sz w:val="20"/>
        </w:rPr>
        <w:t>102</w:t>
      </w:r>
      <w:r>
        <w:rPr>
          <w:sz w:val="20"/>
        </w:rPr>
        <w:tab/>
      </w:r>
      <w:r w:rsidR="002B1F9F">
        <w:t xml:space="preserve">I therefore consider it </w:t>
      </w:r>
      <w:r w:rsidR="005D0539">
        <w:t>appropriate to order the injunctive relief sought.</w:t>
      </w:r>
    </w:p>
    <w:p w14:paraId="179044E5" w14:textId="6F0E55A8" w:rsidR="001405A2" w:rsidRDefault="00B44756" w:rsidP="000C7B43">
      <w:pPr>
        <w:pStyle w:val="Heading2"/>
      </w:pPr>
      <w:r>
        <w:t>Disclosure order</w:t>
      </w:r>
    </w:p>
    <w:p w14:paraId="20175252" w14:textId="757790ED" w:rsidR="00D06AAC" w:rsidRDefault="007C3488" w:rsidP="007C3488">
      <w:pPr>
        <w:pStyle w:val="ParaNumbering"/>
        <w:numPr>
          <w:ilvl w:val="0"/>
          <w:numId w:val="0"/>
        </w:numPr>
        <w:ind w:hanging="720"/>
      </w:pPr>
      <w:r>
        <w:rPr>
          <w:sz w:val="20"/>
        </w:rPr>
        <w:t>103</w:t>
      </w:r>
      <w:r>
        <w:rPr>
          <w:sz w:val="20"/>
        </w:rPr>
        <w:tab/>
      </w:r>
      <w:r w:rsidR="006A07E5">
        <w:t>Pursuant to s</w:t>
      </w:r>
      <w:r w:rsidR="00466E07">
        <w:t xml:space="preserve">s </w:t>
      </w:r>
      <w:r w:rsidR="00466E07" w:rsidRPr="00416014">
        <w:t>246(1)</w:t>
      </w:r>
      <w:r w:rsidR="00466E07">
        <w:t xml:space="preserve"> and</w:t>
      </w:r>
      <w:r w:rsidR="006A07E5">
        <w:t xml:space="preserve"> </w:t>
      </w:r>
      <w:r w:rsidR="006A07E5" w:rsidRPr="00416014">
        <w:t>246(2)(c)</w:t>
      </w:r>
      <w:r w:rsidR="006A07E5">
        <w:t xml:space="preserve"> </w:t>
      </w:r>
      <w:r w:rsidR="00466E07">
        <w:t xml:space="preserve">of the ACL </w:t>
      </w:r>
      <w:r w:rsidR="006A07E5">
        <w:t xml:space="preserve">the court </w:t>
      </w:r>
      <w:r w:rsidR="00466E07">
        <w:t>may</w:t>
      </w:r>
      <w:r w:rsidR="00540D47">
        <w:t xml:space="preserve">, on application of the regulator, </w:t>
      </w:r>
      <w:r w:rsidR="00997EB7">
        <w:t xml:space="preserve">make an order </w:t>
      </w:r>
      <w:r w:rsidR="00800512">
        <w:t>requiring a person who has engaged in contravening conduct to disclose</w:t>
      </w:r>
      <w:r w:rsidR="00A65452">
        <w:t>, in the way and to the persons specified in the order</w:t>
      </w:r>
      <w:r w:rsidR="00693FA1">
        <w:t xml:space="preserve">, such information </w:t>
      </w:r>
      <w:r w:rsidR="00BA608F">
        <w:t>as is so specified</w:t>
      </w:r>
      <w:r w:rsidR="0029680E">
        <w:t>, being information that the person has possession of or access to.</w:t>
      </w:r>
    </w:p>
    <w:p w14:paraId="1392A128" w14:textId="28DB05BB" w:rsidR="00FD623D" w:rsidRDefault="007C3488" w:rsidP="007C3488">
      <w:pPr>
        <w:pStyle w:val="ParaNumbering"/>
        <w:numPr>
          <w:ilvl w:val="0"/>
          <w:numId w:val="0"/>
        </w:numPr>
        <w:ind w:hanging="720"/>
      </w:pPr>
      <w:r>
        <w:rPr>
          <w:sz w:val="20"/>
        </w:rPr>
        <w:lastRenderedPageBreak/>
        <w:t>104</w:t>
      </w:r>
      <w:r>
        <w:rPr>
          <w:sz w:val="20"/>
        </w:rPr>
        <w:tab/>
      </w:r>
      <w:r w:rsidR="006B36F3">
        <w:t xml:space="preserve">The ACCC sought, and Mazda consented to, an order requiring </w:t>
      </w:r>
      <w:r w:rsidR="008052C6">
        <w:t xml:space="preserve">Mazda </w:t>
      </w:r>
      <w:r w:rsidR="00B251AA">
        <w:t xml:space="preserve">to issue a </w:t>
      </w:r>
      <w:r w:rsidR="008052C6">
        <w:t xml:space="preserve">disclosure notice </w:t>
      </w:r>
      <w:r w:rsidR="0027480A">
        <w:t xml:space="preserve">to </w:t>
      </w:r>
      <w:r w:rsidR="005601F1">
        <w:t xml:space="preserve">all </w:t>
      </w:r>
      <w:r w:rsidR="0027480A">
        <w:t xml:space="preserve">Mazda </w:t>
      </w:r>
      <w:r w:rsidR="00723C9E">
        <w:t>dealers</w:t>
      </w:r>
      <w:r w:rsidR="00685393">
        <w:t xml:space="preserve"> within 14 days</w:t>
      </w:r>
      <w:r w:rsidR="008052C6">
        <w:t xml:space="preserve">.  </w:t>
      </w:r>
      <w:r w:rsidR="00685393">
        <w:t xml:space="preserve">The disclosure notice, which </w:t>
      </w:r>
      <w:r w:rsidR="004166D0">
        <w:t xml:space="preserve">is Appendix </w:t>
      </w:r>
      <w:r w:rsidR="008A0667">
        <w:t>B</w:t>
      </w:r>
      <w:r w:rsidR="00450CD3">
        <w:t xml:space="preserve"> to the orders set out above</w:t>
      </w:r>
      <w:r w:rsidR="001F3E69">
        <w:t>, informs</w:t>
      </w:r>
      <w:r w:rsidR="00D3045E">
        <w:t xml:space="preserve"> dealers </w:t>
      </w:r>
      <w:r w:rsidR="00612E23">
        <w:t xml:space="preserve">about </w:t>
      </w:r>
      <w:r w:rsidR="00D3045E">
        <w:t xml:space="preserve">the </w:t>
      </w:r>
      <w:r w:rsidR="00FD623D">
        <w:t>contraventions</w:t>
      </w:r>
      <w:r w:rsidR="00D3045E">
        <w:t xml:space="preserve">, </w:t>
      </w:r>
      <w:r w:rsidR="00F07E4C">
        <w:t xml:space="preserve">sets out </w:t>
      </w:r>
      <w:r w:rsidR="00612E23">
        <w:t>the penalty imposed</w:t>
      </w:r>
      <w:r w:rsidR="00F07E4C">
        <w:t>,</w:t>
      </w:r>
      <w:r w:rsidR="00612E23">
        <w:t xml:space="preserve"> and </w:t>
      </w:r>
      <w:r w:rsidR="005A623F">
        <w:t>states that dealers are required to adhere to the consumer guarantees under the ACL.</w:t>
      </w:r>
    </w:p>
    <w:p w14:paraId="0D516B2C" w14:textId="49D26E37" w:rsidR="00C371B9" w:rsidRPr="00D06AAC" w:rsidRDefault="007C3488" w:rsidP="007C3488">
      <w:pPr>
        <w:pStyle w:val="ParaNumbering"/>
        <w:numPr>
          <w:ilvl w:val="0"/>
          <w:numId w:val="0"/>
        </w:numPr>
        <w:ind w:hanging="720"/>
      </w:pPr>
      <w:r w:rsidRPr="00D06AAC">
        <w:rPr>
          <w:sz w:val="20"/>
        </w:rPr>
        <w:t>105</w:t>
      </w:r>
      <w:r w:rsidRPr="00D06AAC">
        <w:rPr>
          <w:sz w:val="20"/>
        </w:rPr>
        <w:tab/>
      </w:r>
      <w:r w:rsidR="00C371B9">
        <w:t>I accept that th</w:t>
      </w:r>
      <w:r w:rsidR="00F248C5">
        <w:t>is order is appropriate in</w:t>
      </w:r>
      <w:r w:rsidR="00BB3778">
        <w:t xml:space="preserve"> the circumstances, including that </w:t>
      </w:r>
      <w:r w:rsidR="0097220F">
        <w:t xml:space="preserve">the responsibility </w:t>
      </w:r>
      <w:r w:rsidR="002F4A36">
        <w:t xml:space="preserve">of </w:t>
      </w:r>
      <w:r w:rsidR="00C47DC5">
        <w:t>handling</w:t>
      </w:r>
      <w:r w:rsidR="002F4A36">
        <w:t xml:space="preserve"> </w:t>
      </w:r>
      <w:r w:rsidR="00552F38">
        <w:t>consumer</w:t>
      </w:r>
      <w:r w:rsidR="002F4A36">
        <w:t xml:space="preserve"> requests for repair, refund or replacement now rests almost exclusively with the dealers.</w:t>
      </w:r>
    </w:p>
    <w:p w14:paraId="50CA6D02" w14:textId="1FDCA83C" w:rsidR="00B44756" w:rsidRDefault="00B44756" w:rsidP="000C7B43">
      <w:pPr>
        <w:pStyle w:val="Heading2"/>
      </w:pPr>
      <w:r>
        <w:t>Adverse publicity orders</w:t>
      </w:r>
    </w:p>
    <w:p w14:paraId="42D6E19A" w14:textId="7FB7D0CE" w:rsidR="0014599F" w:rsidRDefault="007C3488" w:rsidP="007C3488">
      <w:pPr>
        <w:pStyle w:val="ParaNumbering"/>
        <w:numPr>
          <w:ilvl w:val="0"/>
          <w:numId w:val="0"/>
        </w:numPr>
        <w:ind w:hanging="720"/>
      </w:pPr>
      <w:r>
        <w:rPr>
          <w:sz w:val="20"/>
        </w:rPr>
        <w:t>106</w:t>
      </w:r>
      <w:r>
        <w:rPr>
          <w:sz w:val="20"/>
        </w:rPr>
        <w:tab/>
      </w:r>
      <w:r w:rsidR="0014599F">
        <w:t>Pursuant to</w:t>
      </w:r>
      <w:r w:rsidR="0014599F" w:rsidRPr="00416014">
        <w:t xml:space="preserve"> s 247</w:t>
      </w:r>
      <w:r w:rsidR="0014599F">
        <w:t xml:space="preserve"> of the ACL, the </w:t>
      </w:r>
      <w:r w:rsidR="00A55E8A">
        <w:t>ACC</w:t>
      </w:r>
      <w:r w:rsidR="00B2560C">
        <w:t>C</w:t>
      </w:r>
      <w:r w:rsidR="00A55E8A">
        <w:t xml:space="preserve"> sought an </w:t>
      </w:r>
      <w:r w:rsidR="00CE5451">
        <w:t xml:space="preserve">adverse publicity order </w:t>
      </w:r>
      <w:r w:rsidR="000A5C05">
        <w:t>requiring Mazda</w:t>
      </w:r>
      <w:r w:rsidR="004212BA">
        <w:t xml:space="preserve">, </w:t>
      </w:r>
      <w:r w:rsidR="00705662">
        <w:t>to publish</w:t>
      </w:r>
      <w:r w:rsidR="004212BA">
        <w:t xml:space="preserve"> a notice</w:t>
      </w:r>
      <w:r w:rsidR="00720E8A">
        <w:t xml:space="preserve"> </w:t>
      </w:r>
      <w:r w:rsidR="004212BA">
        <w:t xml:space="preserve">for a period of 90 days on the Mazda </w:t>
      </w:r>
      <w:r w:rsidR="003614E3">
        <w:t>Support</w:t>
      </w:r>
      <w:r w:rsidR="00720E8A">
        <w:t xml:space="preserve"> page</w:t>
      </w:r>
      <w:r w:rsidR="003614E3">
        <w:t xml:space="preserve"> of </w:t>
      </w:r>
      <w:r w:rsidR="00D43DB1">
        <w:t>its website</w:t>
      </w:r>
      <w:r w:rsidR="00720E8A">
        <w:t xml:space="preserve">.  </w:t>
      </w:r>
      <w:r w:rsidR="00D7037A">
        <w:t>Mazda consented to this order and the form of notice</w:t>
      </w:r>
      <w:r w:rsidR="004D3BA5" w:rsidRPr="004D3BA5">
        <w:t xml:space="preserve"> is Appendix </w:t>
      </w:r>
      <w:r w:rsidR="00FD70F8">
        <w:t>C</w:t>
      </w:r>
      <w:r w:rsidR="004D3BA5" w:rsidRPr="004D3BA5">
        <w:t xml:space="preserve"> to the orders set out above</w:t>
      </w:r>
      <w:r w:rsidR="00D7037A">
        <w:t xml:space="preserve">.  The </w:t>
      </w:r>
      <w:r w:rsidR="00354EEA">
        <w:t>adverse publicity</w:t>
      </w:r>
      <w:r w:rsidR="009978B7">
        <w:t xml:space="preserve"> </w:t>
      </w:r>
      <w:r w:rsidR="00D7037A">
        <w:t>notice is in substantially the same terms as the</w:t>
      </w:r>
      <w:r w:rsidR="009978B7">
        <w:t xml:space="preserve"> disclosure notice to the dealers.</w:t>
      </w:r>
      <w:r w:rsidR="005F3982">
        <w:t xml:space="preserve">  I am satisfied it is appropriate to make the adverse publicity order in the form proposed. </w:t>
      </w:r>
    </w:p>
    <w:p w14:paraId="78A7C4C7" w14:textId="77777777" w:rsidR="00C51DD4" w:rsidRDefault="003B5CFB" w:rsidP="00C51DD4">
      <w:pPr>
        <w:pStyle w:val="Heading2"/>
      </w:pPr>
      <w:r>
        <w:t xml:space="preserve">Non-party consumer </w:t>
      </w:r>
      <w:r w:rsidR="00E250A0">
        <w:t>redress</w:t>
      </w:r>
      <w:bookmarkStart w:id="44" w:name="_Ref158021936"/>
    </w:p>
    <w:p w14:paraId="03D46346" w14:textId="5CD8AED4" w:rsidR="001D0895" w:rsidRPr="00B63ACF" w:rsidRDefault="007C3488" w:rsidP="007C3488">
      <w:pPr>
        <w:pStyle w:val="ParaNumbering"/>
        <w:numPr>
          <w:ilvl w:val="0"/>
          <w:numId w:val="0"/>
        </w:numPr>
        <w:ind w:hanging="720"/>
      </w:pPr>
      <w:r w:rsidRPr="00B63ACF">
        <w:rPr>
          <w:sz w:val="20"/>
        </w:rPr>
        <w:t>107</w:t>
      </w:r>
      <w:r w:rsidRPr="00B63ACF">
        <w:rPr>
          <w:sz w:val="20"/>
        </w:rPr>
        <w:tab/>
      </w:r>
      <w:r w:rsidR="003B5CFB" w:rsidRPr="00B63ACF">
        <w:t xml:space="preserve">The parties were agreed that payments </w:t>
      </w:r>
      <w:r w:rsidR="001D0895" w:rsidRPr="00B63ACF">
        <w:t xml:space="preserve">in the amounts set out below under the heading </w:t>
      </w:r>
      <w:r w:rsidR="00F014C7" w:rsidRPr="00B63ACF">
        <w:t xml:space="preserve">“compensation payment” should </w:t>
      </w:r>
      <w:r w:rsidR="00D413EF" w:rsidRPr="00B63ACF">
        <w:t xml:space="preserve">be made to the </w:t>
      </w:r>
      <w:r w:rsidR="00F014C7" w:rsidRPr="00B63ACF">
        <w:t xml:space="preserve">respective </w:t>
      </w:r>
      <w:r w:rsidR="00D413EF" w:rsidRPr="00B63ACF">
        <w:t>consumers</w:t>
      </w:r>
      <w:bookmarkEnd w:id="44"/>
      <w:r w:rsidR="00AB0C97" w:rsidRPr="00B63ACF">
        <w:t xml:space="preserve"> pursuant to s 239 of the ACL</w:t>
      </w:r>
      <w:r w:rsidR="00F014C7" w:rsidRPr="00B63ACF">
        <w:t xml:space="preserve">.  </w:t>
      </w:r>
      <w:r w:rsidR="00CC5EC5" w:rsidRPr="008D1465">
        <w:t xml:space="preserve">These amounts </w:t>
      </w:r>
      <w:r w:rsidR="007B68C5" w:rsidRPr="008D1465">
        <w:t xml:space="preserve">reflect </w:t>
      </w:r>
      <w:r w:rsidR="002267C5" w:rsidRPr="008D1465">
        <w:t xml:space="preserve">the difference between </w:t>
      </w:r>
      <w:r w:rsidR="00EE58F4" w:rsidRPr="008D1465">
        <w:t>the refund</w:t>
      </w:r>
      <w:r w:rsidR="00F9638E" w:rsidRPr="008D1465">
        <w:t xml:space="preserve"> or </w:t>
      </w:r>
      <w:r w:rsidR="00EE58F4" w:rsidRPr="008D1465">
        <w:t xml:space="preserve">replacement </w:t>
      </w:r>
      <w:r w:rsidR="00D3122F" w:rsidRPr="008D1465">
        <w:t xml:space="preserve">that was </w:t>
      </w:r>
      <w:r w:rsidR="00EE58F4" w:rsidRPr="008D1465">
        <w:t xml:space="preserve">sought by </w:t>
      </w:r>
      <w:r w:rsidR="00D3122F" w:rsidRPr="008D1465">
        <w:t xml:space="preserve">each </w:t>
      </w:r>
      <w:r w:rsidR="00EE58F4" w:rsidRPr="008D1465">
        <w:t xml:space="preserve">consumer and what they </w:t>
      </w:r>
      <w:proofErr w:type="gramStart"/>
      <w:r w:rsidR="002D2DC6" w:rsidRPr="008D1465">
        <w:t>actually received</w:t>
      </w:r>
      <w:proofErr w:type="gramEnd"/>
      <w:r w:rsidR="002D2DC6" w:rsidRPr="008D1465">
        <w:t xml:space="preserve"> from Mazda</w:t>
      </w:r>
      <w:r w:rsidR="00023862" w:rsidRPr="008D1465">
        <w:t>.  They</w:t>
      </w:r>
      <w:r w:rsidR="002D2DC6" w:rsidRPr="008D1465">
        <w:t xml:space="preserve"> are, in effect</w:t>
      </w:r>
      <w:r w:rsidR="00023862" w:rsidRPr="008D1465">
        <w:t>,</w:t>
      </w:r>
      <w:r w:rsidR="002D2DC6" w:rsidRPr="008D1465">
        <w:t xml:space="preserve"> “top</w:t>
      </w:r>
      <w:r w:rsidR="00CE1B64" w:rsidRPr="008D1465">
        <w:t>-</w:t>
      </w:r>
      <w:r w:rsidR="002D2DC6" w:rsidRPr="008D1465">
        <w:t xml:space="preserve">up” refund payments.  </w:t>
      </w:r>
      <w:r w:rsidR="00CF2CB4" w:rsidRPr="008D1465">
        <w:t>For t</w:t>
      </w:r>
      <w:r w:rsidR="002D2DC6" w:rsidRPr="008D1465">
        <w:t xml:space="preserve">he consumers </w:t>
      </w:r>
      <w:r w:rsidR="00D3122F" w:rsidRPr="008D1465">
        <w:t xml:space="preserve">who ultimately received </w:t>
      </w:r>
      <w:r w:rsidR="00880CEF" w:rsidRPr="008D1465">
        <w:t>a replacement vehicle or full refund at no cost</w:t>
      </w:r>
      <w:r w:rsidR="00CF2CB4" w:rsidRPr="008D1465">
        <w:t>, the compensation payment</w:t>
      </w:r>
      <w:r w:rsidR="00CE1B64" w:rsidRPr="008D1465">
        <w:t xml:space="preserve"> sought</w:t>
      </w:r>
      <w:r w:rsidR="00CF2CB4" w:rsidRPr="008D1465">
        <w:t xml:space="preserve"> is accordingly nil.</w:t>
      </w:r>
      <w:r w:rsidR="001D7ECB" w:rsidRPr="00B63ACF">
        <w:t xml:space="preserve">  </w:t>
      </w:r>
      <w:r w:rsidR="00F014C7" w:rsidRPr="00B63ACF">
        <w:t xml:space="preserve">The ACCC proposed, and Mazda opposed, </w:t>
      </w:r>
      <w:r w:rsidR="00BD7EF3" w:rsidRPr="00B63ACF">
        <w:t>orders that each of the consumers also receive a payment in respect of non-economic loss</w:t>
      </w:r>
      <w:r w:rsidR="002C28DF" w:rsidRPr="00B63ACF">
        <w:t>, also set out in the table below:</w:t>
      </w:r>
    </w:p>
    <w:tbl>
      <w:tblPr>
        <w:tblW w:w="0" w:type="auto"/>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598"/>
        <w:gridCol w:w="2654"/>
        <w:gridCol w:w="2829"/>
      </w:tblGrid>
      <w:tr w:rsidR="008019E7" w:rsidRPr="002C28DF" w14:paraId="0D932925" w14:textId="77777777" w:rsidTr="00F42AEE">
        <w:trPr>
          <w:trHeight w:val="793"/>
        </w:trPr>
        <w:tc>
          <w:tcPr>
            <w:tcW w:w="1598" w:type="dxa"/>
            <w:shd w:val="clear" w:color="auto" w:fill="D9D9D9" w:themeFill="background1" w:themeFillShade="D9"/>
          </w:tcPr>
          <w:p w14:paraId="5A83D8BC" w14:textId="77777777" w:rsidR="008019E7" w:rsidRPr="0046414B" w:rsidRDefault="008019E7" w:rsidP="0046414B">
            <w:pPr>
              <w:pStyle w:val="Small-TableswithinQuotes"/>
              <w:rPr>
                <w:b/>
                <w:bCs/>
              </w:rPr>
            </w:pPr>
            <w:r w:rsidRPr="0046414B">
              <w:rPr>
                <w:b/>
                <w:bCs/>
              </w:rPr>
              <w:t>Relevant Consumer</w:t>
            </w:r>
          </w:p>
        </w:tc>
        <w:tc>
          <w:tcPr>
            <w:tcW w:w="2654" w:type="dxa"/>
            <w:shd w:val="clear" w:color="auto" w:fill="D9D9D9" w:themeFill="background1" w:themeFillShade="D9"/>
          </w:tcPr>
          <w:p w14:paraId="0F1E955E" w14:textId="77777777" w:rsidR="008019E7" w:rsidRPr="0046414B" w:rsidRDefault="008019E7" w:rsidP="0046414B">
            <w:pPr>
              <w:pStyle w:val="Small-TableswithinQuotes"/>
              <w:rPr>
                <w:b/>
                <w:bCs/>
              </w:rPr>
            </w:pPr>
            <w:r w:rsidRPr="0046414B">
              <w:rPr>
                <w:b/>
                <w:bCs/>
              </w:rPr>
              <w:t>Compensation payment</w:t>
            </w:r>
          </w:p>
        </w:tc>
        <w:tc>
          <w:tcPr>
            <w:tcW w:w="2829" w:type="dxa"/>
            <w:shd w:val="clear" w:color="auto" w:fill="D9D9D9" w:themeFill="background1" w:themeFillShade="D9"/>
          </w:tcPr>
          <w:p w14:paraId="2354EE4C" w14:textId="77777777" w:rsidR="008019E7" w:rsidRPr="0046414B" w:rsidRDefault="008019E7" w:rsidP="0046414B">
            <w:pPr>
              <w:pStyle w:val="Small-TableswithinQuotes"/>
              <w:rPr>
                <w:b/>
                <w:bCs/>
              </w:rPr>
            </w:pPr>
            <w:r w:rsidRPr="0046414B">
              <w:rPr>
                <w:b/>
                <w:bCs/>
              </w:rPr>
              <w:t>Non-economic</w:t>
            </w:r>
            <w:r w:rsidRPr="0046414B">
              <w:rPr>
                <w:b/>
                <w:bCs/>
                <w:spacing w:val="-16"/>
              </w:rPr>
              <w:t xml:space="preserve"> </w:t>
            </w:r>
            <w:r w:rsidRPr="0046414B">
              <w:rPr>
                <w:b/>
                <w:bCs/>
              </w:rPr>
              <w:t>loss payment</w:t>
            </w:r>
          </w:p>
        </w:tc>
      </w:tr>
      <w:tr w:rsidR="008019E7" w:rsidRPr="002C28DF" w14:paraId="424EE5C3" w14:textId="77777777" w:rsidTr="00F42AEE">
        <w:trPr>
          <w:trHeight w:val="666"/>
        </w:trPr>
        <w:tc>
          <w:tcPr>
            <w:tcW w:w="1598" w:type="dxa"/>
          </w:tcPr>
          <w:p w14:paraId="619E2AA9" w14:textId="77777777" w:rsidR="008019E7" w:rsidRPr="0046414B" w:rsidRDefault="008019E7" w:rsidP="0046414B">
            <w:pPr>
              <w:pStyle w:val="Small-TableswithinQuotes"/>
              <w:rPr>
                <w:b/>
                <w:bCs/>
                <w:spacing w:val="-5"/>
              </w:rPr>
            </w:pPr>
            <w:r w:rsidRPr="0046414B">
              <w:rPr>
                <w:b/>
                <w:bCs/>
                <w:spacing w:val="-5"/>
              </w:rPr>
              <w:t>RC</w:t>
            </w:r>
          </w:p>
        </w:tc>
        <w:tc>
          <w:tcPr>
            <w:tcW w:w="2654" w:type="dxa"/>
          </w:tcPr>
          <w:p w14:paraId="0BD77468" w14:textId="77777777" w:rsidR="008019E7" w:rsidRPr="002C28DF" w:rsidRDefault="008019E7" w:rsidP="0046414B">
            <w:pPr>
              <w:pStyle w:val="Small-TableswithinQuotes"/>
            </w:pPr>
            <w:r w:rsidRPr="002C28DF">
              <w:t>$5,990</w:t>
            </w:r>
          </w:p>
        </w:tc>
        <w:tc>
          <w:tcPr>
            <w:tcW w:w="2829" w:type="dxa"/>
          </w:tcPr>
          <w:p w14:paraId="6399798B" w14:textId="77777777" w:rsidR="008019E7" w:rsidRPr="002C28DF" w:rsidRDefault="008019E7" w:rsidP="0046414B">
            <w:pPr>
              <w:pStyle w:val="Small-TableswithinQuotes"/>
            </w:pPr>
            <w:r w:rsidRPr="002C28DF">
              <w:t>$17,500</w:t>
            </w:r>
          </w:p>
        </w:tc>
      </w:tr>
      <w:tr w:rsidR="008019E7" w:rsidRPr="002C28DF" w14:paraId="27484936" w14:textId="77777777" w:rsidTr="00F42AEE">
        <w:trPr>
          <w:trHeight w:val="666"/>
        </w:trPr>
        <w:tc>
          <w:tcPr>
            <w:tcW w:w="1598" w:type="dxa"/>
          </w:tcPr>
          <w:p w14:paraId="67D14F24" w14:textId="77777777" w:rsidR="008019E7" w:rsidRPr="0046414B" w:rsidRDefault="008019E7" w:rsidP="0046414B">
            <w:pPr>
              <w:pStyle w:val="Small-TableswithinQuotes"/>
              <w:rPr>
                <w:b/>
                <w:bCs/>
                <w:spacing w:val="-5"/>
              </w:rPr>
            </w:pPr>
            <w:r w:rsidRPr="0046414B">
              <w:rPr>
                <w:b/>
                <w:bCs/>
              </w:rPr>
              <w:t>CT and</w:t>
            </w:r>
            <w:r w:rsidRPr="0046414B">
              <w:rPr>
                <w:b/>
                <w:bCs/>
                <w:spacing w:val="-6"/>
              </w:rPr>
              <w:t xml:space="preserve"> </w:t>
            </w:r>
            <w:r w:rsidRPr="0046414B">
              <w:rPr>
                <w:b/>
                <w:bCs/>
                <w:spacing w:val="-5"/>
              </w:rPr>
              <w:t>MT</w:t>
            </w:r>
          </w:p>
        </w:tc>
        <w:tc>
          <w:tcPr>
            <w:tcW w:w="2654" w:type="dxa"/>
          </w:tcPr>
          <w:p w14:paraId="63D60818" w14:textId="77777777" w:rsidR="008019E7" w:rsidRPr="002C28DF" w:rsidRDefault="008019E7" w:rsidP="0046414B">
            <w:pPr>
              <w:pStyle w:val="Small-TableswithinQuotes"/>
            </w:pPr>
            <w:r w:rsidRPr="002C28DF">
              <w:t>-</w:t>
            </w:r>
          </w:p>
        </w:tc>
        <w:tc>
          <w:tcPr>
            <w:tcW w:w="2829" w:type="dxa"/>
          </w:tcPr>
          <w:p w14:paraId="25016FC4" w14:textId="77777777" w:rsidR="008019E7" w:rsidRPr="002C28DF" w:rsidRDefault="008019E7" w:rsidP="0046414B">
            <w:pPr>
              <w:pStyle w:val="Small-TableswithinQuotes"/>
            </w:pPr>
            <w:r w:rsidRPr="002C28DF">
              <w:t>$15,000</w:t>
            </w:r>
          </w:p>
        </w:tc>
      </w:tr>
      <w:tr w:rsidR="008019E7" w:rsidRPr="002C28DF" w14:paraId="76D2E55F" w14:textId="77777777" w:rsidTr="00F42AEE">
        <w:trPr>
          <w:trHeight w:val="666"/>
        </w:trPr>
        <w:tc>
          <w:tcPr>
            <w:tcW w:w="1598" w:type="dxa"/>
          </w:tcPr>
          <w:p w14:paraId="1B2D61C7" w14:textId="77777777" w:rsidR="008019E7" w:rsidRPr="0046414B" w:rsidRDefault="008019E7" w:rsidP="0046414B">
            <w:pPr>
              <w:pStyle w:val="Small-TableswithinQuotes"/>
              <w:rPr>
                <w:b/>
                <w:bCs/>
                <w:spacing w:val="-5"/>
              </w:rPr>
            </w:pPr>
            <w:r w:rsidRPr="0046414B">
              <w:rPr>
                <w:b/>
                <w:bCs/>
              </w:rPr>
              <w:t>SB and</w:t>
            </w:r>
            <w:r w:rsidRPr="0046414B">
              <w:rPr>
                <w:b/>
                <w:bCs/>
                <w:spacing w:val="-1"/>
              </w:rPr>
              <w:t xml:space="preserve"> </w:t>
            </w:r>
            <w:r w:rsidRPr="0046414B">
              <w:rPr>
                <w:b/>
                <w:bCs/>
                <w:spacing w:val="-5"/>
              </w:rPr>
              <w:t>KB</w:t>
            </w:r>
          </w:p>
        </w:tc>
        <w:tc>
          <w:tcPr>
            <w:tcW w:w="2654" w:type="dxa"/>
          </w:tcPr>
          <w:p w14:paraId="370CDBDF" w14:textId="17DA3802" w:rsidR="008019E7" w:rsidRPr="002C28DF" w:rsidRDefault="008019E7" w:rsidP="0046414B">
            <w:pPr>
              <w:pStyle w:val="Small-TableswithinQuotes"/>
            </w:pPr>
            <w:r w:rsidRPr="002C28DF">
              <w:t>$2</w:t>
            </w:r>
            <w:r w:rsidR="00126B22">
              <w:t>7</w:t>
            </w:r>
            <w:r w:rsidRPr="002C28DF">
              <w:t>,</w:t>
            </w:r>
            <w:r w:rsidR="00126B22">
              <w:t>650</w:t>
            </w:r>
          </w:p>
        </w:tc>
        <w:tc>
          <w:tcPr>
            <w:tcW w:w="2829" w:type="dxa"/>
          </w:tcPr>
          <w:p w14:paraId="035BC5EB" w14:textId="77777777" w:rsidR="008019E7" w:rsidRPr="002C28DF" w:rsidRDefault="008019E7" w:rsidP="0046414B">
            <w:pPr>
              <w:pStyle w:val="Small-TableswithinQuotes"/>
            </w:pPr>
            <w:r w:rsidRPr="002C28DF">
              <w:t>$17,500</w:t>
            </w:r>
          </w:p>
        </w:tc>
      </w:tr>
      <w:tr w:rsidR="008019E7" w:rsidRPr="002C28DF" w14:paraId="4E62582A" w14:textId="77777777" w:rsidTr="00F42AEE">
        <w:trPr>
          <w:trHeight w:val="669"/>
        </w:trPr>
        <w:tc>
          <w:tcPr>
            <w:tcW w:w="1598" w:type="dxa"/>
          </w:tcPr>
          <w:p w14:paraId="13B66939" w14:textId="77777777" w:rsidR="008019E7" w:rsidRPr="0046414B" w:rsidRDefault="008019E7" w:rsidP="0046414B">
            <w:pPr>
              <w:pStyle w:val="Small-TableswithinQuotes"/>
              <w:rPr>
                <w:b/>
                <w:bCs/>
                <w:spacing w:val="-5"/>
              </w:rPr>
            </w:pPr>
            <w:r w:rsidRPr="0046414B">
              <w:rPr>
                <w:b/>
                <w:bCs/>
                <w:spacing w:val="-5"/>
              </w:rPr>
              <w:t>MG</w:t>
            </w:r>
          </w:p>
        </w:tc>
        <w:tc>
          <w:tcPr>
            <w:tcW w:w="2654" w:type="dxa"/>
          </w:tcPr>
          <w:p w14:paraId="57EF5EFC" w14:textId="271203C3" w:rsidR="008019E7" w:rsidRPr="002C28DF" w:rsidRDefault="008019E7" w:rsidP="0046414B">
            <w:pPr>
              <w:pStyle w:val="Small-TableswithinQuotes"/>
            </w:pPr>
            <w:r w:rsidRPr="002C28DF">
              <w:t>$1</w:t>
            </w:r>
            <w:r w:rsidR="00126B22">
              <w:t>4</w:t>
            </w:r>
            <w:r w:rsidRPr="002C28DF">
              <w:t>,</w:t>
            </w:r>
            <w:r w:rsidR="00126B22">
              <w:t>393</w:t>
            </w:r>
          </w:p>
        </w:tc>
        <w:tc>
          <w:tcPr>
            <w:tcW w:w="2829" w:type="dxa"/>
          </w:tcPr>
          <w:p w14:paraId="151BDAFE" w14:textId="77777777" w:rsidR="008019E7" w:rsidRPr="002C28DF" w:rsidRDefault="008019E7" w:rsidP="0046414B">
            <w:pPr>
              <w:pStyle w:val="Small-TableswithinQuotes"/>
            </w:pPr>
            <w:r w:rsidRPr="002C28DF">
              <w:t>$17,500</w:t>
            </w:r>
          </w:p>
        </w:tc>
      </w:tr>
      <w:tr w:rsidR="008019E7" w:rsidRPr="002C28DF" w14:paraId="0F4C884F" w14:textId="77777777" w:rsidTr="00F42AEE">
        <w:trPr>
          <w:trHeight w:val="666"/>
        </w:trPr>
        <w:tc>
          <w:tcPr>
            <w:tcW w:w="1598" w:type="dxa"/>
          </w:tcPr>
          <w:p w14:paraId="2DDD1468" w14:textId="77777777" w:rsidR="008019E7" w:rsidRPr="0046414B" w:rsidRDefault="008019E7" w:rsidP="0046414B">
            <w:pPr>
              <w:pStyle w:val="Small-TableswithinQuotes"/>
              <w:rPr>
                <w:b/>
                <w:bCs/>
                <w:spacing w:val="-5"/>
              </w:rPr>
            </w:pPr>
            <w:r w:rsidRPr="0046414B">
              <w:rPr>
                <w:b/>
                <w:bCs/>
              </w:rPr>
              <w:lastRenderedPageBreak/>
              <w:t>TK</w:t>
            </w:r>
            <w:r w:rsidRPr="0046414B">
              <w:rPr>
                <w:b/>
                <w:bCs/>
                <w:spacing w:val="-1"/>
              </w:rPr>
              <w:t xml:space="preserve"> </w:t>
            </w:r>
            <w:r w:rsidRPr="0046414B">
              <w:rPr>
                <w:b/>
                <w:bCs/>
              </w:rPr>
              <w:t>and</w:t>
            </w:r>
            <w:r w:rsidRPr="0046414B">
              <w:rPr>
                <w:b/>
                <w:bCs/>
                <w:spacing w:val="-5"/>
              </w:rPr>
              <w:t xml:space="preserve"> MK</w:t>
            </w:r>
          </w:p>
        </w:tc>
        <w:tc>
          <w:tcPr>
            <w:tcW w:w="2654" w:type="dxa"/>
          </w:tcPr>
          <w:p w14:paraId="1564A8C2" w14:textId="77777777" w:rsidR="008019E7" w:rsidRPr="002C28DF" w:rsidRDefault="008019E7" w:rsidP="0046414B">
            <w:pPr>
              <w:pStyle w:val="Small-TableswithinQuotes"/>
            </w:pPr>
            <w:r w:rsidRPr="002C28DF">
              <w:t>-</w:t>
            </w:r>
          </w:p>
        </w:tc>
        <w:tc>
          <w:tcPr>
            <w:tcW w:w="2829" w:type="dxa"/>
          </w:tcPr>
          <w:p w14:paraId="51AADF2F" w14:textId="77777777" w:rsidR="008019E7" w:rsidRPr="002C28DF" w:rsidRDefault="008019E7" w:rsidP="0046414B">
            <w:pPr>
              <w:pStyle w:val="Small-TableswithinQuotes"/>
            </w:pPr>
            <w:r w:rsidRPr="002C28DF">
              <w:t>$15,000</w:t>
            </w:r>
          </w:p>
        </w:tc>
      </w:tr>
      <w:tr w:rsidR="008019E7" w:rsidRPr="002C28DF" w14:paraId="4096BABC" w14:textId="77777777" w:rsidTr="00F42AEE">
        <w:trPr>
          <w:trHeight w:val="666"/>
        </w:trPr>
        <w:tc>
          <w:tcPr>
            <w:tcW w:w="1598" w:type="dxa"/>
          </w:tcPr>
          <w:p w14:paraId="0615F002" w14:textId="77777777" w:rsidR="008019E7" w:rsidRPr="0046414B" w:rsidRDefault="008019E7" w:rsidP="0046414B">
            <w:pPr>
              <w:pStyle w:val="Small-TableswithinQuotes"/>
              <w:rPr>
                <w:b/>
                <w:bCs/>
                <w:spacing w:val="-5"/>
              </w:rPr>
            </w:pPr>
            <w:r w:rsidRPr="0046414B">
              <w:rPr>
                <w:b/>
                <w:bCs/>
                <w:spacing w:val="-5"/>
              </w:rPr>
              <w:t>LC</w:t>
            </w:r>
          </w:p>
        </w:tc>
        <w:tc>
          <w:tcPr>
            <w:tcW w:w="2654" w:type="dxa"/>
          </w:tcPr>
          <w:p w14:paraId="12A51DC6" w14:textId="6B57ADD5" w:rsidR="008019E7" w:rsidRPr="002C28DF" w:rsidRDefault="008019E7" w:rsidP="0046414B">
            <w:pPr>
              <w:pStyle w:val="Small-TableswithinQuotes"/>
            </w:pPr>
            <w:r w:rsidRPr="002C28DF">
              <w:t>$</w:t>
            </w:r>
            <w:r w:rsidR="00126B22">
              <w:t>24</w:t>
            </w:r>
            <w:r w:rsidRPr="002C28DF">
              <w:t>,</w:t>
            </w:r>
            <w:r w:rsidR="00126B22">
              <w:t>4</w:t>
            </w:r>
            <w:r w:rsidRPr="002C28DF">
              <w:t>08</w:t>
            </w:r>
          </w:p>
        </w:tc>
        <w:tc>
          <w:tcPr>
            <w:tcW w:w="2829" w:type="dxa"/>
          </w:tcPr>
          <w:p w14:paraId="6373EC60" w14:textId="77777777" w:rsidR="008019E7" w:rsidRPr="002C28DF" w:rsidRDefault="008019E7" w:rsidP="0046414B">
            <w:pPr>
              <w:pStyle w:val="Small-TableswithinQuotes"/>
            </w:pPr>
            <w:r w:rsidRPr="002C28DF">
              <w:t>$15,000</w:t>
            </w:r>
          </w:p>
        </w:tc>
      </w:tr>
      <w:tr w:rsidR="008019E7" w:rsidRPr="002C28DF" w14:paraId="1737A562" w14:textId="77777777" w:rsidTr="00F42AEE">
        <w:trPr>
          <w:trHeight w:val="669"/>
        </w:trPr>
        <w:tc>
          <w:tcPr>
            <w:tcW w:w="1598" w:type="dxa"/>
          </w:tcPr>
          <w:p w14:paraId="7186A086" w14:textId="77777777" w:rsidR="008019E7" w:rsidRPr="0046414B" w:rsidRDefault="008019E7" w:rsidP="0046414B">
            <w:pPr>
              <w:pStyle w:val="Small-TableswithinQuotes"/>
              <w:rPr>
                <w:b/>
                <w:bCs/>
                <w:spacing w:val="-5"/>
              </w:rPr>
            </w:pPr>
            <w:r w:rsidRPr="0046414B">
              <w:rPr>
                <w:b/>
                <w:bCs/>
                <w:spacing w:val="-5"/>
              </w:rPr>
              <w:t>EG</w:t>
            </w:r>
          </w:p>
        </w:tc>
        <w:tc>
          <w:tcPr>
            <w:tcW w:w="2654" w:type="dxa"/>
          </w:tcPr>
          <w:p w14:paraId="54C939E7" w14:textId="3A0BE3B5" w:rsidR="008019E7" w:rsidRPr="002C28DF" w:rsidRDefault="008019E7" w:rsidP="0046414B">
            <w:pPr>
              <w:pStyle w:val="Small-TableswithinQuotes"/>
            </w:pPr>
            <w:r w:rsidRPr="002C28DF">
              <w:t>$</w:t>
            </w:r>
            <w:r w:rsidR="00BC517E">
              <w:t>9</w:t>
            </w:r>
            <w:r w:rsidRPr="002C28DF">
              <w:t>,</w:t>
            </w:r>
            <w:r w:rsidR="00BC517E">
              <w:t>850</w:t>
            </w:r>
          </w:p>
        </w:tc>
        <w:tc>
          <w:tcPr>
            <w:tcW w:w="2829" w:type="dxa"/>
          </w:tcPr>
          <w:p w14:paraId="46BF2B42" w14:textId="77777777" w:rsidR="008019E7" w:rsidRPr="002C28DF" w:rsidRDefault="008019E7" w:rsidP="0046414B">
            <w:pPr>
              <w:pStyle w:val="Small-TableswithinQuotes"/>
            </w:pPr>
            <w:r w:rsidRPr="002C28DF">
              <w:t>$10,000</w:t>
            </w:r>
          </w:p>
        </w:tc>
      </w:tr>
      <w:tr w:rsidR="008019E7" w:rsidRPr="002C28DF" w14:paraId="3C3AF49A" w14:textId="77777777" w:rsidTr="00F42AEE">
        <w:trPr>
          <w:trHeight w:val="666"/>
        </w:trPr>
        <w:tc>
          <w:tcPr>
            <w:tcW w:w="1598" w:type="dxa"/>
          </w:tcPr>
          <w:p w14:paraId="4CD06755" w14:textId="77777777" w:rsidR="008019E7" w:rsidRPr="0046414B" w:rsidRDefault="008019E7" w:rsidP="0046414B">
            <w:pPr>
              <w:pStyle w:val="Small-TableswithinQuotes"/>
              <w:rPr>
                <w:b/>
                <w:bCs/>
              </w:rPr>
            </w:pPr>
            <w:r w:rsidRPr="0046414B">
              <w:rPr>
                <w:b/>
                <w:bCs/>
                <w:u w:val="single"/>
              </w:rPr>
              <w:t>TOTAL</w:t>
            </w:r>
          </w:p>
        </w:tc>
        <w:tc>
          <w:tcPr>
            <w:tcW w:w="2654" w:type="dxa"/>
          </w:tcPr>
          <w:p w14:paraId="721913B3" w14:textId="752B570A" w:rsidR="008019E7" w:rsidRPr="0046414B" w:rsidRDefault="008019E7" w:rsidP="0046414B">
            <w:pPr>
              <w:pStyle w:val="Small-TableswithinQuotes"/>
              <w:rPr>
                <w:b/>
                <w:bCs/>
              </w:rPr>
            </w:pPr>
            <w:r w:rsidRPr="0046414B">
              <w:rPr>
                <w:b/>
                <w:bCs/>
                <w:u w:val="single"/>
              </w:rPr>
              <w:t>$</w:t>
            </w:r>
            <w:r w:rsidR="00BC517E" w:rsidRPr="0046414B">
              <w:rPr>
                <w:b/>
                <w:bCs/>
                <w:u w:val="single"/>
              </w:rPr>
              <w:t>82,291</w:t>
            </w:r>
          </w:p>
        </w:tc>
        <w:tc>
          <w:tcPr>
            <w:tcW w:w="2829" w:type="dxa"/>
          </w:tcPr>
          <w:p w14:paraId="4715A27A" w14:textId="77777777" w:rsidR="008019E7" w:rsidRPr="00EE3709" w:rsidRDefault="008019E7" w:rsidP="0046414B">
            <w:pPr>
              <w:pStyle w:val="Small-TableswithinQuotes"/>
              <w:rPr>
                <w:b/>
                <w:bCs/>
              </w:rPr>
            </w:pPr>
            <w:r w:rsidRPr="00EE3709">
              <w:rPr>
                <w:b/>
                <w:bCs/>
                <w:u w:val="single"/>
              </w:rPr>
              <w:t>$107,500</w:t>
            </w:r>
          </w:p>
        </w:tc>
      </w:tr>
    </w:tbl>
    <w:p w14:paraId="49628F63" w14:textId="77777777" w:rsidR="001D0895" w:rsidRPr="00B63ACF" w:rsidRDefault="001D0895" w:rsidP="001D0895">
      <w:pPr>
        <w:pStyle w:val="ParaNumbering"/>
        <w:numPr>
          <w:ilvl w:val="0"/>
          <w:numId w:val="0"/>
        </w:numPr>
        <w:rPr>
          <w:highlight w:val="yellow"/>
        </w:rPr>
      </w:pPr>
    </w:p>
    <w:p w14:paraId="15D1D07A" w14:textId="36510279" w:rsidR="009A15AA" w:rsidRDefault="007C3488" w:rsidP="007C3488">
      <w:pPr>
        <w:pStyle w:val="ParaNumbering"/>
        <w:numPr>
          <w:ilvl w:val="0"/>
          <w:numId w:val="0"/>
        </w:numPr>
        <w:ind w:hanging="720"/>
      </w:pPr>
      <w:r>
        <w:rPr>
          <w:sz w:val="20"/>
        </w:rPr>
        <w:t>108</w:t>
      </w:r>
      <w:r>
        <w:rPr>
          <w:sz w:val="20"/>
        </w:rPr>
        <w:tab/>
      </w:r>
      <w:r w:rsidR="009A15AA" w:rsidRPr="00264F34">
        <w:t xml:space="preserve">Mazda </w:t>
      </w:r>
      <w:r w:rsidR="001261E5" w:rsidRPr="00264F34">
        <w:t xml:space="preserve">instead </w:t>
      </w:r>
      <w:r w:rsidR="009A15AA" w:rsidRPr="00264F34">
        <w:t xml:space="preserve">agreed to </w:t>
      </w:r>
      <w:r w:rsidR="001261E5" w:rsidRPr="00264F34">
        <w:t xml:space="preserve">make an </w:t>
      </w:r>
      <w:r w:rsidR="00913951" w:rsidRPr="00264F34">
        <w:t>“</w:t>
      </w:r>
      <w:r w:rsidR="001261E5" w:rsidRPr="00264F34">
        <w:t>ex gratia payment</w:t>
      </w:r>
      <w:r w:rsidR="00913951" w:rsidRPr="00264F34">
        <w:t>”</w:t>
      </w:r>
      <w:r w:rsidR="001261E5" w:rsidRPr="00264F34">
        <w:t xml:space="preserve"> of </w:t>
      </w:r>
      <w:r w:rsidR="009A15AA" w:rsidRPr="00264F34">
        <w:t xml:space="preserve">$3000 </w:t>
      </w:r>
      <w:r w:rsidR="001261E5" w:rsidRPr="00264F34">
        <w:t xml:space="preserve">to each consumer </w:t>
      </w:r>
      <w:r w:rsidR="007D79CD" w:rsidRPr="00264F34">
        <w:t>for</w:t>
      </w:r>
      <w:r w:rsidR="007D79CD" w:rsidRPr="00952E1F">
        <w:t xml:space="preserve"> each vehicle by way of </w:t>
      </w:r>
      <w:proofErr w:type="gramStart"/>
      <w:r w:rsidR="007D79CD" w:rsidRPr="00952E1F">
        <w:t>undertaking</w:t>
      </w:r>
      <w:r w:rsidR="00DE247E" w:rsidRPr="00952E1F">
        <w:t>, but</w:t>
      </w:r>
      <w:proofErr w:type="gramEnd"/>
      <w:r w:rsidR="00DE247E" w:rsidRPr="00952E1F">
        <w:t xml:space="preserve"> d</w:t>
      </w:r>
      <w:r w:rsidR="00070120">
        <w:t xml:space="preserve">id </w:t>
      </w:r>
      <w:r w:rsidR="00DE247E" w:rsidRPr="00952E1F">
        <w:t xml:space="preserve">not agree that </w:t>
      </w:r>
      <w:r w:rsidR="009B589E" w:rsidRPr="00952E1F">
        <w:t>compensation for non-economic loss can be awarded under s 239</w:t>
      </w:r>
      <w:r w:rsidR="00952E1F" w:rsidRPr="00952E1F">
        <w:t xml:space="preserve"> of the ACL.</w:t>
      </w:r>
      <w:r w:rsidR="00E74B26">
        <w:t xml:space="preserve">  On the contrary, it submitted that there is no power unde</w:t>
      </w:r>
      <w:r w:rsidR="005A3004">
        <w:t>r</w:t>
      </w:r>
      <w:r w:rsidR="00E74B26">
        <w:t xml:space="preserve"> that section to make such an order.</w:t>
      </w:r>
    </w:p>
    <w:p w14:paraId="7FA0D8DB" w14:textId="5E4FCBF9" w:rsidR="00952E1F" w:rsidRDefault="007C3488" w:rsidP="007C3488">
      <w:pPr>
        <w:pStyle w:val="ParaNumbering"/>
        <w:numPr>
          <w:ilvl w:val="0"/>
          <w:numId w:val="0"/>
        </w:numPr>
        <w:ind w:hanging="720"/>
      </w:pPr>
      <w:r>
        <w:rPr>
          <w:sz w:val="20"/>
        </w:rPr>
        <w:t>109</w:t>
      </w:r>
      <w:r>
        <w:rPr>
          <w:sz w:val="20"/>
        </w:rPr>
        <w:tab/>
      </w:r>
      <w:r w:rsidR="00952E1F">
        <w:t>S</w:t>
      </w:r>
      <w:r w:rsidR="003A09AA">
        <w:t xml:space="preserve">ection 239 </w:t>
      </w:r>
      <w:r w:rsidR="00245FEA">
        <w:t xml:space="preserve">of the ACL </w:t>
      </w:r>
      <w:r w:rsidR="00E07CC7">
        <w:t xml:space="preserve">relevantly </w:t>
      </w:r>
      <w:r w:rsidR="00245FEA">
        <w:t>provides</w:t>
      </w:r>
      <w:r w:rsidR="001B36C4">
        <w:t xml:space="preserve"> </w:t>
      </w:r>
      <w:r w:rsidR="00C10B16">
        <w:t xml:space="preserve">that if a person has engaged in conduct in contravention of </w:t>
      </w:r>
      <w:r w:rsidR="00A86E2A">
        <w:t>applicable</w:t>
      </w:r>
      <w:r w:rsidR="00A712DD">
        <w:t xml:space="preserve"> provision</w:t>
      </w:r>
      <w:r w:rsidR="00A86E2A">
        <w:t>s</w:t>
      </w:r>
      <w:r w:rsidR="00A712DD">
        <w:t xml:space="preserve"> of the ACL “a court may, on the application of the regulator, make such order or orders </w:t>
      </w:r>
      <w:r w:rsidR="0036651D">
        <w:t>(</w:t>
      </w:r>
      <w:r w:rsidR="0036651D" w:rsidRPr="00252564">
        <w:t>other than an award of damages</w:t>
      </w:r>
      <w:r w:rsidR="0036651D">
        <w:t xml:space="preserve">) as the court thinks appropriate” against </w:t>
      </w:r>
      <w:r w:rsidR="00A86E2A">
        <w:t xml:space="preserve">the person who engaged in the contravening conduct.  </w:t>
      </w:r>
      <w:r w:rsidR="00237CA0">
        <w:t xml:space="preserve">An order made under s 239 </w:t>
      </w:r>
      <w:r w:rsidR="00A86E2A">
        <w:t>must</w:t>
      </w:r>
      <w:r w:rsidR="00237CA0">
        <w:t xml:space="preserve"> </w:t>
      </w:r>
      <w:r w:rsidR="00D328FD">
        <w:t xml:space="preserve">be directed towards </w:t>
      </w:r>
      <w:r w:rsidR="00237CA0">
        <w:t>redress</w:t>
      </w:r>
      <w:r w:rsidR="00D328FD">
        <w:t>ing</w:t>
      </w:r>
      <w:r w:rsidR="00237CA0">
        <w:t>, prevent</w:t>
      </w:r>
      <w:r w:rsidR="00D328FD">
        <w:t>ing</w:t>
      </w:r>
      <w:r w:rsidR="00237CA0">
        <w:t>, or reduc</w:t>
      </w:r>
      <w:r w:rsidR="00D328FD">
        <w:t>ing</w:t>
      </w:r>
      <w:r w:rsidR="00237CA0">
        <w:t xml:space="preserve"> </w:t>
      </w:r>
      <w:r w:rsidR="002E5F5C">
        <w:t>the loss or</w:t>
      </w:r>
      <w:r w:rsidR="00D328FD">
        <w:t xml:space="preserve"> damage suffered by non-party consumers</w:t>
      </w:r>
      <w:r w:rsidR="00A435DA">
        <w:t xml:space="preserve"> in relation to the contravening conduct</w:t>
      </w:r>
      <w:r w:rsidR="00D328FD">
        <w:t xml:space="preserve">.  </w:t>
      </w:r>
    </w:p>
    <w:p w14:paraId="49296C8E" w14:textId="7CB8F304" w:rsidR="005A3004" w:rsidRPr="00B63ACF" w:rsidRDefault="007C3488" w:rsidP="007C3488">
      <w:pPr>
        <w:pStyle w:val="ParaNumbering"/>
        <w:numPr>
          <w:ilvl w:val="0"/>
          <w:numId w:val="0"/>
        </w:numPr>
        <w:ind w:hanging="720"/>
      </w:pPr>
      <w:r w:rsidRPr="00B63ACF">
        <w:rPr>
          <w:sz w:val="20"/>
        </w:rPr>
        <w:t>110</w:t>
      </w:r>
      <w:r w:rsidRPr="00B63ACF">
        <w:rPr>
          <w:sz w:val="20"/>
        </w:rPr>
        <w:tab/>
      </w:r>
      <w:r w:rsidR="00BF5980" w:rsidRPr="00B63ACF">
        <w:t xml:space="preserve">The </w:t>
      </w:r>
      <w:r w:rsidR="00DE35D3">
        <w:t xml:space="preserve">parties </w:t>
      </w:r>
      <w:r w:rsidR="003765CA">
        <w:t xml:space="preserve">made submissions on the legal </w:t>
      </w:r>
      <w:r w:rsidR="00BF5980" w:rsidRPr="00B63ACF">
        <w:t xml:space="preserve">question </w:t>
      </w:r>
      <w:r w:rsidR="003765CA">
        <w:t xml:space="preserve">of </w:t>
      </w:r>
      <w:r w:rsidR="00BF5980" w:rsidRPr="00B63ACF">
        <w:t>whether</w:t>
      </w:r>
      <w:r w:rsidR="005A3004" w:rsidRPr="00B63ACF">
        <w:t xml:space="preserve"> </w:t>
      </w:r>
      <w:r w:rsidR="003765CA">
        <w:t xml:space="preserve">s 239 of the ACL </w:t>
      </w:r>
      <w:r w:rsidR="00BF5980" w:rsidRPr="00B63ACF">
        <w:t xml:space="preserve">permits the </w:t>
      </w:r>
      <w:r w:rsidR="008744BA" w:rsidRPr="00B63ACF">
        <w:t>c</w:t>
      </w:r>
      <w:r w:rsidR="00BF5980" w:rsidRPr="00B63ACF">
        <w:t xml:space="preserve">ourt </w:t>
      </w:r>
      <w:r w:rsidR="005A3004" w:rsidRPr="00B63ACF">
        <w:t xml:space="preserve">to make </w:t>
      </w:r>
      <w:r w:rsidR="00BF5980" w:rsidRPr="00B63ACF">
        <w:t xml:space="preserve">an order </w:t>
      </w:r>
      <w:r w:rsidR="009F680D" w:rsidRPr="00B63ACF">
        <w:t xml:space="preserve">in favour of </w:t>
      </w:r>
      <w:r w:rsidR="004049D2" w:rsidRPr="00B63ACF">
        <w:t>a non-party</w:t>
      </w:r>
      <w:r w:rsidR="00252564" w:rsidRPr="00B63ACF">
        <w:t xml:space="preserve"> consumer</w:t>
      </w:r>
      <w:r w:rsidR="004049D2" w:rsidRPr="00B63ACF">
        <w:t xml:space="preserve"> </w:t>
      </w:r>
      <w:r w:rsidR="009F680D" w:rsidRPr="00B63ACF">
        <w:t>for the payment of a sum representing</w:t>
      </w:r>
      <w:r w:rsidR="004049D2" w:rsidRPr="00B63ACF">
        <w:t xml:space="preserve"> non-economic loss</w:t>
      </w:r>
      <w:r w:rsidR="006032B5">
        <w:t>.  The ACCC contended that the provision does permit the making of such an order.  Mazda, on the other hand, contended that such an order is impermissible because it is an “award of da</w:t>
      </w:r>
      <w:r w:rsidR="00654C0B">
        <w:t>mages”</w:t>
      </w:r>
      <w:r w:rsidR="00144C7A" w:rsidRPr="00B63ACF">
        <w:t>.</w:t>
      </w:r>
      <w:r w:rsidR="00654C0B">
        <w:t xml:space="preserve">  It is not necessary to decide that question in the circumstances of this case</w:t>
      </w:r>
      <w:r w:rsidR="00FD2D3A" w:rsidRPr="00B63ACF">
        <w:t xml:space="preserve"> </w:t>
      </w:r>
      <w:r w:rsidR="00321A55">
        <w:t>because</w:t>
      </w:r>
      <w:r w:rsidR="00FD2D3A" w:rsidRPr="00B63ACF">
        <w:t xml:space="preserve"> there is insufficient evidence </w:t>
      </w:r>
      <w:r w:rsidR="00513FD1" w:rsidRPr="00B63ACF">
        <w:t xml:space="preserve">before me </w:t>
      </w:r>
      <w:r w:rsidR="003F4690" w:rsidRPr="00B63ACF">
        <w:t>to justify</w:t>
      </w:r>
      <w:r w:rsidR="00513FD1" w:rsidRPr="00B63ACF">
        <w:t xml:space="preserve"> </w:t>
      </w:r>
      <w:r w:rsidR="003D6E83" w:rsidRPr="00B63ACF">
        <w:t xml:space="preserve">payments </w:t>
      </w:r>
      <w:r w:rsidR="00513FD1" w:rsidRPr="00B63ACF">
        <w:t>in th</w:t>
      </w:r>
      <w:r w:rsidR="00646A05" w:rsidRPr="00B63ACF">
        <w:t>ose</w:t>
      </w:r>
      <w:r w:rsidR="00513FD1" w:rsidRPr="00B63ACF">
        <w:t xml:space="preserve"> </w:t>
      </w:r>
      <w:r w:rsidR="00646A05" w:rsidRPr="00B63ACF">
        <w:t xml:space="preserve">varying </w:t>
      </w:r>
      <w:r w:rsidR="00513FD1" w:rsidRPr="00B63ACF">
        <w:t>sum</w:t>
      </w:r>
      <w:r w:rsidR="00646A05" w:rsidRPr="00B63ACF">
        <w:t>s</w:t>
      </w:r>
      <w:r w:rsidR="00513FD1" w:rsidRPr="00B63ACF">
        <w:t xml:space="preserve"> to each consumer</w:t>
      </w:r>
      <w:r w:rsidR="003F4690" w:rsidRPr="00B63ACF">
        <w:t xml:space="preserve">.  </w:t>
      </w:r>
      <w:r w:rsidR="00904E0D" w:rsidRPr="00B63ACF">
        <w:t xml:space="preserve">Even </w:t>
      </w:r>
      <w:r w:rsidR="003E4A62" w:rsidRPr="00B63ACF">
        <w:t>recognising that calculating compensation for emotional distress is not an exact science, i</w:t>
      </w:r>
      <w:r w:rsidR="003F4690" w:rsidRPr="00B63ACF">
        <w:t xml:space="preserve">t seems to me </w:t>
      </w:r>
      <w:r w:rsidR="00646A05" w:rsidRPr="00B63ACF">
        <w:t xml:space="preserve">that the sums contemplated </w:t>
      </w:r>
      <w:r w:rsidR="003E4A62" w:rsidRPr="00B63ACF">
        <w:t xml:space="preserve">here </w:t>
      </w:r>
      <w:r w:rsidR="00111AFB" w:rsidRPr="00B63ACF">
        <w:t xml:space="preserve">to be paid to non-parties </w:t>
      </w:r>
      <w:r w:rsidR="00646A05" w:rsidRPr="00B63ACF">
        <w:t>are speculative</w:t>
      </w:r>
      <w:r w:rsidR="00B5230D" w:rsidRPr="00B63ACF">
        <w:t xml:space="preserve">, not </w:t>
      </w:r>
      <w:r w:rsidR="00C42BB5" w:rsidRPr="00B63ACF">
        <w:t xml:space="preserve">“clearly identifiable”.  Compare </w:t>
      </w:r>
      <w:r w:rsidR="002E2CF9" w:rsidRPr="00B63ACF">
        <w:rPr>
          <w:i/>
          <w:iCs/>
        </w:rPr>
        <w:t xml:space="preserve">Australian Competition and Consumer Commission v </w:t>
      </w:r>
      <w:proofErr w:type="spellStart"/>
      <w:r w:rsidR="002E2CF9" w:rsidRPr="00B63ACF">
        <w:rPr>
          <w:i/>
          <w:iCs/>
        </w:rPr>
        <w:t>Clinica</w:t>
      </w:r>
      <w:proofErr w:type="spellEnd"/>
      <w:r w:rsidR="002E2CF9" w:rsidRPr="00B63ACF">
        <w:rPr>
          <w:i/>
          <w:iCs/>
        </w:rPr>
        <w:t xml:space="preserve"> Internationale Pty Ltd (No 2</w:t>
      </w:r>
      <w:r w:rsidR="002E2CF9" w:rsidRPr="00B63ACF">
        <w:t>) [2016] FCA 62 at [255]</w:t>
      </w:r>
      <w:r w:rsidR="00FE1D74" w:rsidRPr="00B63ACF">
        <w:t xml:space="preserve"> (Mortimer J)</w:t>
      </w:r>
      <w:r w:rsidR="009F41C8" w:rsidRPr="00B63ACF">
        <w:t xml:space="preserve"> (“Although the text of s. 239 indicates non-party redress orders are not intended to operate as a substitute for damages, it is clear they are intended to provide a limited form of redress where loss or damage is clearly identifiable, such as in the case of a refund for goods purchased or services paid for, in circumstances of contravening conduct</w:t>
      </w:r>
      <w:r w:rsidR="00FE1D74" w:rsidRPr="00B63ACF">
        <w:t xml:space="preserve">”). </w:t>
      </w:r>
      <w:r w:rsidR="005B514A" w:rsidRPr="00B63ACF">
        <w:t xml:space="preserve"> On that basis, I decline to make </w:t>
      </w:r>
      <w:r w:rsidR="005B514A" w:rsidRPr="00B63ACF">
        <w:lastRenderedPageBreak/>
        <w:t>the orders that the ACCC seeks in that regard.</w:t>
      </w:r>
      <w:r w:rsidR="00B57AB9" w:rsidRPr="00B63ACF">
        <w:t xml:space="preserve">  I will, however, make orders </w:t>
      </w:r>
      <w:r w:rsidR="008C0B21">
        <w:t>to which Ma</w:t>
      </w:r>
      <w:r w:rsidR="0045596A">
        <w:t xml:space="preserve">zda consented </w:t>
      </w:r>
      <w:r w:rsidR="00876D11" w:rsidRPr="00B63ACF">
        <w:t xml:space="preserve">directing </w:t>
      </w:r>
      <w:r w:rsidR="0045596A">
        <w:t>it</w:t>
      </w:r>
      <w:r w:rsidR="00876D11" w:rsidRPr="00B63ACF">
        <w:t xml:space="preserve"> to pay the</w:t>
      </w:r>
      <w:r w:rsidR="00E04CDF" w:rsidRPr="00B63ACF">
        <w:t xml:space="preserve"> “compensation payment” amounts.  </w:t>
      </w:r>
    </w:p>
    <w:p w14:paraId="042CB451" w14:textId="7C88A46B" w:rsidR="008273BA" w:rsidRDefault="007C3488" w:rsidP="000C7B43">
      <w:pPr>
        <w:pStyle w:val="Heading1"/>
      </w:pPr>
      <w:r>
        <w:rPr>
          <w:caps w:val="0"/>
        </w:rPr>
        <w:t>COSTS</w:t>
      </w:r>
    </w:p>
    <w:p w14:paraId="0DE0E3F4" w14:textId="2682A321" w:rsidR="00852B6F" w:rsidRDefault="007C3488" w:rsidP="007C3488">
      <w:pPr>
        <w:pStyle w:val="ParaNumbering"/>
        <w:numPr>
          <w:ilvl w:val="0"/>
          <w:numId w:val="0"/>
        </w:numPr>
        <w:ind w:hanging="720"/>
      </w:pPr>
      <w:r>
        <w:rPr>
          <w:sz w:val="20"/>
        </w:rPr>
        <w:t>111</w:t>
      </w:r>
      <w:r>
        <w:rPr>
          <w:sz w:val="20"/>
        </w:rPr>
        <w:tab/>
      </w:r>
      <w:r w:rsidR="00F20068">
        <w:t xml:space="preserve">The </w:t>
      </w:r>
      <w:r w:rsidR="00261A27">
        <w:t xml:space="preserve">ACCC sought an order that Mazda </w:t>
      </w:r>
      <w:r w:rsidR="00AF1DB3">
        <w:t xml:space="preserve">be liable to pay to the Commonwealth of Australia 70% of the ACCC’s total costs of the proceeding up to and including the date of making these </w:t>
      </w:r>
      <w:r w:rsidR="00707520">
        <w:t>orders</w:t>
      </w:r>
      <w:r w:rsidR="00892B5F">
        <w:t xml:space="preserve"> in a lump sum in an amount to be determined by the Registrar and in accordance with such directions as the Registrar considers appropriate</w:t>
      </w:r>
      <w:r w:rsidR="00707912">
        <w:t>.</w:t>
      </w:r>
    </w:p>
    <w:p w14:paraId="3CD9A51F" w14:textId="0BD2869B" w:rsidR="005E186E" w:rsidRDefault="007C3488" w:rsidP="007C3488">
      <w:pPr>
        <w:pStyle w:val="ParaNumbering"/>
        <w:numPr>
          <w:ilvl w:val="0"/>
          <w:numId w:val="0"/>
        </w:numPr>
        <w:ind w:hanging="720"/>
      </w:pPr>
      <w:r>
        <w:rPr>
          <w:sz w:val="20"/>
        </w:rPr>
        <w:t>112</w:t>
      </w:r>
      <w:r>
        <w:rPr>
          <w:sz w:val="20"/>
        </w:rPr>
        <w:tab/>
      </w:r>
      <w:r w:rsidR="00707912">
        <w:t>The p</w:t>
      </w:r>
      <w:r w:rsidR="00852B6F">
        <w:t xml:space="preserve">arties are </w:t>
      </w:r>
      <w:r w:rsidR="002D2EC8">
        <w:t>agreed</w:t>
      </w:r>
      <w:r w:rsidR="00852B6F">
        <w:t xml:space="preserve"> as to </w:t>
      </w:r>
      <w:r w:rsidR="006854B1">
        <w:t xml:space="preserve">the </w:t>
      </w:r>
      <w:r w:rsidR="00852B6F">
        <w:t>apportionment</w:t>
      </w:r>
      <w:r w:rsidR="00B4703A">
        <w:t>.</w:t>
      </w:r>
      <w:r w:rsidR="00B27CB0">
        <w:t xml:space="preserve"> </w:t>
      </w:r>
    </w:p>
    <w:p w14:paraId="3E2C5725" w14:textId="129F7EDC" w:rsidR="005E186E" w:rsidRDefault="007C3488" w:rsidP="007C3488">
      <w:pPr>
        <w:pStyle w:val="ParaNumbering"/>
        <w:numPr>
          <w:ilvl w:val="0"/>
          <w:numId w:val="0"/>
        </w:numPr>
        <w:ind w:hanging="720"/>
      </w:pPr>
      <w:r>
        <w:rPr>
          <w:sz w:val="20"/>
        </w:rPr>
        <w:t>113</w:t>
      </w:r>
      <w:r>
        <w:rPr>
          <w:sz w:val="20"/>
        </w:rPr>
        <w:tab/>
      </w:r>
      <w:r w:rsidR="003B2768">
        <w:t xml:space="preserve">I will accordingly </w:t>
      </w:r>
      <w:r w:rsidR="001E6E53">
        <w:t xml:space="preserve">make the following </w:t>
      </w:r>
      <w:r w:rsidR="003B2768">
        <w:t xml:space="preserve">order as </w:t>
      </w:r>
      <w:r w:rsidR="001E6E53">
        <w:t>to costs</w:t>
      </w:r>
      <w:r w:rsidR="005E186E">
        <w:t>:</w:t>
      </w:r>
    </w:p>
    <w:p w14:paraId="69EF032A" w14:textId="11595CFE" w:rsidR="00B63ACF" w:rsidRDefault="00B63ACF" w:rsidP="00B63ACF">
      <w:pPr>
        <w:pStyle w:val="Quote1"/>
      </w:pPr>
      <w:r w:rsidRPr="005E186E">
        <w:t>Mazda pay to the Commonwealth of Australia 70% of the ACCC’s total costs of the proceeding up to and including the date of making these orders in a lump sum in an amount to be determined by the Registrar and in accordance with such directions as the Registrar considers appropriate, such costs to be payable forthwith after fixing.</w:t>
      </w:r>
    </w:p>
    <w:p w14:paraId="6C26EBB6" w14:textId="77777777" w:rsidR="00B63ACF" w:rsidRDefault="00B63ACF" w:rsidP="00815065">
      <w:pPr>
        <w:pStyle w:val="BodyText"/>
      </w:pPr>
      <w:bookmarkStart w:id="45" w:name="Certification"/>
    </w:p>
    <w:tbl>
      <w:tblPr>
        <w:tblW w:w="0" w:type="auto"/>
        <w:tblLook w:val="04A0" w:firstRow="1" w:lastRow="0" w:firstColumn="1" w:lastColumn="0" w:noHBand="0" w:noVBand="1"/>
      </w:tblPr>
      <w:tblGrid>
        <w:gridCol w:w="3794"/>
      </w:tblGrid>
      <w:tr w:rsidR="00B63ACF" w:rsidRPr="00B63ACF" w14:paraId="6DDB9028" w14:textId="77777777">
        <w:tc>
          <w:tcPr>
            <w:tcW w:w="3794" w:type="dxa"/>
            <w:shd w:val="clear" w:color="auto" w:fill="auto"/>
          </w:tcPr>
          <w:p w14:paraId="2C2DA339" w14:textId="1A5CEDBF" w:rsidR="00B63ACF" w:rsidRPr="00B63ACF" w:rsidRDefault="00B63ACF" w:rsidP="00B63ACF">
            <w:pPr>
              <w:pStyle w:val="Normal1linespace"/>
            </w:pPr>
            <w:r w:rsidRPr="00B63ACF">
              <w:t xml:space="preserve">I certify that the preceding </w:t>
            </w:r>
            <w:bookmarkStart w:id="46" w:name="NumberWord"/>
            <w:r w:rsidR="00B60324">
              <w:t>one hundred and thirteen</w:t>
            </w:r>
            <w:bookmarkEnd w:id="46"/>
            <w:r w:rsidRPr="00B63ACF">
              <w:t xml:space="preserve"> (</w:t>
            </w:r>
            <w:bookmarkStart w:id="47" w:name="NumberNumeral"/>
            <w:r w:rsidR="00B60324">
              <w:t>113</w:t>
            </w:r>
            <w:bookmarkEnd w:id="47"/>
            <w:r w:rsidRPr="00B63ACF">
              <w:t xml:space="preserve">) numbered </w:t>
            </w:r>
            <w:bookmarkStart w:id="48" w:name="CertPara"/>
            <w:r w:rsidR="00B60324">
              <w:t>paragraphs are</w:t>
            </w:r>
            <w:bookmarkEnd w:id="48"/>
            <w:r w:rsidRPr="00B63ACF">
              <w:t xml:space="preserve"> a true copy of the Reasons for Judgment of </w:t>
            </w:r>
            <w:bookmarkStart w:id="49" w:name="bkHonourable"/>
            <w:r w:rsidRPr="00B63ACF">
              <w:t xml:space="preserve">the Honourable </w:t>
            </w:r>
            <w:bookmarkStart w:id="50" w:name="Justice"/>
            <w:bookmarkEnd w:id="49"/>
            <w:r>
              <w:t>Justice O’Callaghan</w:t>
            </w:r>
            <w:bookmarkEnd w:id="50"/>
            <w:r w:rsidRPr="00B63ACF">
              <w:t>.</w:t>
            </w:r>
          </w:p>
        </w:tc>
      </w:tr>
    </w:tbl>
    <w:p w14:paraId="1B362F31" w14:textId="77777777" w:rsidR="00B63ACF" w:rsidRDefault="00B63ACF" w:rsidP="00815065">
      <w:pPr>
        <w:pStyle w:val="BodyText"/>
      </w:pPr>
    </w:p>
    <w:p w14:paraId="5C16C641" w14:textId="77777777" w:rsidR="00B63ACF" w:rsidRDefault="00B63ACF" w:rsidP="00815065">
      <w:pPr>
        <w:pStyle w:val="BodyText"/>
      </w:pPr>
    </w:p>
    <w:p w14:paraId="70C093B0" w14:textId="74AB9282" w:rsidR="00B63ACF" w:rsidRDefault="00B63ACF" w:rsidP="00815065">
      <w:pPr>
        <w:pStyle w:val="BodyText"/>
      </w:pPr>
      <w:r>
        <w:t>Associate:</w:t>
      </w:r>
      <w:r w:rsidR="00C63C28">
        <w:t xml:space="preserve"> </w:t>
      </w:r>
    </w:p>
    <w:p w14:paraId="26EEAC3E" w14:textId="77777777" w:rsidR="00B63ACF" w:rsidRDefault="00B63ACF" w:rsidP="00815065">
      <w:pPr>
        <w:pStyle w:val="BodyText"/>
      </w:pPr>
    </w:p>
    <w:p w14:paraId="2D52902E" w14:textId="6DB0F961" w:rsidR="00B63ACF" w:rsidRDefault="00B63ACF" w:rsidP="00815065">
      <w:pPr>
        <w:pStyle w:val="BodyText"/>
        <w:tabs>
          <w:tab w:val="left" w:pos="1134"/>
        </w:tabs>
      </w:pPr>
      <w:r>
        <w:t>Dated:</w:t>
      </w:r>
      <w:r>
        <w:tab/>
      </w:r>
      <w:bookmarkStart w:id="51" w:name="CertifyDated"/>
      <w:r>
        <w:t>14 February 2024</w:t>
      </w:r>
      <w:bookmarkEnd w:id="51"/>
    </w:p>
    <w:p w14:paraId="5371FD64" w14:textId="77777777" w:rsidR="00B63ACF" w:rsidRDefault="00B63ACF" w:rsidP="00815065">
      <w:pPr>
        <w:pStyle w:val="BodyText"/>
      </w:pPr>
    </w:p>
    <w:bookmarkEnd w:id="45"/>
    <w:p w14:paraId="487B1568" w14:textId="06105D53" w:rsidR="0025595A" w:rsidRDefault="0025595A" w:rsidP="00B63ACF">
      <w:pPr>
        <w:pStyle w:val="BodyText"/>
      </w:pPr>
    </w:p>
    <w:p w14:paraId="4DA72094" w14:textId="0D2D725A" w:rsidR="00356558" w:rsidRPr="00B63ACF" w:rsidRDefault="00356558" w:rsidP="003B2768">
      <w:pPr>
        <w:pStyle w:val="ParaNumbering"/>
        <w:numPr>
          <w:ilvl w:val="0"/>
          <w:numId w:val="0"/>
        </w:numPr>
        <w:rPr>
          <w:highlight w:val="yellow"/>
        </w:rPr>
      </w:pPr>
    </w:p>
    <w:sectPr w:rsidR="00356558" w:rsidRPr="00B63ACF" w:rsidSect="00A84FD0">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6D3C" w14:textId="77777777" w:rsidR="003F0EE6" w:rsidRDefault="003F0EE6">
      <w:pPr>
        <w:spacing w:line="20" w:lineRule="exact"/>
      </w:pPr>
    </w:p>
    <w:p w14:paraId="2817670C" w14:textId="77777777" w:rsidR="003F0EE6" w:rsidRDefault="003F0EE6"/>
    <w:p w14:paraId="24D8FF71" w14:textId="77777777" w:rsidR="003F0EE6" w:rsidRDefault="003F0EE6"/>
  </w:endnote>
  <w:endnote w:type="continuationSeparator" w:id="0">
    <w:p w14:paraId="42D2ACD4" w14:textId="77777777" w:rsidR="003F0EE6" w:rsidRDefault="003F0EE6">
      <w:r>
        <w:t xml:space="preserve"> </w:t>
      </w:r>
    </w:p>
    <w:p w14:paraId="273D298B" w14:textId="77777777" w:rsidR="003F0EE6" w:rsidRDefault="003F0EE6"/>
    <w:p w14:paraId="706F7BE1" w14:textId="77777777" w:rsidR="003F0EE6" w:rsidRDefault="003F0EE6"/>
  </w:endnote>
  <w:endnote w:type="continuationNotice" w:id="1">
    <w:p w14:paraId="444841B2" w14:textId="77777777" w:rsidR="003F0EE6" w:rsidRDefault="003F0EE6">
      <w:r>
        <w:t xml:space="preserve"> </w:t>
      </w:r>
    </w:p>
    <w:p w14:paraId="230D1CC3" w14:textId="77777777" w:rsidR="003F0EE6" w:rsidRDefault="003F0EE6"/>
    <w:p w14:paraId="4915292D" w14:textId="77777777" w:rsidR="003F0EE6" w:rsidRDefault="003F0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9C9D" w14:textId="1FB2E61F"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2336" behindDoc="0" locked="0" layoutInCell="1" allowOverlap="1" wp14:anchorId="66C4D754" wp14:editId="6DC6AEBD">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AE324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00259A">
          <w:rPr>
            <w:bCs/>
            <w:sz w:val="18"/>
            <w:szCs w:val="18"/>
          </w:rPr>
          <w:t xml:space="preserve">Australian Competition and Consumer Commission v Mazda Australia Pty Ltd (No 3) [2024] FCA 83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A5C8" w14:textId="195F7D92"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717632" behindDoc="0" locked="0" layoutInCell="1" allowOverlap="1" wp14:anchorId="6293AC38" wp14:editId="4808CF20">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AB47F" id="Straight Connector 7"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00259A">
          <w:rPr>
            <w:bCs/>
            <w:sz w:val="18"/>
            <w:szCs w:val="18"/>
          </w:rPr>
          <w:t xml:space="preserve">Australian Competition and Consumer Commission v Mazda Australia Pty Ltd (No 3) [2024] FCA 83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5CE5" w14:textId="47D63805"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89984" behindDoc="0" locked="0" layoutInCell="1" allowOverlap="1" wp14:anchorId="5D121F06" wp14:editId="7A2A68F1">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B561F4" id="Straight Connector 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sidR="0000259A">
          <w:rPr>
            <w:bCs/>
            <w:sz w:val="18"/>
            <w:szCs w:val="18"/>
          </w:rPr>
          <w:t xml:space="preserve">Australian Competition and Consumer Commission v Mazda Australia Pty Ltd (No 3) [2024] FCA 83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0D6EA" w14:textId="77777777" w:rsidR="003F0EE6" w:rsidRDefault="003F0EE6"/>
  </w:footnote>
  <w:footnote w:type="continuationSeparator" w:id="0">
    <w:p w14:paraId="58AF0FC2" w14:textId="77777777" w:rsidR="003F0EE6" w:rsidRDefault="003F0EE6">
      <w:r>
        <w:continuationSeparator/>
      </w:r>
    </w:p>
    <w:p w14:paraId="4EFC7BCA" w14:textId="77777777" w:rsidR="003F0EE6" w:rsidRDefault="003F0EE6"/>
    <w:p w14:paraId="4725C6F4" w14:textId="77777777" w:rsidR="003F0EE6" w:rsidRDefault="003F0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9625" w14:textId="7A46A59A" w:rsidR="00395B24" w:rsidRDefault="00395B24"/>
  <w:p w14:paraId="391E1A67" w14:textId="77777777" w:rsidR="00EE18CF" w:rsidRDefault="00EE18CF"/>
  <w:p w14:paraId="08A3D276" w14:textId="77777777" w:rsidR="00EE18CF" w:rsidRDefault="00EE18CF"/>
  <w:p w14:paraId="0314CA5A" w14:textId="77777777" w:rsidR="00EE18CF" w:rsidRDefault="00EE18CF"/>
  <w:p w14:paraId="5BFA4F75" w14:textId="77777777" w:rsidR="00EE18CF" w:rsidRDefault="00EE18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1EDB" w14:textId="77777777" w:rsidR="00EE18CF" w:rsidRDefault="00EE18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BC7D" w14:textId="77777777" w:rsidR="00EE18CF" w:rsidRDefault="00EE18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4AEA632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8DE3FDD"/>
    <w:multiLevelType w:val="multilevel"/>
    <w:tmpl w:val="60D670A4"/>
    <w:lvl w:ilvl="0">
      <w:start w:val="1"/>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1283"/>
        </w:tabs>
        <w:ind w:left="1418" w:hanging="567"/>
      </w:pPr>
      <w:rPr>
        <w:rFonts w:cs="Times New Roman" w:hint="default"/>
        <w:b w:val="0"/>
        <w:bCs w:val="0"/>
      </w:rPr>
    </w:lvl>
    <w:lvl w:ilvl="2">
      <w:start w:val="1"/>
      <w:numFmt w:val="decimal"/>
      <w:lvlText w:val="%1.%2.%3."/>
      <w:lvlJc w:val="left"/>
      <w:pPr>
        <w:tabs>
          <w:tab w:val="num" w:pos="2325"/>
        </w:tabs>
        <w:ind w:left="1985" w:hanging="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3EF6E072"/>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2B8F4642"/>
    <w:multiLevelType w:val="hybridMultilevel"/>
    <w:tmpl w:val="8FC297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7F77A2"/>
    <w:multiLevelType w:val="hybridMultilevel"/>
    <w:tmpl w:val="98D83B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2" w15:restartNumberingAfterBreak="0">
    <w:nsid w:val="44820100"/>
    <w:multiLevelType w:val="hybridMultilevel"/>
    <w:tmpl w:val="869EBFBE"/>
    <w:lvl w:ilvl="0" w:tplc="C99CE8C2">
      <w:start w:val="1"/>
      <w:numFmt w:val="decimal"/>
      <w:lvlText w:val="%1."/>
      <w:lvlJc w:val="left"/>
      <w:pPr>
        <w:ind w:left="360" w:hanging="360"/>
      </w:pPr>
      <w:rPr>
        <w:rFonts w:hint="default"/>
        <w:b w:val="0"/>
        <w:bCs w:val="0"/>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6068FD3C">
      <w:start w:val="1"/>
      <w:numFmt w:val="upp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94817A7"/>
    <w:multiLevelType w:val="multilevel"/>
    <w:tmpl w:val="0F0EC90E"/>
    <w:numStyleLink w:val="FCListNo"/>
  </w:abstractNum>
  <w:abstractNum w:abstractNumId="24"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36400C"/>
    <w:multiLevelType w:val="hybridMultilevel"/>
    <w:tmpl w:val="696607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64BE1996"/>
    <w:multiLevelType w:val="hybridMultilevel"/>
    <w:tmpl w:val="986E5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0"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943948869">
    <w:abstractNumId w:val="15"/>
  </w:num>
  <w:num w:numId="2" w16cid:durableId="1826437198">
    <w:abstractNumId w:val="9"/>
  </w:num>
  <w:num w:numId="3" w16cid:durableId="1400589130">
    <w:abstractNumId w:val="7"/>
  </w:num>
  <w:num w:numId="4" w16cid:durableId="853958037">
    <w:abstractNumId w:val="6"/>
  </w:num>
  <w:num w:numId="5" w16cid:durableId="949775717">
    <w:abstractNumId w:val="5"/>
  </w:num>
  <w:num w:numId="6" w16cid:durableId="296766379">
    <w:abstractNumId w:val="4"/>
  </w:num>
  <w:num w:numId="7" w16cid:durableId="1997342864">
    <w:abstractNumId w:val="8"/>
  </w:num>
  <w:num w:numId="8" w16cid:durableId="880364107">
    <w:abstractNumId w:val="3"/>
  </w:num>
  <w:num w:numId="9" w16cid:durableId="48695557">
    <w:abstractNumId w:val="2"/>
  </w:num>
  <w:num w:numId="10" w16cid:durableId="993022484">
    <w:abstractNumId w:val="1"/>
  </w:num>
  <w:num w:numId="11" w16cid:durableId="2108768500">
    <w:abstractNumId w:val="0"/>
  </w:num>
  <w:num w:numId="12" w16cid:durableId="1882160309">
    <w:abstractNumId w:val="28"/>
  </w:num>
  <w:num w:numId="13" w16cid:durableId="1290211515">
    <w:abstractNumId w:val="24"/>
  </w:num>
  <w:num w:numId="14" w16cid:durableId="1486242874">
    <w:abstractNumId w:val="26"/>
  </w:num>
  <w:num w:numId="15" w16cid:durableId="498038722">
    <w:abstractNumId w:val="30"/>
  </w:num>
  <w:num w:numId="16" w16cid:durableId="1692604230">
    <w:abstractNumId w:val="14"/>
  </w:num>
  <w:num w:numId="17" w16cid:durableId="2115665764">
    <w:abstractNumId w:val="29"/>
  </w:num>
  <w:num w:numId="18" w16cid:durableId="1538004388">
    <w:abstractNumId w:val="11"/>
  </w:num>
  <w:num w:numId="19" w16cid:durableId="531649871">
    <w:abstractNumId w:val="21"/>
  </w:num>
  <w:num w:numId="20" w16cid:durableId="2139831710">
    <w:abstractNumId w:val="16"/>
    <w:lvlOverride w:ilvl="0">
      <w:lvl w:ilvl="0">
        <w:start w:val="1"/>
        <w:numFmt w:val="decimal"/>
        <w:pStyle w:val="Order1"/>
        <w:lvlText w:val="%1."/>
        <w:lvlJc w:val="left"/>
        <w:pPr>
          <w:tabs>
            <w:tab w:val="num" w:pos="720"/>
          </w:tabs>
          <w:ind w:left="720" w:hanging="720"/>
        </w:pPr>
        <w:rPr>
          <w:rFonts w:ascii="Times New Roman" w:hAnsi="Times New Roman" w:hint="default"/>
          <w:sz w:val="24"/>
        </w:rPr>
      </w:lvl>
    </w:lvlOverride>
    <w:lvlOverride w:ilvl="1">
      <w:lvl w:ilvl="1">
        <w:start w:val="1"/>
        <w:numFmt w:val="lowerLetter"/>
        <w:pStyle w:val="Order2"/>
        <w:lvlText w:val="(%2)"/>
        <w:lvlJc w:val="left"/>
        <w:pPr>
          <w:tabs>
            <w:tab w:val="num" w:pos="1440"/>
          </w:tabs>
          <w:ind w:left="1440" w:hanging="720"/>
        </w:pPr>
        <w:rPr>
          <w:rFonts w:hint="default"/>
        </w:rPr>
      </w:lvl>
    </w:lvlOverride>
    <w:lvlOverride w:ilvl="2">
      <w:lvl w:ilvl="2">
        <w:start w:val="1"/>
        <w:numFmt w:val="lowerRoman"/>
        <w:pStyle w:val="Order3"/>
        <w:lvlText w:val="(%3)"/>
        <w:lvlJc w:val="left"/>
        <w:pPr>
          <w:tabs>
            <w:tab w:val="num" w:pos="1440"/>
          </w:tabs>
          <w:ind w:left="2160" w:hanging="720"/>
        </w:pPr>
        <w:rPr>
          <w:rFonts w:hint="default"/>
        </w:rPr>
      </w:lvl>
    </w:lvlOverride>
    <w:lvlOverride w:ilvl="3">
      <w:lvl w:ilvl="3">
        <w:start w:val="1"/>
        <w:numFmt w:val="upperLetter"/>
        <w:pStyle w:val="Order4"/>
        <w:lvlText w:val="%4."/>
        <w:lvlJc w:val="left"/>
        <w:pPr>
          <w:tabs>
            <w:tab w:val="num" w:pos="2160"/>
          </w:tabs>
          <w:ind w:left="2880" w:hanging="720"/>
        </w:pPr>
        <w:rPr>
          <w:rFonts w:hint="default"/>
        </w:rPr>
      </w:lvl>
    </w:lvlOverride>
    <w:lvlOverride w:ilvl="4">
      <w:lvl w:ilvl="4">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21" w16cid:durableId="1532302834">
    <w:abstractNumId w:val="17"/>
  </w:num>
  <w:num w:numId="22" w16cid:durableId="1519196510">
    <w:abstractNumId w:val="23"/>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16cid:durableId="1802262279">
    <w:abstractNumId w:val="10"/>
  </w:num>
  <w:num w:numId="24" w16cid:durableId="2049723573">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lvl w:ilvl="1">
        <w:start w:val="1"/>
        <w:numFmt w:val="lowerRoman"/>
        <w:pStyle w:val="ListNo2alt"/>
        <w:lvlText w:val="(%2)"/>
        <w:lvlJc w:val="left"/>
        <w:pPr>
          <w:tabs>
            <w:tab w:val="num" w:pos="1440"/>
          </w:tabs>
          <w:ind w:left="1440" w:hanging="720"/>
        </w:pPr>
        <w:rPr>
          <w:rFonts w:hint="default"/>
        </w:rPr>
      </w:lvl>
    </w:lvlOverride>
    <w:lvlOverride w:ilvl="2">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5" w16cid:durableId="498161620">
    <w:abstractNumId w:val="12"/>
  </w:num>
  <w:num w:numId="26" w16cid:durableId="1856534669">
    <w:abstractNumId w:val="20"/>
  </w:num>
  <w:num w:numId="27" w16cid:durableId="1764494151">
    <w:abstractNumId w:val="20"/>
  </w:num>
  <w:num w:numId="28" w16cid:durableId="1047603268">
    <w:abstractNumId w:val="23"/>
  </w:num>
  <w:num w:numId="29" w16cid:durableId="144860147">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0" w16cid:durableId="321735892">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1" w16cid:durableId="1233539556">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2" w16cid:durableId="1308315476">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3" w16cid:durableId="1792170465">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4" w16cid:durableId="1091782697">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5" w16cid:durableId="2085952312">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6" w16cid:durableId="31809568">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7" w16cid:durableId="2051568418">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8" w16cid:durableId="24525239">
    <w:abstractNumId w:val="16"/>
  </w:num>
  <w:num w:numId="39" w16cid:durableId="2054498138">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0" w16cid:durableId="1953390682">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1" w16cid:durableId="632560492">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2" w16cid:durableId="600185943">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3" w16cid:durableId="2010715338">
    <w:abstractNumId w:val="18"/>
  </w:num>
  <w:num w:numId="44" w16cid:durableId="1738549341">
    <w:abstractNumId w:val="25"/>
  </w:num>
  <w:num w:numId="45" w16cid:durableId="1848329350">
    <w:abstractNumId w:val="23"/>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6" w16cid:durableId="423578186">
    <w:abstractNumId w:val="23"/>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7" w16cid:durableId="560287012">
    <w:abstractNumId w:val="19"/>
  </w:num>
  <w:num w:numId="48" w16cid:durableId="713890482">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9" w16cid:durableId="1737167387">
    <w:abstractNumId w:val="13"/>
  </w:num>
  <w:num w:numId="50" w16cid:durableId="1798836728">
    <w:abstractNumId w:val="22"/>
  </w:num>
  <w:num w:numId="51" w16cid:durableId="2041127498">
    <w:abstractNumId w:val="27"/>
  </w:num>
  <w:num w:numId="52" w16cid:durableId="931012375">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1E"/>
    <w:rsid w:val="00000462"/>
    <w:rsid w:val="00000747"/>
    <w:rsid w:val="0000119A"/>
    <w:rsid w:val="00001D19"/>
    <w:rsid w:val="00002000"/>
    <w:rsid w:val="0000259A"/>
    <w:rsid w:val="00003155"/>
    <w:rsid w:val="00006CEF"/>
    <w:rsid w:val="00010D52"/>
    <w:rsid w:val="000115C5"/>
    <w:rsid w:val="00012F47"/>
    <w:rsid w:val="00013694"/>
    <w:rsid w:val="000137F6"/>
    <w:rsid w:val="0001388F"/>
    <w:rsid w:val="0001469E"/>
    <w:rsid w:val="00015428"/>
    <w:rsid w:val="00015993"/>
    <w:rsid w:val="00015DC8"/>
    <w:rsid w:val="000202C5"/>
    <w:rsid w:val="00020B06"/>
    <w:rsid w:val="00020BF7"/>
    <w:rsid w:val="00021CCB"/>
    <w:rsid w:val="00022289"/>
    <w:rsid w:val="00022996"/>
    <w:rsid w:val="00022DEA"/>
    <w:rsid w:val="00023202"/>
    <w:rsid w:val="000237E9"/>
    <w:rsid w:val="00023862"/>
    <w:rsid w:val="00023DF7"/>
    <w:rsid w:val="0002422B"/>
    <w:rsid w:val="00024D42"/>
    <w:rsid w:val="00026EFE"/>
    <w:rsid w:val="00027183"/>
    <w:rsid w:val="00027398"/>
    <w:rsid w:val="00027CDB"/>
    <w:rsid w:val="00027D62"/>
    <w:rsid w:val="00030E2F"/>
    <w:rsid w:val="0003201A"/>
    <w:rsid w:val="0003207A"/>
    <w:rsid w:val="00032F9F"/>
    <w:rsid w:val="000343DF"/>
    <w:rsid w:val="00034667"/>
    <w:rsid w:val="00035F5A"/>
    <w:rsid w:val="00036828"/>
    <w:rsid w:val="0004075B"/>
    <w:rsid w:val="00040889"/>
    <w:rsid w:val="00041312"/>
    <w:rsid w:val="000416D4"/>
    <w:rsid w:val="00041C07"/>
    <w:rsid w:val="00042838"/>
    <w:rsid w:val="00042DD8"/>
    <w:rsid w:val="0004431A"/>
    <w:rsid w:val="0004531E"/>
    <w:rsid w:val="00045BB7"/>
    <w:rsid w:val="00046FBF"/>
    <w:rsid w:val="00047F7E"/>
    <w:rsid w:val="00052385"/>
    <w:rsid w:val="000525BE"/>
    <w:rsid w:val="00052998"/>
    <w:rsid w:val="000534E4"/>
    <w:rsid w:val="000535C7"/>
    <w:rsid w:val="00053BF4"/>
    <w:rsid w:val="00054E08"/>
    <w:rsid w:val="00055719"/>
    <w:rsid w:val="00055EF2"/>
    <w:rsid w:val="000561FF"/>
    <w:rsid w:val="0005641B"/>
    <w:rsid w:val="0005645B"/>
    <w:rsid w:val="00056A4C"/>
    <w:rsid w:val="00056FA2"/>
    <w:rsid w:val="000571FE"/>
    <w:rsid w:val="000614BF"/>
    <w:rsid w:val="0006196A"/>
    <w:rsid w:val="00063130"/>
    <w:rsid w:val="00063789"/>
    <w:rsid w:val="00063AF2"/>
    <w:rsid w:val="00064550"/>
    <w:rsid w:val="000650F0"/>
    <w:rsid w:val="00065D50"/>
    <w:rsid w:val="00065E85"/>
    <w:rsid w:val="000664DE"/>
    <w:rsid w:val="00067392"/>
    <w:rsid w:val="00067553"/>
    <w:rsid w:val="00070120"/>
    <w:rsid w:val="0007149E"/>
    <w:rsid w:val="00071800"/>
    <w:rsid w:val="000719F4"/>
    <w:rsid w:val="00071FB3"/>
    <w:rsid w:val="00072952"/>
    <w:rsid w:val="00072C32"/>
    <w:rsid w:val="00073A06"/>
    <w:rsid w:val="00074545"/>
    <w:rsid w:val="000745AD"/>
    <w:rsid w:val="00074DE8"/>
    <w:rsid w:val="0007536E"/>
    <w:rsid w:val="00075376"/>
    <w:rsid w:val="00075685"/>
    <w:rsid w:val="00075780"/>
    <w:rsid w:val="000759CA"/>
    <w:rsid w:val="000762E1"/>
    <w:rsid w:val="00076A0C"/>
    <w:rsid w:val="00076A42"/>
    <w:rsid w:val="00076F32"/>
    <w:rsid w:val="000772CD"/>
    <w:rsid w:val="00077768"/>
    <w:rsid w:val="00077D01"/>
    <w:rsid w:val="00080B9E"/>
    <w:rsid w:val="00081497"/>
    <w:rsid w:val="00081B70"/>
    <w:rsid w:val="000831EC"/>
    <w:rsid w:val="00083AC2"/>
    <w:rsid w:val="00083B79"/>
    <w:rsid w:val="00084126"/>
    <w:rsid w:val="000846FF"/>
    <w:rsid w:val="00085216"/>
    <w:rsid w:val="00085255"/>
    <w:rsid w:val="00085CD6"/>
    <w:rsid w:val="00086A25"/>
    <w:rsid w:val="000873ED"/>
    <w:rsid w:val="00090245"/>
    <w:rsid w:val="00090EE8"/>
    <w:rsid w:val="00091178"/>
    <w:rsid w:val="0009156C"/>
    <w:rsid w:val="0009226D"/>
    <w:rsid w:val="00093620"/>
    <w:rsid w:val="00094982"/>
    <w:rsid w:val="000962DC"/>
    <w:rsid w:val="000976CC"/>
    <w:rsid w:val="000976E8"/>
    <w:rsid w:val="000A1442"/>
    <w:rsid w:val="000A14F8"/>
    <w:rsid w:val="000A1958"/>
    <w:rsid w:val="000A28CA"/>
    <w:rsid w:val="000A297E"/>
    <w:rsid w:val="000A2E76"/>
    <w:rsid w:val="000A4807"/>
    <w:rsid w:val="000A48A1"/>
    <w:rsid w:val="000A4BE4"/>
    <w:rsid w:val="000A5C05"/>
    <w:rsid w:val="000B075B"/>
    <w:rsid w:val="000B0909"/>
    <w:rsid w:val="000B17F5"/>
    <w:rsid w:val="000B196D"/>
    <w:rsid w:val="000B1991"/>
    <w:rsid w:val="000B37DF"/>
    <w:rsid w:val="000B498F"/>
    <w:rsid w:val="000B50E6"/>
    <w:rsid w:val="000B59E0"/>
    <w:rsid w:val="000C023E"/>
    <w:rsid w:val="000C086C"/>
    <w:rsid w:val="000C0ADE"/>
    <w:rsid w:val="000C0EE2"/>
    <w:rsid w:val="000C12B2"/>
    <w:rsid w:val="000C1DDE"/>
    <w:rsid w:val="000C225D"/>
    <w:rsid w:val="000C27A3"/>
    <w:rsid w:val="000C2873"/>
    <w:rsid w:val="000C2A1B"/>
    <w:rsid w:val="000C3BB9"/>
    <w:rsid w:val="000C400C"/>
    <w:rsid w:val="000C405D"/>
    <w:rsid w:val="000C4D8A"/>
    <w:rsid w:val="000C5195"/>
    <w:rsid w:val="000C62EF"/>
    <w:rsid w:val="000C6384"/>
    <w:rsid w:val="000C7843"/>
    <w:rsid w:val="000C7B43"/>
    <w:rsid w:val="000C7C0A"/>
    <w:rsid w:val="000D00C1"/>
    <w:rsid w:val="000D1BBE"/>
    <w:rsid w:val="000D2137"/>
    <w:rsid w:val="000D2491"/>
    <w:rsid w:val="000D268B"/>
    <w:rsid w:val="000D3014"/>
    <w:rsid w:val="000D3BA7"/>
    <w:rsid w:val="000D3FD2"/>
    <w:rsid w:val="000D4709"/>
    <w:rsid w:val="000D4B2E"/>
    <w:rsid w:val="000D5479"/>
    <w:rsid w:val="000D6462"/>
    <w:rsid w:val="000D6FBD"/>
    <w:rsid w:val="000E0347"/>
    <w:rsid w:val="000E11A7"/>
    <w:rsid w:val="000E1C3B"/>
    <w:rsid w:val="000E2A21"/>
    <w:rsid w:val="000E2CF6"/>
    <w:rsid w:val="000E33A4"/>
    <w:rsid w:val="000E3D2B"/>
    <w:rsid w:val="000E3FC8"/>
    <w:rsid w:val="000E4D02"/>
    <w:rsid w:val="000E5D6A"/>
    <w:rsid w:val="000E5DF2"/>
    <w:rsid w:val="000E6250"/>
    <w:rsid w:val="000E666D"/>
    <w:rsid w:val="000E671C"/>
    <w:rsid w:val="000E7213"/>
    <w:rsid w:val="000E7BAE"/>
    <w:rsid w:val="000F08BB"/>
    <w:rsid w:val="000F11A8"/>
    <w:rsid w:val="000F133D"/>
    <w:rsid w:val="000F17E3"/>
    <w:rsid w:val="000F2094"/>
    <w:rsid w:val="000F2C14"/>
    <w:rsid w:val="000F2FEE"/>
    <w:rsid w:val="000F4431"/>
    <w:rsid w:val="000F4AD5"/>
    <w:rsid w:val="000F6300"/>
    <w:rsid w:val="000F678D"/>
    <w:rsid w:val="000F6F8E"/>
    <w:rsid w:val="00100EB8"/>
    <w:rsid w:val="0010536B"/>
    <w:rsid w:val="00105646"/>
    <w:rsid w:val="00110051"/>
    <w:rsid w:val="00110126"/>
    <w:rsid w:val="0011075E"/>
    <w:rsid w:val="0011115D"/>
    <w:rsid w:val="0011145C"/>
    <w:rsid w:val="00111AFB"/>
    <w:rsid w:val="001128BD"/>
    <w:rsid w:val="001132DB"/>
    <w:rsid w:val="0011419D"/>
    <w:rsid w:val="0011482C"/>
    <w:rsid w:val="00114B02"/>
    <w:rsid w:val="00115047"/>
    <w:rsid w:val="00115922"/>
    <w:rsid w:val="001164D5"/>
    <w:rsid w:val="00117014"/>
    <w:rsid w:val="001175F5"/>
    <w:rsid w:val="001209F3"/>
    <w:rsid w:val="00121011"/>
    <w:rsid w:val="00121064"/>
    <w:rsid w:val="001226C0"/>
    <w:rsid w:val="001238B9"/>
    <w:rsid w:val="00123C42"/>
    <w:rsid w:val="00125E92"/>
    <w:rsid w:val="001261E5"/>
    <w:rsid w:val="00126291"/>
    <w:rsid w:val="0012651D"/>
    <w:rsid w:val="00126B22"/>
    <w:rsid w:val="00126BBD"/>
    <w:rsid w:val="00126EC8"/>
    <w:rsid w:val="0012726D"/>
    <w:rsid w:val="0012731C"/>
    <w:rsid w:val="00127BCD"/>
    <w:rsid w:val="0013009D"/>
    <w:rsid w:val="00131E11"/>
    <w:rsid w:val="00132054"/>
    <w:rsid w:val="0013325D"/>
    <w:rsid w:val="0013333F"/>
    <w:rsid w:val="001335D4"/>
    <w:rsid w:val="00134475"/>
    <w:rsid w:val="001345FD"/>
    <w:rsid w:val="00134964"/>
    <w:rsid w:val="00134986"/>
    <w:rsid w:val="001349BD"/>
    <w:rsid w:val="001351B9"/>
    <w:rsid w:val="00135C10"/>
    <w:rsid w:val="00137068"/>
    <w:rsid w:val="00137F92"/>
    <w:rsid w:val="001400AD"/>
    <w:rsid w:val="001405A2"/>
    <w:rsid w:val="00141353"/>
    <w:rsid w:val="00141467"/>
    <w:rsid w:val="00141591"/>
    <w:rsid w:val="001426DB"/>
    <w:rsid w:val="00144C7A"/>
    <w:rsid w:val="0014599F"/>
    <w:rsid w:val="001463B1"/>
    <w:rsid w:val="0014666E"/>
    <w:rsid w:val="00147016"/>
    <w:rsid w:val="0014753C"/>
    <w:rsid w:val="0015009B"/>
    <w:rsid w:val="001508AA"/>
    <w:rsid w:val="00151684"/>
    <w:rsid w:val="001520D6"/>
    <w:rsid w:val="0015236C"/>
    <w:rsid w:val="00152C17"/>
    <w:rsid w:val="00152F8D"/>
    <w:rsid w:val="00153350"/>
    <w:rsid w:val="00153611"/>
    <w:rsid w:val="00153AD9"/>
    <w:rsid w:val="001551B8"/>
    <w:rsid w:val="00155CD2"/>
    <w:rsid w:val="0015667B"/>
    <w:rsid w:val="00156CFE"/>
    <w:rsid w:val="001570E8"/>
    <w:rsid w:val="00157F7E"/>
    <w:rsid w:val="00162288"/>
    <w:rsid w:val="00162C1F"/>
    <w:rsid w:val="001642FE"/>
    <w:rsid w:val="001659F5"/>
    <w:rsid w:val="00165F08"/>
    <w:rsid w:val="00166A8D"/>
    <w:rsid w:val="00167782"/>
    <w:rsid w:val="00167C32"/>
    <w:rsid w:val="00167CCC"/>
    <w:rsid w:val="00167E0C"/>
    <w:rsid w:val="00167F92"/>
    <w:rsid w:val="0017028A"/>
    <w:rsid w:val="00170660"/>
    <w:rsid w:val="00170D3A"/>
    <w:rsid w:val="00171D07"/>
    <w:rsid w:val="001727A4"/>
    <w:rsid w:val="00172A09"/>
    <w:rsid w:val="0017376C"/>
    <w:rsid w:val="001738AB"/>
    <w:rsid w:val="00173AA8"/>
    <w:rsid w:val="001747BC"/>
    <w:rsid w:val="00176436"/>
    <w:rsid w:val="001765E0"/>
    <w:rsid w:val="00177759"/>
    <w:rsid w:val="00177A1A"/>
    <w:rsid w:val="00180984"/>
    <w:rsid w:val="00180BB3"/>
    <w:rsid w:val="001823B0"/>
    <w:rsid w:val="0018287D"/>
    <w:rsid w:val="001831E6"/>
    <w:rsid w:val="001839EB"/>
    <w:rsid w:val="00185BD0"/>
    <w:rsid w:val="00185D8B"/>
    <w:rsid w:val="00185DD6"/>
    <w:rsid w:val="00185E6B"/>
    <w:rsid w:val="0018700F"/>
    <w:rsid w:val="001878EB"/>
    <w:rsid w:val="00187BBC"/>
    <w:rsid w:val="00190A0D"/>
    <w:rsid w:val="00190DBF"/>
    <w:rsid w:val="00190EEC"/>
    <w:rsid w:val="001910E6"/>
    <w:rsid w:val="00191559"/>
    <w:rsid w:val="00191664"/>
    <w:rsid w:val="00192827"/>
    <w:rsid w:val="00192AA1"/>
    <w:rsid w:val="001932F3"/>
    <w:rsid w:val="00194015"/>
    <w:rsid w:val="001949CC"/>
    <w:rsid w:val="00194E1F"/>
    <w:rsid w:val="001959B0"/>
    <w:rsid w:val="00195B6A"/>
    <w:rsid w:val="001963F5"/>
    <w:rsid w:val="0019646A"/>
    <w:rsid w:val="00197BC7"/>
    <w:rsid w:val="00197FF9"/>
    <w:rsid w:val="001A0D88"/>
    <w:rsid w:val="001A1285"/>
    <w:rsid w:val="001A159B"/>
    <w:rsid w:val="001A2745"/>
    <w:rsid w:val="001A2B40"/>
    <w:rsid w:val="001A3C01"/>
    <w:rsid w:val="001A3ED8"/>
    <w:rsid w:val="001A4309"/>
    <w:rsid w:val="001A46AE"/>
    <w:rsid w:val="001A6C52"/>
    <w:rsid w:val="001A7368"/>
    <w:rsid w:val="001A7496"/>
    <w:rsid w:val="001A7550"/>
    <w:rsid w:val="001A7713"/>
    <w:rsid w:val="001A7F78"/>
    <w:rsid w:val="001B0D74"/>
    <w:rsid w:val="001B1053"/>
    <w:rsid w:val="001B14AC"/>
    <w:rsid w:val="001B1C8A"/>
    <w:rsid w:val="001B2FB5"/>
    <w:rsid w:val="001B36C4"/>
    <w:rsid w:val="001B4188"/>
    <w:rsid w:val="001B41A7"/>
    <w:rsid w:val="001B468B"/>
    <w:rsid w:val="001B5718"/>
    <w:rsid w:val="001B6234"/>
    <w:rsid w:val="001B7381"/>
    <w:rsid w:val="001B746E"/>
    <w:rsid w:val="001B7626"/>
    <w:rsid w:val="001B7940"/>
    <w:rsid w:val="001C002F"/>
    <w:rsid w:val="001C0CED"/>
    <w:rsid w:val="001C1147"/>
    <w:rsid w:val="001C171A"/>
    <w:rsid w:val="001C2FE0"/>
    <w:rsid w:val="001C375A"/>
    <w:rsid w:val="001C37CA"/>
    <w:rsid w:val="001C3945"/>
    <w:rsid w:val="001C4085"/>
    <w:rsid w:val="001C42BC"/>
    <w:rsid w:val="001C47E9"/>
    <w:rsid w:val="001C4D47"/>
    <w:rsid w:val="001C56DB"/>
    <w:rsid w:val="001C581E"/>
    <w:rsid w:val="001C7246"/>
    <w:rsid w:val="001C76F5"/>
    <w:rsid w:val="001C7C46"/>
    <w:rsid w:val="001C7FE1"/>
    <w:rsid w:val="001D0895"/>
    <w:rsid w:val="001D10DB"/>
    <w:rsid w:val="001D31E0"/>
    <w:rsid w:val="001D336E"/>
    <w:rsid w:val="001D4303"/>
    <w:rsid w:val="001D5335"/>
    <w:rsid w:val="001D5741"/>
    <w:rsid w:val="001D586A"/>
    <w:rsid w:val="001D6746"/>
    <w:rsid w:val="001D68BA"/>
    <w:rsid w:val="001D6998"/>
    <w:rsid w:val="001D71F9"/>
    <w:rsid w:val="001D731B"/>
    <w:rsid w:val="001D7DB1"/>
    <w:rsid w:val="001D7DBF"/>
    <w:rsid w:val="001D7ECB"/>
    <w:rsid w:val="001E023F"/>
    <w:rsid w:val="001E0313"/>
    <w:rsid w:val="001E0784"/>
    <w:rsid w:val="001E0C61"/>
    <w:rsid w:val="001E1F5D"/>
    <w:rsid w:val="001E219C"/>
    <w:rsid w:val="001E22BF"/>
    <w:rsid w:val="001E3387"/>
    <w:rsid w:val="001E3B49"/>
    <w:rsid w:val="001E4A05"/>
    <w:rsid w:val="001E4BA9"/>
    <w:rsid w:val="001E4BAF"/>
    <w:rsid w:val="001E53BC"/>
    <w:rsid w:val="001E61E8"/>
    <w:rsid w:val="001E6704"/>
    <w:rsid w:val="001E6A19"/>
    <w:rsid w:val="001E6BDD"/>
    <w:rsid w:val="001E6E53"/>
    <w:rsid w:val="001E70A0"/>
    <w:rsid w:val="001E7388"/>
    <w:rsid w:val="001E7D1C"/>
    <w:rsid w:val="001F12FB"/>
    <w:rsid w:val="001F13DD"/>
    <w:rsid w:val="001F13F4"/>
    <w:rsid w:val="001F1F24"/>
    <w:rsid w:val="001F2473"/>
    <w:rsid w:val="001F25EC"/>
    <w:rsid w:val="001F2DBC"/>
    <w:rsid w:val="001F2EB7"/>
    <w:rsid w:val="001F36F6"/>
    <w:rsid w:val="001F3E69"/>
    <w:rsid w:val="001F6105"/>
    <w:rsid w:val="001F665D"/>
    <w:rsid w:val="001F73E8"/>
    <w:rsid w:val="001F7761"/>
    <w:rsid w:val="001F7A0D"/>
    <w:rsid w:val="001F7A93"/>
    <w:rsid w:val="001F7DFC"/>
    <w:rsid w:val="00200BBF"/>
    <w:rsid w:val="00201259"/>
    <w:rsid w:val="00201A17"/>
    <w:rsid w:val="0020262C"/>
    <w:rsid w:val="00202723"/>
    <w:rsid w:val="00202F47"/>
    <w:rsid w:val="0020353E"/>
    <w:rsid w:val="00204363"/>
    <w:rsid w:val="0020458B"/>
    <w:rsid w:val="00204CFC"/>
    <w:rsid w:val="00205E3F"/>
    <w:rsid w:val="00207880"/>
    <w:rsid w:val="00207C7D"/>
    <w:rsid w:val="00207CD3"/>
    <w:rsid w:val="00210F8F"/>
    <w:rsid w:val="00211A3E"/>
    <w:rsid w:val="00211EE1"/>
    <w:rsid w:val="00213F20"/>
    <w:rsid w:val="00214055"/>
    <w:rsid w:val="00214691"/>
    <w:rsid w:val="00215818"/>
    <w:rsid w:val="00215A1F"/>
    <w:rsid w:val="00215BCA"/>
    <w:rsid w:val="002160F5"/>
    <w:rsid w:val="0021670A"/>
    <w:rsid w:val="00217AC4"/>
    <w:rsid w:val="00220B19"/>
    <w:rsid w:val="002213C0"/>
    <w:rsid w:val="00221461"/>
    <w:rsid w:val="00224537"/>
    <w:rsid w:val="002254C3"/>
    <w:rsid w:val="00225A00"/>
    <w:rsid w:val="00225AB8"/>
    <w:rsid w:val="0022651D"/>
    <w:rsid w:val="002267C5"/>
    <w:rsid w:val="00226B47"/>
    <w:rsid w:val="002278FF"/>
    <w:rsid w:val="00230768"/>
    <w:rsid w:val="002317FC"/>
    <w:rsid w:val="00231B21"/>
    <w:rsid w:val="00233321"/>
    <w:rsid w:val="002339C1"/>
    <w:rsid w:val="0023510F"/>
    <w:rsid w:val="002354AC"/>
    <w:rsid w:val="00235956"/>
    <w:rsid w:val="00235DCA"/>
    <w:rsid w:val="00236294"/>
    <w:rsid w:val="002362B5"/>
    <w:rsid w:val="00236D7C"/>
    <w:rsid w:val="00236FEB"/>
    <w:rsid w:val="00237751"/>
    <w:rsid w:val="00237CA0"/>
    <w:rsid w:val="002409CF"/>
    <w:rsid w:val="00243E5E"/>
    <w:rsid w:val="0024455C"/>
    <w:rsid w:val="0024553F"/>
    <w:rsid w:val="00245692"/>
    <w:rsid w:val="00245BF2"/>
    <w:rsid w:val="00245FEA"/>
    <w:rsid w:val="002464CA"/>
    <w:rsid w:val="002467A6"/>
    <w:rsid w:val="00247C9A"/>
    <w:rsid w:val="0025064F"/>
    <w:rsid w:val="00250B11"/>
    <w:rsid w:val="00250B76"/>
    <w:rsid w:val="002513C5"/>
    <w:rsid w:val="0025160C"/>
    <w:rsid w:val="00252564"/>
    <w:rsid w:val="00252699"/>
    <w:rsid w:val="00253513"/>
    <w:rsid w:val="002535D0"/>
    <w:rsid w:val="002539B3"/>
    <w:rsid w:val="00254EC2"/>
    <w:rsid w:val="0025595A"/>
    <w:rsid w:val="00256336"/>
    <w:rsid w:val="00256693"/>
    <w:rsid w:val="00257B6B"/>
    <w:rsid w:val="00257C3E"/>
    <w:rsid w:val="00257FA7"/>
    <w:rsid w:val="002602C2"/>
    <w:rsid w:val="00260B38"/>
    <w:rsid w:val="00260CC0"/>
    <w:rsid w:val="00260E3D"/>
    <w:rsid w:val="00261A27"/>
    <w:rsid w:val="00261A4E"/>
    <w:rsid w:val="00262BEA"/>
    <w:rsid w:val="00264366"/>
    <w:rsid w:val="00264F34"/>
    <w:rsid w:val="00265E8F"/>
    <w:rsid w:val="00265F66"/>
    <w:rsid w:val="002666C9"/>
    <w:rsid w:val="00266EC2"/>
    <w:rsid w:val="0026739B"/>
    <w:rsid w:val="00270136"/>
    <w:rsid w:val="00270A26"/>
    <w:rsid w:val="00270FD7"/>
    <w:rsid w:val="00271CD2"/>
    <w:rsid w:val="0027208C"/>
    <w:rsid w:val="0027480A"/>
    <w:rsid w:val="00274F5B"/>
    <w:rsid w:val="002758ED"/>
    <w:rsid w:val="00275E1A"/>
    <w:rsid w:val="00280836"/>
    <w:rsid w:val="0028118A"/>
    <w:rsid w:val="002812AB"/>
    <w:rsid w:val="00281BCB"/>
    <w:rsid w:val="00282B90"/>
    <w:rsid w:val="00282D20"/>
    <w:rsid w:val="00282E1A"/>
    <w:rsid w:val="002830E6"/>
    <w:rsid w:val="00283772"/>
    <w:rsid w:val="002840F1"/>
    <w:rsid w:val="00285922"/>
    <w:rsid w:val="00285BA8"/>
    <w:rsid w:val="0028631A"/>
    <w:rsid w:val="00286CA2"/>
    <w:rsid w:val="00287B28"/>
    <w:rsid w:val="0029113B"/>
    <w:rsid w:val="002915A7"/>
    <w:rsid w:val="002934C0"/>
    <w:rsid w:val="00293E1F"/>
    <w:rsid w:val="00294732"/>
    <w:rsid w:val="00294DC6"/>
    <w:rsid w:val="0029546B"/>
    <w:rsid w:val="00295D27"/>
    <w:rsid w:val="00296094"/>
    <w:rsid w:val="0029680E"/>
    <w:rsid w:val="00296942"/>
    <w:rsid w:val="002974CF"/>
    <w:rsid w:val="0029764C"/>
    <w:rsid w:val="002A0432"/>
    <w:rsid w:val="002A190B"/>
    <w:rsid w:val="002A19C3"/>
    <w:rsid w:val="002A1B50"/>
    <w:rsid w:val="002A1EC7"/>
    <w:rsid w:val="002A2A35"/>
    <w:rsid w:val="002A2BA3"/>
    <w:rsid w:val="002A5511"/>
    <w:rsid w:val="002A6B1D"/>
    <w:rsid w:val="002B0D5E"/>
    <w:rsid w:val="002B0E76"/>
    <w:rsid w:val="002B0E91"/>
    <w:rsid w:val="002B132C"/>
    <w:rsid w:val="002B14CF"/>
    <w:rsid w:val="002B1545"/>
    <w:rsid w:val="002B15A4"/>
    <w:rsid w:val="002B1F9F"/>
    <w:rsid w:val="002B3A6D"/>
    <w:rsid w:val="002B3F23"/>
    <w:rsid w:val="002B4A05"/>
    <w:rsid w:val="002B4EB5"/>
    <w:rsid w:val="002B54FF"/>
    <w:rsid w:val="002B5AF5"/>
    <w:rsid w:val="002B65AB"/>
    <w:rsid w:val="002B6779"/>
    <w:rsid w:val="002B7170"/>
    <w:rsid w:val="002B71C0"/>
    <w:rsid w:val="002B721E"/>
    <w:rsid w:val="002B7806"/>
    <w:rsid w:val="002B7A34"/>
    <w:rsid w:val="002C0537"/>
    <w:rsid w:val="002C08E3"/>
    <w:rsid w:val="002C097D"/>
    <w:rsid w:val="002C0CAA"/>
    <w:rsid w:val="002C0FB0"/>
    <w:rsid w:val="002C28DF"/>
    <w:rsid w:val="002C2972"/>
    <w:rsid w:val="002C2BF0"/>
    <w:rsid w:val="002C31AD"/>
    <w:rsid w:val="002C520E"/>
    <w:rsid w:val="002C6099"/>
    <w:rsid w:val="002C7385"/>
    <w:rsid w:val="002C7780"/>
    <w:rsid w:val="002D097F"/>
    <w:rsid w:val="002D2562"/>
    <w:rsid w:val="002D2DBB"/>
    <w:rsid w:val="002D2DC6"/>
    <w:rsid w:val="002D2EC8"/>
    <w:rsid w:val="002D3214"/>
    <w:rsid w:val="002D3344"/>
    <w:rsid w:val="002D33B0"/>
    <w:rsid w:val="002D37D8"/>
    <w:rsid w:val="002D54A6"/>
    <w:rsid w:val="002D5A71"/>
    <w:rsid w:val="002D7A25"/>
    <w:rsid w:val="002E0371"/>
    <w:rsid w:val="002E17F0"/>
    <w:rsid w:val="002E2BEA"/>
    <w:rsid w:val="002E2CF9"/>
    <w:rsid w:val="002E2F24"/>
    <w:rsid w:val="002E3779"/>
    <w:rsid w:val="002E3B22"/>
    <w:rsid w:val="002E3EAD"/>
    <w:rsid w:val="002E5BF9"/>
    <w:rsid w:val="002E5F5C"/>
    <w:rsid w:val="002E6A7A"/>
    <w:rsid w:val="002E6F88"/>
    <w:rsid w:val="002F0A39"/>
    <w:rsid w:val="002F1DB0"/>
    <w:rsid w:val="002F1E49"/>
    <w:rsid w:val="002F221C"/>
    <w:rsid w:val="002F4299"/>
    <w:rsid w:val="002F4A36"/>
    <w:rsid w:val="002F4E9C"/>
    <w:rsid w:val="002F5EE8"/>
    <w:rsid w:val="002F5F87"/>
    <w:rsid w:val="002F6831"/>
    <w:rsid w:val="002F6E15"/>
    <w:rsid w:val="0030091B"/>
    <w:rsid w:val="00300CA1"/>
    <w:rsid w:val="00301CAA"/>
    <w:rsid w:val="00301CC2"/>
    <w:rsid w:val="0030207D"/>
    <w:rsid w:val="00302287"/>
    <w:rsid w:val="003023A8"/>
    <w:rsid w:val="00302F4E"/>
    <w:rsid w:val="00305853"/>
    <w:rsid w:val="00306760"/>
    <w:rsid w:val="0031088B"/>
    <w:rsid w:val="00312155"/>
    <w:rsid w:val="0031256C"/>
    <w:rsid w:val="0031267C"/>
    <w:rsid w:val="003126B7"/>
    <w:rsid w:val="00312E01"/>
    <w:rsid w:val="00313021"/>
    <w:rsid w:val="0031395B"/>
    <w:rsid w:val="00313FC6"/>
    <w:rsid w:val="00314B31"/>
    <w:rsid w:val="00314D6C"/>
    <w:rsid w:val="00316938"/>
    <w:rsid w:val="00316D2A"/>
    <w:rsid w:val="00317885"/>
    <w:rsid w:val="003203A8"/>
    <w:rsid w:val="003205CD"/>
    <w:rsid w:val="00320A6B"/>
    <w:rsid w:val="003211C7"/>
    <w:rsid w:val="0032163D"/>
    <w:rsid w:val="00321A55"/>
    <w:rsid w:val="0032226F"/>
    <w:rsid w:val="00322A7C"/>
    <w:rsid w:val="00322EEC"/>
    <w:rsid w:val="00323061"/>
    <w:rsid w:val="0032610F"/>
    <w:rsid w:val="0032613D"/>
    <w:rsid w:val="00326AF4"/>
    <w:rsid w:val="0033088B"/>
    <w:rsid w:val="0033158B"/>
    <w:rsid w:val="0033230F"/>
    <w:rsid w:val="00333086"/>
    <w:rsid w:val="00333F6F"/>
    <w:rsid w:val="0033476D"/>
    <w:rsid w:val="00335FC7"/>
    <w:rsid w:val="0033625A"/>
    <w:rsid w:val="003367A7"/>
    <w:rsid w:val="0033726F"/>
    <w:rsid w:val="00337C3B"/>
    <w:rsid w:val="00340228"/>
    <w:rsid w:val="003402D3"/>
    <w:rsid w:val="0034068E"/>
    <w:rsid w:val="00341352"/>
    <w:rsid w:val="003423FC"/>
    <w:rsid w:val="00343ABC"/>
    <w:rsid w:val="003441B9"/>
    <w:rsid w:val="0034501C"/>
    <w:rsid w:val="00345EC9"/>
    <w:rsid w:val="0034635F"/>
    <w:rsid w:val="003463FE"/>
    <w:rsid w:val="003472FC"/>
    <w:rsid w:val="003478E7"/>
    <w:rsid w:val="00347D32"/>
    <w:rsid w:val="00347D41"/>
    <w:rsid w:val="00350729"/>
    <w:rsid w:val="00351129"/>
    <w:rsid w:val="003514CE"/>
    <w:rsid w:val="00351BB3"/>
    <w:rsid w:val="0035377E"/>
    <w:rsid w:val="00353B52"/>
    <w:rsid w:val="00354EEA"/>
    <w:rsid w:val="003554B3"/>
    <w:rsid w:val="00355867"/>
    <w:rsid w:val="00356558"/>
    <w:rsid w:val="00356632"/>
    <w:rsid w:val="003567FD"/>
    <w:rsid w:val="00357C7E"/>
    <w:rsid w:val="00357CCA"/>
    <w:rsid w:val="00361257"/>
    <w:rsid w:val="003614E3"/>
    <w:rsid w:val="00361C1B"/>
    <w:rsid w:val="003626F0"/>
    <w:rsid w:val="003627EC"/>
    <w:rsid w:val="0036310F"/>
    <w:rsid w:val="003653B6"/>
    <w:rsid w:val="0036651D"/>
    <w:rsid w:val="00366FFD"/>
    <w:rsid w:val="0036705C"/>
    <w:rsid w:val="00370327"/>
    <w:rsid w:val="00370E49"/>
    <w:rsid w:val="003718FA"/>
    <w:rsid w:val="00371C8F"/>
    <w:rsid w:val="0037326C"/>
    <w:rsid w:val="00374CC4"/>
    <w:rsid w:val="00375A67"/>
    <w:rsid w:val="00375E1A"/>
    <w:rsid w:val="00376365"/>
    <w:rsid w:val="003765CA"/>
    <w:rsid w:val="003774B2"/>
    <w:rsid w:val="0038036F"/>
    <w:rsid w:val="0038069E"/>
    <w:rsid w:val="003809CA"/>
    <w:rsid w:val="00380F2D"/>
    <w:rsid w:val="00382781"/>
    <w:rsid w:val="00382A55"/>
    <w:rsid w:val="003834EA"/>
    <w:rsid w:val="003845A9"/>
    <w:rsid w:val="00384AF8"/>
    <w:rsid w:val="003850C9"/>
    <w:rsid w:val="003856B6"/>
    <w:rsid w:val="00390883"/>
    <w:rsid w:val="003908D8"/>
    <w:rsid w:val="00390A5A"/>
    <w:rsid w:val="00391671"/>
    <w:rsid w:val="003919CA"/>
    <w:rsid w:val="003922F8"/>
    <w:rsid w:val="00392425"/>
    <w:rsid w:val="00393779"/>
    <w:rsid w:val="00393ACE"/>
    <w:rsid w:val="00393FA5"/>
    <w:rsid w:val="00394695"/>
    <w:rsid w:val="00395B24"/>
    <w:rsid w:val="0039708E"/>
    <w:rsid w:val="00397461"/>
    <w:rsid w:val="003977A7"/>
    <w:rsid w:val="003A09AA"/>
    <w:rsid w:val="003A2D38"/>
    <w:rsid w:val="003A3306"/>
    <w:rsid w:val="003A3939"/>
    <w:rsid w:val="003A4D09"/>
    <w:rsid w:val="003A5946"/>
    <w:rsid w:val="003A5998"/>
    <w:rsid w:val="003A5B2F"/>
    <w:rsid w:val="003A7438"/>
    <w:rsid w:val="003A7ECC"/>
    <w:rsid w:val="003B0BB1"/>
    <w:rsid w:val="003B0E80"/>
    <w:rsid w:val="003B1647"/>
    <w:rsid w:val="003B16D2"/>
    <w:rsid w:val="003B2768"/>
    <w:rsid w:val="003B2C72"/>
    <w:rsid w:val="003B2F79"/>
    <w:rsid w:val="003B3F15"/>
    <w:rsid w:val="003B4379"/>
    <w:rsid w:val="003B488C"/>
    <w:rsid w:val="003B4D4A"/>
    <w:rsid w:val="003B576C"/>
    <w:rsid w:val="003B58B4"/>
    <w:rsid w:val="003B5B50"/>
    <w:rsid w:val="003B5C1D"/>
    <w:rsid w:val="003B5CFB"/>
    <w:rsid w:val="003C1333"/>
    <w:rsid w:val="003C1672"/>
    <w:rsid w:val="003C1CDF"/>
    <w:rsid w:val="003C206B"/>
    <w:rsid w:val="003C20FF"/>
    <w:rsid w:val="003C2D75"/>
    <w:rsid w:val="003C39E0"/>
    <w:rsid w:val="003C3D8F"/>
    <w:rsid w:val="003C4453"/>
    <w:rsid w:val="003C4922"/>
    <w:rsid w:val="003C49FC"/>
    <w:rsid w:val="003C4D8E"/>
    <w:rsid w:val="003C550A"/>
    <w:rsid w:val="003C556B"/>
    <w:rsid w:val="003C6055"/>
    <w:rsid w:val="003C633A"/>
    <w:rsid w:val="003C68B7"/>
    <w:rsid w:val="003C6BB6"/>
    <w:rsid w:val="003C74F7"/>
    <w:rsid w:val="003D2650"/>
    <w:rsid w:val="003D28F0"/>
    <w:rsid w:val="003D4E8E"/>
    <w:rsid w:val="003D560C"/>
    <w:rsid w:val="003D5C00"/>
    <w:rsid w:val="003D6E83"/>
    <w:rsid w:val="003D713E"/>
    <w:rsid w:val="003D7223"/>
    <w:rsid w:val="003D7A3B"/>
    <w:rsid w:val="003E03D7"/>
    <w:rsid w:val="003E0602"/>
    <w:rsid w:val="003E0DD4"/>
    <w:rsid w:val="003E0E16"/>
    <w:rsid w:val="003E1818"/>
    <w:rsid w:val="003E3154"/>
    <w:rsid w:val="003E4A62"/>
    <w:rsid w:val="003E50F4"/>
    <w:rsid w:val="003E5593"/>
    <w:rsid w:val="003E5874"/>
    <w:rsid w:val="003E72D3"/>
    <w:rsid w:val="003E7486"/>
    <w:rsid w:val="003E77BB"/>
    <w:rsid w:val="003E78F9"/>
    <w:rsid w:val="003F0EE6"/>
    <w:rsid w:val="003F193E"/>
    <w:rsid w:val="003F1D6C"/>
    <w:rsid w:val="003F242C"/>
    <w:rsid w:val="003F2532"/>
    <w:rsid w:val="003F2C50"/>
    <w:rsid w:val="003F2E62"/>
    <w:rsid w:val="003F34F1"/>
    <w:rsid w:val="003F4690"/>
    <w:rsid w:val="003F4727"/>
    <w:rsid w:val="003F4F2A"/>
    <w:rsid w:val="003F5226"/>
    <w:rsid w:val="003F623C"/>
    <w:rsid w:val="003F710E"/>
    <w:rsid w:val="003F7E0B"/>
    <w:rsid w:val="0040003D"/>
    <w:rsid w:val="0040146A"/>
    <w:rsid w:val="00401C20"/>
    <w:rsid w:val="00401CD7"/>
    <w:rsid w:val="00402246"/>
    <w:rsid w:val="0040233C"/>
    <w:rsid w:val="00402709"/>
    <w:rsid w:val="004028B0"/>
    <w:rsid w:val="00402BBF"/>
    <w:rsid w:val="00402D32"/>
    <w:rsid w:val="0040300E"/>
    <w:rsid w:val="004030E1"/>
    <w:rsid w:val="004031D8"/>
    <w:rsid w:val="00403735"/>
    <w:rsid w:val="00403B0F"/>
    <w:rsid w:val="00404360"/>
    <w:rsid w:val="004049D2"/>
    <w:rsid w:val="004049F4"/>
    <w:rsid w:val="0040595C"/>
    <w:rsid w:val="00406343"/>
    <w:rsid w:val="00407DD2"/>
    <w:rsid w:val="004104B6"/>
    <w:rsid w:val="00410BCF"/>
    <w:rsid w:val="00411AE8"/>
    <w:rsid w:val="00413B74"/>
    <w:rsid w:val="00415A69"/>
    <w:rsid w:val="00416014"/>
    <w:rsid w:val="004166D0"/>
    <w:rsid w:val="00416C3C"/>
    <w:rsid w:val="0041772B"/>
    <w:rsid w:val="004179A3"/>
    <w:rsid w:val="00417CA8"/>
    <w:rsid w:val="0042099B"/>
    <w:rsid w:val="00420EA9"/>
    <w:rsid w:val="004212BA"/>
    <w:rsid w:val="004222AB"/>
    <w:rsid w:val="00423D7F"/>
    <w:rsid w:val="00425D77"/>
    <w:rsid w:val="0042682A"/>
    <w:rsid w:val="0042696B"/>
    <w:rsid w:val="00427676"/>
    <w:rsid w:val="00427A01"/>
    <w:rsid w:val="0043030D"/>
    <w:rsid w:val="00431C65"/>
    <w:rsid w:val="00431EED"/>
    <w:rsid w:val="00433B52"/>
    <w:rsid w:val="00433F34"/>
    <w:rsid w:val="00434294"/>
    <w:rsid w:val="004342F3"/>
    <w:rsid w:val="004351A4"/>
    <w:rsid w:val="00435787"/>
    <w:rsid w:val="00435C5F"/>
    <w:rsid w:val="00436155"/>
    <w:rsid w:val="00436460"/>
    <w:rsid w:val="00437AA2"/>
    <w:rsid w:val="004402DA"/>
    <w:rsid w:val="00440ED7"/>
    <w:rsid w:val="00441583"/>
    <w:rsid w:val="00441E98"/>
    <w:rsid w:val="00443865"/>
    <w:rsid w:val="004443A8"/>
    <w:rsid w:val="004445B8"/>
    <w:rsid w:val="004451F6"/>
    <w:rsid w:val="0044533B"/>
    <w:rsid w:val="00446883"/>
    <w:rsid w:val="00446BA6"/>
    <w:rsid w:val="0044723D"/>
    <w:rsid w:val="004472C1"/>
    <w:rsid w:val="00450084"/>
    <w:rsid w:val="00450276"/>
    <w:rsid w:val="00450C82"/>
    <w:rsid w:val="00450CD3"/>
    <w:rsid w:val="00450F3A"/>
    <w:rsid w:val="004512C4"/>
    <w:rsid w:val="00451460"/>
    <w:rsid w:val="00452B74"/>
    <w:rsid w:val="004532F7"/>
    <w:rsid w:val="004538F3"/>
    <w:rsid w:val="00454DFD"/>
    <w:rsid w:val="00454E1A"/>
    <w:rsid w:val="0045596A"/>
    <w:rsid w:val="00456A4B"/>
    <w:rsid w:val="00456A9E"/>
    <w:rsid w:val="00457950"/>
    <w:rsid w:val="00460203"/>
    <w:rsid w:val="0046055A"/>
    <w:rsid w:val="00462D74"/>
    <w:rsid w:val="004634A1"/>
    <w:rsid w:val="00463F6C"/>
    <w:rsid w:val="0046414B"/>
    <w:rsid w:val="00464D51"/>
    <w:rsid w:val="004657ED"/>
    <w:rsid w:val="00465FC3"/>
    <w:rsid w:val="004661DB"/>
    <w:rsid w:val="00466E07"/>
    <w:rsid w:val="00467918"/>
    <w:rsid w:val="00467D8B"/>
    <w:rsid w:val="00467E65"/>
    <w:rsid w:val="00470358"/>
    <w:rsid w:val="00471F99"/>
    <w:rsid w:val="00472027"/>
    <w:rsid w:val="0047331F"/>
    <w:rsid w:val="00473CFF"/>
    <w:rsid w:val="00474EDD"/>
    <w:rsid w:val="004755A5"/>
    <w:rsid w:val="00475BB1"/>
    <w:rsid w:val="00476444"/>
    <w:rsid w:val="00476E60"/>
    <w:rsid w:val="004774CC"/>
    <w:rsid w:val="004804CF"/>
    <w:rsid w:val="0048062C"/>
    <w:rsid w:val="00483275"/>
    <w:rsid w:val="00483314"/>
    <w:rsid w:val="0048358F"/>
    <w:rsid w:val="00483A2C"/>
    <w:rsid w:val="00483B1B"/>
    <w:rsid w:val="00484962"/>
    <w:rsid w:val="00484F6D"/>
    <w:rsid w:val="00484FB7"/>
    <w:rsid w:val="0048554D"/>
    <w:rsid w:val="00485601"/>
    <w:rsid w:val="00485663"/>
    <w:rsid w:val="0048660F"/>
    <w:rsid w:val="0049054D"/>
    <w:rsid w:val="004905D0"/>
    <w:rsid w:val="0049061D"/>
    <w:rsid w:val="00490A33"/>
    <w:rsid w:val="0049189E"/>
    <w:rsid w:val="00492405"/>
    <w:rsid w:val="0049338A"/>
    <w:rsid w:val="00493CB5"/>
    <w:rsid w:val="0049417F"/>
    <w:rsid w:val="0049521B"/>
    <w:rsid w:val="004955B1"/>
    <w:rsid w:val="00496102"/>
    <w:rsid w:val="004961EA"/>
    <w:rsid w:val="00496210"/>
    <w:rsid w:val="00496D41"/>
    <w:rsid w:val="004972EF"/>
    <w:rsid w:val="004A041A"/>
    <w:rsid w:val="004A1912"/>
    <w:rsid w:val="004A2EFA"/>
    <w:rsid w:val="004A4784"/>
    <w:rsid w:val="004A56A8"/>
    <w:rsid w:val="004A60ED"/>
    <w:rsid w:val="004A6602"/>
    <w:rsid w:val="004A7DE7"/>
    <w:rsid w:val="004B0AFC"/>
    <w:rsid w:val="004B0C57"/>
    <w:rsid w:val="004B10A4"/>
    <w:rsid w:val="004B1920"/>
    <w:rsid w:val="004B1C3A"/>
    <w:rsid w:val="004B292A"/>
    <w:rsid w:val="004B3EFA"/>
    <w:rsid w:val="004B44E3"/>
    <w:rsid w:val="004B4B8E"/>
    <w:rsid w:val="004B5195"/>
    <w:rsid w:val="004B7611"/>
    <w:rsid w:val="004C008D"/>
    <w:rsid w:val="004C0A54"/>
    <w:rsid w:val="004C0CBA"/>
    <w:rsid w:val="004C2A87"/>
    <w:rsid w:val="004C38B9"/>
    <w:rsid w:val="004C4D7B"/>
    <w:rsid w:val="004C4ED3"/>
    <w:rsid w:val="004C504C"/>
    <w:rsid w:val="004C55AC"/>
    <w:rsid w:val="004C65F0"/>
    <w:rsid w:val="004C667B"/>
    <w:rsid w:val="004C6D21"/>
    <w:rsid w:val="004C7B78"/>
    <w:rsid w:val="004C7ECD"/>
    <w:rsid w:val="004D0A72"/>
    <w:rsid w:val="004D18F5"/>
    <w:rsid w:val="004D2209"/>
    <w:rsid w:val="004D237C"/>
    <w:rsid w:val="004D2EA5"/>
    <w:rsid w:val="004D32A6"/>
    <w:rsid w:val="004D3AF9"/>
    <w:rsid w:val="004D3BA5"/>
    <w:rsid w:val="004D53E5"/>
    <w:rsid w:val="004D6AD2"/>
    <w:rsid w:val="004D6E0B"/>
    <w:rsid w:val="004D7536"/>
    <w:rsid w:val="004D7950"/>
    <w:rsid w:val="004E015C"/>
    <w:rsid w:val="004E239B"/>
    <w:rsid w:val="004E2D01"/>
    <w:rsid w:val="004E382B"/>
    <w:rsid w:val="004E3CDE"/>
    <w:rsid w:val="004E3F8E"/>
    <w:rsid w:val="004E44AF"/>
    <w:rsid w:val="004E5DFA"/>
    <w:rsid w:val="004E6CE8"/>
    <w:rsid w:val="004E6D43"/>
    <w:rsid w:val="004E6DC4"/>
    <w:rsid w:val="004E78CF"/>
    <w:rsid w:val="004E7D0B"/>
    <w:rsid w:val="004F00A5"/>
    <w:rsid w:val="004F00BC"/>
    <w:rsid w:val="004F08D3"/>
    <w:rsid w:val="004F21C1"/>
    <w:rsid w:val="004F2D2E"/>
    <w:rsid w:val="004F3585"/>
    <w:rsid w:val="004F506E"/>
    <w:rsid w:val="004F7911"/>
    <w:rsid w:val="0050068D"/>
    <w:rsid w:val="00501A12"/>
    <w:rsid w:val="00501CBB"/>
    <w:rsid w:val="00502371"/>
    <w:rsid w:val="00502E79"/>
    <w:rsid w:val="0050309C"/>
    <w:rsid w:val="00503CD3"/>
    <w:rsid w:val="00505012"/>
    <w:rsid w:val="0050599F"/>
    <w:rsid w:val="00506DE7"/>
    <w:rsid w:val="0051086C"/>
    <w:rsid w:val="00511B35"/>
    <w:rsid w:val="00512269"/>
    <w:rsid w:val="00512484"/>
    <w:rsid w:val="005124FC"/>
    <w:rsid w:val="00512DDC"/>
    <w:rsid w:val="00513120"/>
    <w:rsid w:val="005131F3"/>
    <w:rsid w:val="0051327C"/>
    <w:rsid w:val="0051346D"/>
    <w:rsid w:val="00513E21"/>
    <w:rsid w:val="00513EAE"/>
    <w:rsid w:val="00513FD1"/>
    <w:rsid w:val="0051434F"/>
    <w:rsid w:val="005150BF"/>
    <w:rsid w:val="00516806"/>
    <w:rsid w:val="00516E96"/>
    <w:rsid w:val="00517F91"/>
    <w:rsid w:val="00520125"/>
    <w:rsid w:val="0052098C"/>
    <w:rsid w:val="00522594"/>
    <w:rsid w:val="00523DE4"/>
    <w:rsid w:val="00524460"/>
    <w:rsid w:val="00524B97"/>
    <w:rsid w:val="00524BEC"/>
    <w:rsid w:val="00524C92"/>
    <w:rsid w:val="0052500A"/>
    <w:rsid w:val="00525A49"/>
    <w:rsid w:val="00525D00"/>
    <w:rsid w:val="00525E41"/>
    <w:rsid w:val="005262D1"/>
    <w:rsid w:val="00526CBA"/>
    <w:rsid w:val="00527454"/>
    <w:rsid w:val="00530876"/>
    <w:rsid w:val="0053094E"/>
    <w:rsid w:val="00530CE7"/>
    <w:rsid w:val="005323C2"/>
    <w:rsid w:val="00532DF2"/>
    <w:rsid w:val="00532EB6"/>
    <w:rsid w:val="0053392E"/>
    <w:rsid w:val="00533D0C"/>
    <w:rsid w:val="00535613"/>
    <w:rsid w:val="005359B7"/>
    <w:rsid w:val="005359EB"/>
    <w:rsid w:val="005367F0"/>
    <w:rsid w:val="00540D47"/>
    <w:rsid w:val="00541105"/>
    <w:rsid w:val="0054199A"/>
    <w:rsid w:val="00541F0A"/>
    <w:rsid w:val="005422C5"/>
    <w:rsid w:val="0054254A"/>
    <w:rsid w:val="00542AA7"/>
    <w:rsid w:val="0054416E"/>
    <w:rsid w:val="0054427D"/>
    <w:rsid w:val="0054434E"/>
    <w:rsid w:val="005448C0"/>
    <w:rsid w:val="0054500B"/>
    <w:rsid w:val="00545106"/>
    <w:rsid w:val="005466B5"/>
    <w:rsid w:val="005472B2"/>
    <w:rsid w:val="0054790A"/>
    <w:rsid w:val="00550255"/>
    <w:rsid w:val="005503B8"/>
    <w:rsid w:val="00551EB8"/>
    <w:rsid w:val="005527C7"/>
    <w:rsid w:val="00552A53"/>
    <w:rsid w:val="00552AD1"/>
    <w:rsid w:val="00552C52"/>
    <w:rsid w:val="00552F38"/>
    <w:rsid w:val="005530EE"/>
    <w:rsid w:val="00554314"/>
    <w:rsid w:val="00556814"/>
    <w:rsid w:val="00556C65"/>
    <w:rsid w:val="00557293"/>
    <w:rsid w:val="005579F1"/>
    <w:rsid w:val="005601F1"/>
    <w:rsid w:val="005601F4"/>
    <w:rsid w:val="0056132A"/>
    <w:rsid w:val="00561390"/>
    <w:rsid w:val="0056187E"/>
    <w:rsid w:val="005618C2"/>
    <w:rsid w:val="00561E9E"/>
    <w:rsid w:val="00562829"/>
    <w:rsid w:val="005629B3"/>
    <w:rsid w:val="00562D30"/>
    <w:rsid w:val="00563300"/>
    <w:rsid w:val="005647D0"/>
    <w:rsid w:val="00565EF7"/>
    <w:rsid w:val="00565FAE"/>
    <w:rsid w:val="005663D8"/>
    <w:rsid w:val="005666EA"/>
    <w:rsid w:val="0056718C"/>
    <w:rsid w:val="005708A3"/>
    <w:rsid w:val="00571185"/>
    <w:rsid w:val="0057128A"/>
    <w:rsid w:val="005712EE"/>
    <w:rsid w:val="005724F6"/>
    <w:rsid w:val="00572A2D"/>
    <w:rsid w:val="00573294"/>
    <w:rsid w:val="005734E9"/>
    <w:rsid w:val="00573AC4"/>
    <w:rsid w:val="00573AE7"/>
    <w:rsid w:val="00573D88"/>
    <w:rsid w:val="005745DC"/>
    <w:rsid w:val="00574BBB"/>
    <w:rsid w:val="005750C1"/>
    <w:rsid w:val="00575240"/>
    <w:rsid w:val="00575C16"/>
    <w:rsid w:val="00575C9B"/>
    <w:rsid w:val="00576739"/>
    <w:rsid w:val="00577A5E"/>
    <w:rsid w:val="005801FC"/>
    <w:rsid w:val="00580758"/>
    <w:rsid w:val="0058099C"/>
    <w:rsid w:val="00580F7E"/>
    <w:rsid w:val="00581D2E"/>
    <w:rsid w:val="00581EA5"/>
    <w:rsid w:val="00582833"/>
    <w:rsid w:val="00582B8B"/>
    <w:rsid w:val="00584B20"/>
    <w:rsid w:val="00584C60"/>
    <w:rsid w:val="00585A9C"/>
    <w:rsid w:val="00585B8A"/>
    <w:rsid w:val="00585BA9"/>
    <w:rsid w:val="00586D47"/>
    <w:rsid w:val="00586E72"/>
    <w:rsid w:val="0058721F"/>
    <w:rsid w:val="00587359"/>
    <w:rsid w:val="005878FB"/>
    <w:rsid w:val="00590420"/>
    <w:rsid w:val="005907E1"/>
    <w:rsid w:val="0059116F"/>
    <w:rsid w:val="00592357"/>
    <w:rsid w:val="00592A95"/>
    <w:rsid w:val="005935B7"/>
    <w:rsid w:val="0059386D"/>
    <w:rsid w:val="00594521"/>
    <w:rsid w:val="00595016"/>
    <w:rsid w:val="0059502F"/>
    <w:rsid w:val="00596914"/>
    <w:rsid w:val="005969C6"/>
    <w:rsid w:val="0059706B"/>
    <w:rsid w:val="00597AAE"/>
    <w:rsid w:val="00597F24"/>
    <w:rsid w:val="005A014F"/>
    <w:rsid w:val="005A038A"/>
    <w:rsid w:val="005A1E4E"/>
    <w:rsid w:val="005A222C"/>
    <w:rsid w:val="005A232E"/>
    <w:rsid w:val="005A3004"/>
    <w:rsid w:val="005A325D"/>
    <w:rsid w:val="005A3E90"/>
    <w:rsid w:val="005A4D20"/>
    <w:rsid w:val="005A4DF8"/>
    <w:rsid w:val="005A5A62"/>
    <w:rsid w:val="005A623F"/>
    <w:rsid w:val="005A6EDC"/>
    <w:rsid w:val="005A78C8"/>
    <w:rsid w:val="005B0DC4"/>
    <w:rsid w:val="005B0EBE"/>
    <w:rsid w:val="005B1426"/>
    <w:rsid w:val="005B1922"/>
    <w:rsid w:val="005B1FF1"/>
    <w:rsid w:val="005B2256"/>
    <w:rsid w:val="005B2847"/>
    <w:rsid w:val="005B2872"/>
    <w:rsid w:val="005B2B8B"/>
    <w:rsid w:val="005B3653"/>
    <w:rsid w:val="005B3A36"/>
    <w:rsid w:val="005B514A"/>
    <w:rsid w:val="005B7BB7"/>
    <w:rsid w:val="005C0A8E"/>
    <w:rsid w:val="005C0D9C"/>
    <w:rsid w:val="005C0E9A"/>
    <w:rsid w:val="005C10CF"/>
    <w:rsid w:val="005C1767"/>
    <w:rsid w:val="005C185C"/>
    <w:rsid w:val="005C19CD"/>
    <w:rsid w:val="005C1E24"/>
    <w:rsid w:val="005C23CD"/>
    <w:rsid w:val="005C3D32"/>
    <w:rsid w:val="005C42EF"/>
    <w:rsid w:val="005C4598"/>
    <w:rsid w:val="005C55FD"/>
    <w:rsid w:val="005C5AE4"/>
    <w:rsid w:val="005C60E3"/>
    <w:rsid w:val="005C797A"/>
    <w:rsid w:val="005D0539"/>
    <w:rsid w:val="005D1B8D"/>
    <w:rsid w:val="005D2884"/>
    <w:rsid w:val="005D33F6"/>
    <w:rsid w:val="005D3928"/>
    <w:rsid w:val="005D3F2E"/>
    <w:rsid w:val="005D4060"/>
    <w:rsid w:val="005D4DE4"/>
    <w:rsid w:val="005D4F4E"/>
    <w:rsid w:val="005D5667"/>
    <w:rsid w:val="005D6104"/>
    <w:rsid w:val="005D6A0E"/>
    <w:rsid w:val="005E0128"/>
    <w:rsid w:val="005E02F5"/>
    <w:rsid w:val="005E0510"/>
    <w:rsid w:val="005E0575"/>
    <w:rsid w:val="005E176E"/>
    <w:rsid w:val="005E186E"/>
    <w:rsid w:val="005E1BE7"/>
    <w:rsid w:val="005E218E"/>
    <w:rsid w:val="005E2457"/>
    <w:rsid w:val="005E2A5B"/>
    <w:rsid w:val="005E2D4C"/>
    <w:rsid w:val="005E35A0"/>
    <w:rsid w:val="005E3C46"/>
    <w:rsid w:val="005E3EB9"/>
    <w:rsid w:val="005E568A"/>
    <w:rsid w:val="005E569E"/>
    <w:rsid w:val="005E6395"/>
    <w:rsid w:val="005E7BAD"/>
    <w:rsid w:val="005E7D81"/>
    <w:rsid w:val="005F0400"/>
    <w:rsid w:val="005F09F8"/>
    <w:rsid w:val="005F0D1B"/>
    <w:rsid w:val="005F1865"/>
    <w:rsid w:val="005F1CB1"/>
    <w:rsid w:val="005F28D5"/>
    <w:rsid w:val="005F2E74"/>
    <w:rsid w:val="005F393A"/>
    <w:rsid w:val="005F3982"/>
    <w:rsid w:val="005F490C"/>
    <w:rsid w:val="005F4DA5"/>
    <w:rsid w:val="005F5558"/>
    <w:rsid w:val="005F5B01"/>
    <w:rsid w:val="005F626B"/>
    <w:rsid w:val="005F641A"/>
    <w:rsid w:val="005F6625"/>
    <w:rsid w:val="005F7FC1"/>
    <w:rsid w:val="006007BD"/>
    <w:rsid w:val="006013C8"/>
    <w:rsid w:val="0060145D"/>
    <w:rsid w:val="0060219A"/>
    <w:rsid w:val="006023E2"/>
    <w:rsid w:val="0060270D"/>
    <w:rsid w:val="00602828"/>
    <w:rsid w:val="006032B5"/>
    <w:rsid w:val="00603461"/>
    <w:rsid w:val="00603551"/>
    <w:rsid w:val="00604342"/>
    <w:rsid w:val="006045D5"/>
    <w:rsid w:val="00604611"/>
    <w:rsid w:val="00604666"/>
    <w:rsid w:val="00605241"/>
    <w:rsid w:val="006078C1"/>
    <w:rsid w:val="00611575"/>
    <w:rsid w:val="00611586"/>
    <w:rsid w:val="006122EA"/>
    <w:rsid w:val="006125FD"/>
    <w:rsid w:val="00612D26"/>
    <w:rsid w:val="00612E23"/>
    <w:rsid w:val="00613113"/>
    <w:rsid w:val="006136CB"/>
    <w:rsid w:val="00613B0C"/>
    <w:rsid w:val="006142BD"/>
    <w:rsid w:val="00614483"/>
    <w:rsid w:val="00615855"/>
    <w:rsid w:val="00615C7B"/>
    <w:rsid w:val="006167EF"/>
    <w:rsid w:val="00620602"/>
    <w:rsid w:val="00620DA8"/>
    <w:rsid w:val="0062129A"/>
    <w:rsid w:val="006215FC"/>
    <w:rsid w:val="00621887"/>
    <w:rsid w:val="006221BB"/>
    <w:rsid w:val="0062294B"/>
    <w:rsid w:val="00624520"/>
    <w:rsid w:val="00624D15"/>
    <w:rsid w:val="00624FDF"/>
    <w:rsid w:val="006264F6"/>
    <w:rsid w:val="006271F5"/>
    <w:rsid w:val="006272B0"/>
    <w:rsid w:val="006278F7"/>
    <w:rsid w:val="00631092"/>
    <w:rsid w:val="0063151A"/>
    <w:rsid w:val="00632300"/>
    <w:rsid w:val="00632340"/>
    <w:rsid w:val="00632BB7"/>
    <w:rsid w:val="00633149"/>
    <w:rsid w:val="00633645"/>
    <w:rsid w:val="006342CA"/>
    <w:rsid w:val="00634E53"/>
    <w:rsid w:val="00635B36"/>
    <w:rsid w:val="00636771"/>
    <w:rsid w:val="00636871"/>
    <w:rsid w:val="00636BFD"/>
    <w:rsid w:val="00636F10"/>
    <w:rsid w:val="006377AC"/>
    <w:rsid w:val="00640EE1"/>
    <w:rsid w:val="00640F4E"/>
    <w:rsid w:val="0064125D"/>
    <w:rsid w:val="0064354F"/>
    <w:rsid w:val="00643DE0"/>
    <w:rsid w:val="0064437D"/>
    <w:rsid w:val="00644E85"/>
    <w:rsid w:val="00645052"/>
    <w:rsid w:val="006450EF"/>
    <w:rsid w:val="006455E7"/>
    <w:rsid w:val="00645F8A"/>
    <w:rsid w:val="00646A05"/>
    <w:rsid w:val="00650596"/>
    <w:rsid w:val="00650B01"/>
    <w:rsid w:val="00650CA5"/>
    <w:rsid w:val="00650EAB"/>
    <w:rsid w:val="006516D8"/>
    <w:rsid w:val="00652C52"/>
    <w:rsid w:val="00654C0B"/>
    <w:rsid w:val="0066063F"/>
    <w:rsid w:val="00660B6E"/>
    <w:rsid w:val="00662A9A"/>
    <w:rsid w:val="00662BB0"/>
    <w:rsid w:val="00662E45"/>
    <w:rsid w:val="00663878"/>
    <w:rsid w:val="00664BC0"/>
    <w:rsid w:val="00664EA1"/>
    <w:rsid w:val="00664F1B"/>
    <w:rsid w:val="00666386"/>
    <w:rsid w:val="006675D8"/>
    <w:rsid w:val="00667773"/>
    <w:rsid w:val="0066778B"/>
    <w:rsid w:val="006702DD"/>
    <w:rsid w:val="00670743"/>
    <w:rsid w:val="00672838"/>
    <w:rsid w:val="006729D6"/>
    <w:rsid w:val="00674F65"/>
    <w:rsid w:val="006754AD"/>
    <w:rsid w:val="00675CDF"/>
    <w:rsid w:val="006764B4"/>
    <w:rsid w:val="006772AB"/>
    <w:rsid w:val="00680A85"/>
    <w:rsid w:val="00681966"/>
    <w:rsid w:val="00681ADF"/>
    <w:rsid w:val="00681BD7"/>
    <w:rsid w:val="0068223B"/>
    <w:rsid w:val="006822A3"/>
    <w:rsid w:val="00682B7D"/>
    <w:rsid w:val="0068360F"/>
    <w:rsid w:val="006847E8"/>
    <w:rsid w:val="00685393"/>
    <w:rsid w:val="006854B1"/>
    <w:rsid w:val="0068767E"/>
    <w:rsid w:val="00687ED8"/>
    <w:rsid w:val="00690A0B"/>
    <w:rsid w:val="00690B3F"/>
    <w:rsid w:val="00690EE2"/>
    <w:rsid w:val="00692228"/>
    <w:rsid w:val="00692694"/>
    <w:rsid w:val="006928A4"/>
    <w:rsid w:val="00692D37"/>
    <w:rsid w:val="00692E63"/>
    <w:rsid w:val="00693202"/>
    <w:rsid w:val="00693854"/>
    <w:rsid w:val="00693FA1"/>
    <w:rsid w:val="006947DF"/>
    <w:rsid w:val="00694BEB"/>
    <w:rsid w:val="006953D5"/>
    <w:rsid w:val="00696369"/>
    <w:rsid w:val="006972C9"/>
    <w:rsid w:val="006977A7"/>
    <w:rsid w:val="00697EFB"/>
    <w:rsid w:val="006A040D"/>
    <w:rsid w:val="006A07E5"/>
    <w:rsid w:val="006A0E20"/>
    <w:rsid w:val="006A1009"/>
    <w:rsid w:val="006A24E3"/>
    <w:rsid w:val="006A3F05"/>
    <w:rsid w:val="006A540D"/>
    <w:rsid w:val="006A5695"/>
    <w:rsid w:val="006A574A"/>
    <w:rsid w:val="006A6E8B"/>
    <w:rsid w:val="006A7137"/>
    <w:rsid w:val="006A7A84"/>
    <w:rsid w:val="006A7E91"/>
    <w:rsid w:val="006B0439"/>
    <w:rsid w:val="006B0527"/>
    <w:rsid w:val="006B07B1"/>
    <w:rsid w:val="006B0E3D"/>
    <w:rsid w:val="006B1A76"/>
    <w:rsid w:val="006B1ACF"/>
    <w:rsid w:val="006B2285"/>
    <w:rsid w:val="006B2B65"/>
    <w:rsid w:val="006B2EDC"/>
    <w:rsid w:val="006B35BE"/>
    <w:rsid w:val="006B36F3"/>
    <w:rsid w:val="006B37A0"/>
    <w:rsid w:val="006B3904"/>
    <w:rsid w:val="006B3EE2"/>
    <w:rsid w:val="006B5113"/>
    <w:rsid w:val="006B5B3C"/>
    <w:rsid w:val="006B5B7D"/>
    <w:rsid w:val="006B6975"/>
    <w:rsid w:val="006B6A27"/>
    <w:rsid w:val="006B71E4"/>
    <w:rsid w:val="006B798C"/>
    <w:rsid w:val="006B7E4A"/>
    <w:rsid w:val="006C0724"/>
    <w:rsid w:val="006C0E27"/>
    <w:rsid w:val="006C1F74"/>
    <w:rsid w:val="006C2273"/>
    <w:rsid w:val="006C3042"/>
    <w:rsid w:val="006C3A53"/>
    <w:rsid w:val="006C3E47"/>
    <w:rsid w:val="006C4297"/>
    <w:rsid w:val="006C4559"/>
    <w:rsid w:val="006C5714"/>
    <w:rsid w:val="006C5A90"/>
    <w:rsid w:val="006C5B46"/>
    <w:rsid w:val="006C5D16"/>
    <w:rsid w:val="006C6E39"/>
    <w:rsid w:val="006D03B3"/>
    <w:rsid w:val="006D06FC"/>
    <w:rsid w:val="006D0ECF"/>
    <w:rsid w:val="006D167E"/>
    <w:rsid w:val="006D31EB"/>
    <w:rsid w:val="006D3D5B"/>
    <w:rsid w:val="006D4C92"/>
    <w:rsid w:val="006D4EB6"/>
    <w:rsid w:val="006D5CB0"/>
    <w:rsid w:val="006D69C6"/>
    <w:rsid w:val="006D7048"/>
    <w:rsid w:val="006D77B5"/>
    <w:rsid w:val="006D7FBC"/>
    <w:rsid w:val="006E047C"/>
    <w:rsid w:val="006E0617"/>
    <w:rsid w:val="006E145D"/>
    <w:rsid w:val="006E1CB7"/>
    <w:rsid w:val="006E35A8"/>
    <w:rsid w:val="006E35BF"/>
    <w:rsid w:val="006E36BA"/>
    <w:rsid w:val="006E56E0"/>
    <w:rsid w:val="006E6DB8"/>
    <w:rsid w:val="006E7338"/>
    <w:rsid w:val="006E73BE"/>
    <w:rsid w:val="006E7850"/>
    <w:rsid w:val="006E7CE0"/>
    <w:rsid w:val="006F19D8"/>
    <w:rsid w:val="006F1C9B"/>
    <w:rsid w:val="006F3378"/>
    <w:rsid w:val="006F36C4"/>
    <w:rsid w:val="006F3F61"/>
    <w:rsid w:val="006F46D6"/>
    <w:rsid w:val="006F4BBB"/>
    <w:rsid w:val="006F5738"/>
    <w:rsid w:val="006F5AC5"/>
    <w:rsid w:val="006F629F"/>
    <w:rsid w:val="006F6623"/>
    <w:rsid w:val="006F68D8"/>
    <w:rsid w:val="006F6D2B"/>
    <w:rsid w:val="007000C3"/>
    <w:rsid w:val="0070096C"/>
    <w:rsid w:val="00701A87"/>
    <w:rsid w:val="007028D9"/>
    <w:rsid w:val="00702A6C"/>
    <w:rsid w:val="007039C0"/>
    <w:rsid w:val="007041B5"/>
    <w:rsid w:val="0070471A"/>
    <w:rsid w:val="00705662"/>
    <w:rsid w:val="00705FBC"/>
    <w:rsid w:val="00706A16"/>
    <w:rsid w:val="00707218"/>
    <w:rsid w:val="0070747C"/>
    <w:rsid w:val="00707520"/>
    <w:rsid w:val="00707912"/>
    <w:rsid w:val="007105F0"/>
    <w:rsid w:val="00710D04"/>
    <w:rsid w:val="00710D97"/>
    <w:rsid w:val="007112A8"/>
    <w:rsid w:val="00711721"/>
    <w:rsid w:val="007122F8"/>
    <w:rsid w:val="00712B1D"/>
    <w:rsid w:val="00712C98"/>
    <w:rsid w:val="0071381B"/>
    <w:rsid w:val="00713D32"/>
    <w:rsid w:val="0071497F"/>
    <w:rsid w:val="00715625"/>
    <w:rsid w:val="00715751"/>
    <w:rsid w:val="00715EC7"/>
    <w:rsid w:val="007167BD"/>
    <w:rsid w:val="00716E55"/>
    <w:rsid w:val="007171BA"/>
    <w:rsid w:val="00717616"/>
    <w:rsid w:val="00717E76"/>
    <w:rsid w:val="00720229"/>
    <w:rsid w:val="00720608"/>
    <w:rsid w:val="00720E8A"/>
    <w:rsid w:val="00723C9E"/>
    <w:rsid w:val="00724A5F"/>
    <w:rsid w:val="00724E2C"/>
    <w:rsid w:val="00725796"/>
    <w:rsid w:val="00725A2D"/>
    <w:rsid w:val="00725A8C"/>
    <w:rsid w:val="00726DCD"/>
    <w:rsid w:val="007324B1"/>
    <w:rsid w:val="007325D9"/>
    <w:rsid w:val="0073270D"/>
    <w:rsid w:val="00732CD8"/>
    <w:rsid w:val="00733529"/>
    <w:rsid w:val="0073413F"/>
    <w:rsid w:val="00734CDF"/>
    <w:rsid w:val="00734D89"/>
    <w:rsid w:val="0073530E"/>
    <w:rsid w:val="0073583B"/>
    <w:rsid w:val="007360CA"/>
    <w:rsid w:val="00736AA8"/>
    <w:rsid w:val="00737B38"/>
    <w:rsid w:val="00741012"/>
    <w:rsid w:val="00741218"/>
    <w:rsid w:val="00741978"/>
    <w:rsid w:val="007426B1"/>
    <w:rsid w:val="00743632"/>
    <w:rsid w:val="00743996"/>
    <w:rsid w:val="00743B82"/>
    <w:rsid w:val="00744AAE"/>
    <w:rsid w:val="0074667B"/>
    <w:rsid w:val="007470BD"/>
    <w:rsid w:val="00747392"/>
    <w:rsid w:val="0075084A"/>
    <w:rsid w:val="007510FE"/>
    <w:rsid w:val="007529D9"/>
    <w:rsid w:val="00754A7D"/>
    <w:rsid w:val="007558FF"/>
    <w:rsid w:val="00756A8D"/>
    <w:rsid w:val="00756A9D"/>
    <w:rsid w:val="00756E94"/>
    <w:rsid w:val="00757D73"/>
    <w:rsid w:val="00760EC0"/>
    <w:rsid w:val="007610E1"/>
    <w:rsid w:val="007615DB"/>
    <w:rsid w:val="007623A6"/>
    <w:rsid w:val="00762D10"/>
    <w:rsid w:val="00765AAC"/>
    <w:rsid w:val="00770852"/>
    <w:rsid w:val="00770F88"/>
    <w:rsid w:val="007711BD"/>
    <w:rsid w:val="00772A55"/>
    <w:rsid w:val="007738AE"/>
    <w:rsid w:val="00774040"/>
    <w:rsid w:val="00774177"/>
    <w:rsid w:val="00774523"/>
    <w:rsid w:val="007749F7"/>
    <w:rsid w:val="0077593D"/>
    <w:rsid w:val="00775D09"/>
    <w:rsid w:val="00776106"/>
    <w:rsid w:val="00776241"/>
    <w:rsid w:val="0077681B"/>
    <w:rsid w:val="0077739C"/>
    <w:rsid w:val="0078003A"/>
    <w:rsid w:val="00780771"/>
    <w:rsid w:val="00781AE0"/>
    <w:rsid w:val="007820FA"/>
    <w:rsid w:val="0078217E"/>
    <w:rsid w:val="00782EA4"/>
    <w:rsid w:val="00782F30"/>
    <w:rsid w:val="0078480F"/>
    <w:rsid w:val="007859D4"/>
    <w:rsid w:val="007877B8"/>
    <w:rsid w:val="00787E28"/>
    <w:rsid w:val="00790990"/>
    <w:rsid w:val="007915C6"/>
    <w:rsid w:val="0079189C"/>
    <w:rsid w:val="007929CF"/>
    <w:rsid w:val="00793429"/>
    <w:rsid w:val="0079364F"/>
    <w:rsid w:val="00794B40"/>
    <w:rsid w:val="00795427"/>
    <w:rsid w:val="0079571D"/>
    <w:rsid w:val="007958AC"/>
    <w:rsid w:val="00795ADD"/>
    <w:rsid w:val="00795AE1"/>
    <w:rsid w:val="00795B59"/>
    <w:rsid w:val="00795BA0"/>
    <w:rsid w:val="00796110"/>
    <w:rsid w:val="0079640E"/>
    <w:rsid w:val="00797BA8"/>
    <w:rsid w:val="00797BAD"/>
    <w:rsid w:val="007A0399"/>
    <w:rsid w:val="007A081D"/>
    <w:rsid w:val="007A087F"/>
    <w:rsid w:val="007A49E7"/>
    <w:rsid w:val="007A6F28"/>
    <w:rsid w:val="007A7BFA"/>
    <w:rsid w:val="007B03C6"/>
    <w:rsid w:val="007B0DB1"/>
    <w:rsid w:val="007B104C"/>
    <w:rsid w:val="007B1BA6"/>
    <w:rsid w:val="007B20A2"/>
    <w:rsid w:val="007B2C06"/>
    <w:rsid w:val="007B2FF7"/>
    <w:rsid w:val="007B39DC"/>
    <w:rsid w:val="007B5542"/>
    <w:rsid w:val="007B5673"/>
    <w:rsid w:val="007B6046"/>
    <w:rsid w:val="007B621A"/>
    <w:rsid w:val="007B663B"/>
    <w:rsid w:val="007B68C5"/>
    <w:rsid w:val="007B6D9C"/>
    <w:rsid w:val="007B7238"/>
    <w:rsid w:val="007B76FF"/>
    <w:rsid w:val="007C16D0"/>
    <w:rsid w:val="007C3488"/>
    <w:rsid w:val="007C3BF6"/>
    <w:rsid w:val="007C4507"/>
    <w:rsid w:val="007C5781"/>
    <w:rsid w:val="007C67B3"/>
    <w:rsid w:val="007C7DE3"/>
    <w:rsid w:val="007D0CF1"/>
    <w:rsid w:val="007D0FD2"/>
    <w:rsid w:val="007D193E"/>
    <w:rsid w:val="007D2EF8"/>
    <w:rsid w:val="007D499D"/>
    <w:rsid w:val="007D561F"/>
    <w:rsid w:val="007D79CD"/>
    <w:rsid w:val="007D7FD2"/>
    <w:rsid w:val="007E0332"/>
    <w:rsid w:val="007E04EC"/>
    <w:rsid w:val="007E13D9"/>
    <w:rsid w:val="007E1DA3"/>
    <w:rsid w:val="007E2AA4"/>
    <w:rsid w:val="007E2AEC"/>
    <w:rsid w:val="007E2C3B"/>
    <w:rsid w:val="007E41BE"/>
    <w:rsid w:val="007E4993"/>
    <w:rsid w:val="007E4AB4"/>
    <w:rsid w:val="007E4DB6"/>
    <w:rsid w:val="007E4F02"/>
    <w:rsid w:val="007E50F2"/>
    <w:rsid w:val="007E5CC6"/>
    <w:rsid w:val="007E6733"/>
    <w:rsid w:val="007E68AE"/>
    <w:rsid w:val="007E7CD4"/>
    <w:rsid w:val="007F02B9"/>
    <w:rsid w:val="007F12AC"/>
    <w:rsid w:val="007F15F1"/>
    <w:rsid w:val="007F1A0D"/>
    <w:rsid w:val="007F2181"/>
    <w:rsid w:val="007F240D"/>
    <w:rsid w:val="007F2879"/>
    <w:rsid w:val="007F2D93"/>
    <w:rsid w:val="007F4501"/>
    <w:rsid w:val="007F60DF"/>
    <w:rsid w:val="007F6B18"/>
    <w:rsid w:val="00800512"/>
    <w:rsid w:val="008007AD"/>
    <w:rsid w:val="00801800"/>
    <w:rsid w:val="00801861"/>
    <w:rsid w:val="008019E7"/>
    <w:rsid w:val="00801B5B"/>
    <w:rsid w:val="00802C8F"/>
    <w:rsid w:val="008030E5"/>
    <w:rsid w:val="008036C5"/>
    <w:rsid w:val="008047AD"/>
    <w:rsid w:val="008052C6"/>
    <w:rsid w:val="0080584D"/>
    <w:rsid w:val="00805A30"/>
    <w:rsid w:val="00805A8F"/>
    <w:rsid w:val="00806506"/>
    <w:rsid w:val="00806AC5"/>
    <w:rsid w:val="00806ADF"/>
    <w:rsid w:val="00806F44"/>
    <w:rsid w:val="0081018A"/>
    <w:rsid w:val="00810227"/>
    <w:rsid w:val="00810E3C"/>
    <w:rsid w:val="00811264"/>
    <w:rsid w:val="008113DC"/>
    <w:rsid w:val="00811647"/>
    <w:rsid w:val="00811810"/>
    <w:rsid w:val="008118FE"/>
    <w:rsid w:val="0081253B"/>
    <w:rsid w:val="008125FF"/>
    <w:rsid w:val="0081300B"/>
    <w:rsid w:val="0081366B"/>
    <w:rsid w:val="00814607"/>
    <w:rsid w:val="0081501B"/>
    <w:rsid w:val="008150B0"/>
    <w:rsid w:val="00815D00"/>
    <w:rsid w:val="00816823"/>
    <w:rsid w:val="00817867"/>
    <w:rsid w:val="008178A3"/>
    <w:rsid w:val="00820348"/>
    <w:rsid w:val="00820878"/>
    <w:rsid w:val="00820ABD"/>
    <w:rsid w:val="008216E7"/>
    <w:rsid w:val="0082263F"/>
    <w:rsid w:val="008227CC"/>
    <w:rsid w:val="00825297"/>
    <w:rsid w:val="00825BE6"/>
    <w:rsid w:val="00826191"/>
    <w:rsid w:val="00826632"/>
    <w:rsid w:val="00826D2B"/>
    <w:rsid w:val="008273BA"/>
    <w:rsid w:val="008276B4"/>
    <w:rsid w:val="00827CD4"/>
    <w:rsid w:val="008305CD"/>
    <w:rsid w:val="008307E4"/>
    <w:rsid w:val="00830B37"/>
    <w:rsid w:val="00831201"/>
    <w:rsid w:val="00831927"/>
    <w:rsid w:val="00831E11"/>
    <w:rsid w:val="00831EBE"/>
    <w:rsid w:val="00832110"/>
    <w:rsid w:val="00832CBD"/>
    <w:rsid w:val="00832DBD"/>
    <w:rsid w:val="00834930"/>
    <w:rsid w:val="008365E6"/>
    <w:rsid w:val="00837288"/>
    <w:rsid w:val="0083756E"/>
    <w:rsid w:val="00837A3D"/>
    <w:rsid w:val="008416E5"/>
    <w:rsid w:val="00841BD3"/>
    <w:rsid w:val="00842050"/>
    <w:rsid w:val="0084273D"/>
    <w:rsid w:val="00843162"/>
    <w:rsid w:val="008449D1"/>
    <w:rsid w:val="00844E3F"/>
    <w:rsid w:val="0084582C"/>
    <w:rsid w:val="00845A83"/>
    <w:rsid w:val="00846BB9"/>
    <w:rsid w:val="0084787C"/>
    <w:rsid w:val="0085042D"/>
    <w:rsid w:val="00850980"/>
    <w:rsid w:val="00850D27"/>
    <w:rsid w:val="008526DE"/>
    <w:rsid w:val="00852B6F"/>
    <w:rsid w:val="00852DE0"/>
    <w:rsid w:val="008551BC"/>
    <w:rsid w:val="008561C5"/>
    <w:rsid w:val="00856713"/>
    <w:rsid w:val="00856AFE"/>
    <w:rsid w:val="008579F8"/>
    <w:rsid w:val="00861361"/>
    <w:rsid w:val="00861D38"/>
    <w:rsid w:val="0086241B"/>
    <w:rsid w:val="00862B9E"/>
    <w:rsid w:val="00863308"/>
    <w:rsid w:val="0086340B"/>
    <w:rsid w:val="008641E0"/>
    <w:rsid w:val="008649D5"/>
    <w:rsid w:val="0086524E"/>
    <w:rsid w:val="008659E0"/>
    <w:rsid w:val="00865E4F"/>
    <w:rsid w:val="00866776"/>
    <w:rsid w:val="0086702D"/>
    <w:rsid w:val="0086771F"/>
    <w:rsid w:val="00867C71"/>
    <w:rsid w:val="00870477"/>
    <w:rsid w:val="00871122"/>
    <w:rsid w:val="008712BB"/>
    <w:rsid w:val="00871C3F"/>
    <w:rsid w:val="008731DE"/>
    <w:rsid w:val="00873422"/>
    <w:rsid w:val="008744BA"/>
    <w:rsid w:val="0087581A"/>
    <w:rsid w:val="00876D11"/>
    <w:rsid w:val="00876F79"/>
    <w:rsid w:val="00877CB4"/>
    <w:rsid w:val="00880CEF"/>
    <w:rsid w:val="00881582"/>
    <w:rsid w:val="00881730"/>
    <w:rsid w:val="00882E13"/>
    <w:rsid w:val="008830E7"/>
    <w:rsid w:val="008836D1"/>
    <w:rsid w:val="0088389F"/>
    <w:rsid w:val="00883C3B"/>
    <w:rsid w:val="0088411E"/>
    <w:rsid w:val="0088486C"/>
    <w:rsid w:val="00884DDD"/>
    <w:rsid w:val="0088549E"/>
    <w:rsid w:val="0088713A"/>
    <w:rsid w:val="00890052"/>
    <w:rsid w:val="00890EDE"/>
    <w:rsid w:val="00890F52"/>
    <w:rsid w:val="00892A20"/>
    <w:rsid w:val="00892B38"/>
    <w:rsid w:val="00892B5F"/>
    <w:rsid w:val="00892FFF"/>
    <w:rsid w:val="008967B8"/>
    <w:rsid w:val="00897178"/>
    <w:rsid w:val="008976E7"/>
    <w:rsid w:val="008977A0"/>
    <w:rsid w:val="00897CB1"/>
    <w:rsid w:val="008A0667"/>
    <w:rsid w:val="008A1741"/>
    <w:rsid w:val="008A2484"/>
    <w:rsid w:val="008A3616"/>
    <w:rsid w:val="008A3DD9"/>
    <w:rsid w:val="008A41CE"/>
    <w:rsid w:val="008A4690"/>
    <w:rsid w:val="008A48E6"/>
    <w:rsid w:val="008A4E72"/>
    <w:rsid w:val="008A52F3"/>
    <w:rsid w:val="008A5746"/>
    <w:rsid w:val="008A603E"/>
    <w:rsid w:val="008A6107"/>
    <w:rsid w:val="008A6394"/>
    <w:rsid w:val="008A795D"/>
    <w:rsid w:val="008B1938"/>
    <w:rsid w:val="008B1E5B"/>
    <w:rsid w:val="008B1FB7"/>
    <w:rsid w:val="008B2981"/>
    <w:rsid w:val="008B2E9C"/>
    <w:rsid w:val="008B427C"/>
    <w:rsid w:val="008B5668"/>
    <w:rsid w:val="008B5896"/>
    <w:rsid w:val="008B5BEF"/>
    <w:rsid w:val="008B72AF"/>
    <w:rsid w:val="008C0B21"/>
    <w:rsid w:val="008C1D1F"/>
    <w:rsid w:val="008C26D9"/>
    <w:rsid w:val="008C2C29"/>
    <w:rsid w:val="008C4501"/>
    <w:rsid w:val="008C4733"/>
    <w:rsid w:val="008C4794"/>
    <w:rsid w:val="008C6D50"/>
    <w:rsid w:val="008C7167"/>
    <w:rsid w:val="008C7503"/>
    <w:rsid w:val="008D0772"/>
    <w:rsid w:val="008D1465"/>
    <w:rsid w:val="008D1617"/>
    <w:rsid w:val="008D3116"/>
    <w:rsid w:val="008D330F"/>
    <w:rsid w:val="008D3729"/>
    <w:rsid w:val="008D3A2F"/>
    <w:rsid w:val="008D3E7E"/>
    <w:rsid w:val="008D3F9F"/>
    <w:rsid w:val="008D409C"/>
    <w:rsid w:val="008D4788"/>
    <w:rsid w:val="008D48C1"/>
    <w:rsid w:val="008D54BB"/>
    <w:rsid w:val="008D5551"/>
    <w:rsid w:val="008D572E"/>
    <w:rsid w:val="008D5E14"/>
    <w:rsid w:val="008D5E4A"/>
    <w:rsid w:val="008D6151"/>
    <w:rsid w:val="008D67E7"/>
    <w:rsid w:val="008D6BD5"/>
    <w:rsid w:val="008D7970"/>
    <w:rsid w:val="008D7C83"/>
    <w:rsid w:val="008D7E79"/>
    <w:rsid w:val="008E0A28"/>
    <w:rsid w:val="008E37E3"/>
    <w:rsid w:val="008E3BF1"/>
    <w:rsid w:val="008E45CA"/>
    <w:rsid w:val="008E48E1"/>
    <w:rsid w:val="008E522C"/>
    <w:rsid w:val="008E6056"/>
    <w:rsid w:val="008E6315"/>
    <w:rsid w:val="008E7287"/>
    <w:rsid w:val="008E74E1"/>
    <w:rsid w:val="008E7C51"/>
    <w:rsid w:val="008F00BD"/>
    <w:rsid w:val="008F0480"/>
    <w:rsid w:val="008F07FC"/>
    <w:rsid w:val="008F11E0"/>
    <w:rsid w:val="008F14D4"/>
    <w:rsid w:val="008F1786"/>
    <w:rsid w:val="008F29A2"/>
    <w:rsid w:val="008F2D15"/>
    <w:rsid w:val="008F3EA7"/>
    <w:rsid w:val="008F46E8"/>
    <w:rsid w:val="008F4FB4"/>
    <w:rsid w:val="008F585C"/>
    <w:rsid w:val="008F5CB6"/>
    <w:rsid w:val="008F5EBF"/>
    <w:rsid w:val="008F5FE1"/>
    <w:rsid w:val="008F721C"/>
    <w:rsid w:val="008F78BC"/>
    <w:rsid w:val="008F7B63"/>
    <w:rsid w:val="008F7D6A"/>
    <w:rsid w:val="008F7DFC"/>
    <w:rsid w:val="009001CB"/>
    <w:rsid w:val="00900765"/>
    <w:rsid w:val="00901C86"/>
    <w:rsid w:val="009021BB"/>
    <w:rsid w:val="009030C2"/>
    <w:rsid w:val="00903603"/>
    <w:rsid w:val="009039BC"/>
    <w:rsid w:val="00903A2A"/>
    <w:rsid w:val="00903B5F"/>
    <w:rsid w:val="009042A3"/>
    <w:rsid w:val="00904817"/>
    <w:rsid w:val="0090492C"/>
    <w:rsid w:val="00904E0D"/>
    <w:rsid w:val="00904EFE"/>
    <w:rsid w:val="009054CB"/>
    <w:rsid w:val="00905B16"/>
    <w:rsid w:val="0090638C"/>
    <w:rsid w:val="00910F45"/>
    <w:rsid w:val="009110B6"/>
    <w:rsid w:val="00911A08"/>
    <w:rsid w:val="00911F8D"/>
    <w:rsid w:val="00912434"/>
    <w:rsid w:val="00912F94"/>
    <w:rsid w:val="00913951"/>
    <w:rsid w:val="00913FF1"/>
    <w:rsid w:val="00914B3E"/>
    <w:rsid w:val="00914E05"/>
    <w:rsid w:val="00915703"/>
    <w:rsid w:val="009161A3"/>
    <w:rsid w:val="00917156"/>
    <w:rsid w:val="009171BC"/>
    <w:rsid w:val="0092154A"/>
    <w:rsid w:val="00922EF3"/>
    <w:rsid w:val="009238BA"/>
    <w:rsid w:val="00924394"/>
    <w:rsid w:val="009245F7"/>
    <w:rsid w:val="0092497E"/>
    <w:rsid w:val="00924B69"/>
    <w:rsid w:val="00925605"/>
    <w:rsid w:val="0092590B"/>
    <w:rsid w:val="0092591F"/>
    <w:rsid w:val="00925BF3"/>
    <w:rsid w:val="00925C9D"/>
    <w:rsid w:val="00925E13"/>
    <w:rsid w:val="00925E60"/>
    <w:rsid w:val="00925ED4"/>
    <w:rsid w:val="009264B3"/>
    <w:rsid w:val="0092694F"/>
    <w:rsid w:val="0092783F"/>
    <w:rsid w:val="00930CFF"/>
    <w:rsid w:val="009318AF"/>
    <w:rsid w:val="00931E4C"/>
    <w:rsid w:val="00931FA1"/>
    <w:rsid w:val="00932C84"/>
    <w:rsid w:val="00932D3A"/>
    <w:rsid w:val="00933131"/>
    <w:rsid w:val="009331F9"/>
    <w:rsid w:val="0093357D"/>
    <w:rsid w:val="00933B93"/>
    <w:rsid w:val="009365E0"/>
    <w:rsid w:val="00936C94"/>
    <w:rsid w:val="00936E76"/>
    <w:rsid w:val="009375E1"/>
    <w:rsid w:val="00937D74"/>
    <w:rsid w:val="00940623"/>
    <w:rsid w:val="009413DF"/>
    <w:rsid w:val="00941F75"/>
    <w:rsid w:val="00942248"/>
    <w:rsid w:val="00942494"/>
    <w:rsid w:val="00942BA2"/>
    <w:rsid w:val="009432B7"/>
    <w:rsid w:val="00943718"/>
    <w:rsid w:val="00943C88"/>
    <w:rsid w:val="00944058"/>
    <w:rsid w:val="009447D0"/>
    <w:rsid w:val="00944C86"/>
    <w:rsid w:val="0094555E"/>
    <w:rsid w:val="009460D2"/>
    <w:rsid w:val="0094707A"/>
    <w:rsid w:val="009474CF"/>
    <w:rsid w:val="009475CD"/>
    <w:rsid w:val="00947B36"/>
    <w:rsid w:val="00947C02"/>
    <w:rsid w:val="00950BE6"/>
    <w:rsid w:val="00950E4B"/>
    <w:rsid w:val="00952E1F"/>
    <w:rsid w:val="00952ECD"/>
    <w:rsid w:val="00953B36"/>
    <w:rsid w:val="00953C57"/>
    <w:rsid w:val="00955902"/>
    <w:rsid w:val="00956B44"/>
    <w:rsid w:val="009577F3"/>
    <w:rsid w:val="00957DE8"/>
    <w:rsid w:val="00960ECB"/>
    <w:rsid w:val="009615D6"/>
    <w:rsid w:val="00962046"/>
    <w:rsid w:val="00962789"/>
    <w:rsid w:val="00963063"/>
    <w:rsid w:val="009633E1"/>
    <w:rsid w:val="00963EF1"/>
    <w:rsid w:val="00965F86"/>
    <w:rsid w:val="0096642B"/>
    <w:rsid w:val="0096669D"/>
    <w:rsid w:val="00967855"/>
    <w:rsid w:val="00970904"/>
    <w:rsid w:val="00971CD1"/>
    <w:rsid w:val="0097220F"/>
    <w:rsid w:val="00972289"/>
    <w:rsid w:val="00972DEB"/>
    <w:rsid w:val="0097340A"/>
    <w:rsid w:val="00973985"/>
    <w:rsid w:val="009741FA"/>
    <w:rsid w:val="0097455A"/>
    <w:rsid w:val="00974709"/>
    <w:rsid w:val="00974803"/>
    <w:rsid w:val="009755FB"/>
    <w:rsid w:val="0097675B"/>
    <w:rsid w:val="00977866"/>
    <w:rsid w:val="00977DB1"/>
    <w:rsid w:val="009801AE"/>
    <w:rsid w:val="00980736"/>
    <w:rsid w:val="00981A39"/>
    <w:rsid w:val="00982383"/>
    <w:rsid w:val="00982D56"/>
    <w:rsid w:val="00982E71"/>
    <w:rsid w:val="009831DE"/>
    <w:rsid w:val="009837C4"/>
    <w:rsid w:val="00983DBF"/>
    <w:rsid w:val="009862C0"/>
    <w:rsid w:val="00986FC0"/>
    <w:rsid w:val="00987043"/>
    <w:rsid w:val="00987097"/>
    <w:rsid w:val="009871B1"/>
    <w:rsid w:val="0098736C"/>
    <w:rsid w:val="00990085"/>
    <w:rsid w:val="00990BFE"/>
    <w:rsid w:val="00991123"/>
    <w:rsid w:val="00991CAB"/>
    <w:rsid w:val="00991D49"/>
    <w:rsid w:val="009942C3"/>
    <w:rsid w:val="00995ABC"/>
    <w:rsid w:val="009978B7"/>
    <w:rsid w:val="00997EB7"/>
    <w:rsid w:val="009A15AA"/>
    <w:rsid w:val="009A2652"/>
    <w:rsid w:val="009A30CF"/>
    <w:rsid w:val="009A3206"/>
    <w:rsid w:val="009A326C"/>
    <w:rsid w:val="009A3A9C"/>
    <w:rsid w:val="009A3DAE"/>
    <w:rsid w:val="009A4AA6"/>
    <w:rsid w:val="009A538D"/>
    <w:rsid w:val="009A5493"/>
    <w:rsid w:val="009A5FA4"/>
    <w:rsid w:val="009B046C"/>
    <w:rsid w:val="009B0926"/>
    <w:rsid w:val="009B0D03"/>
    <w:rsid w:val="009B13FA"/>
    <w:rsid w:val="009B1405"/>
    <w:rsid w:val="009B17C1"/>
    <w:rsid w:val="009B1E2D"/>
    <w:rsid w:val="009B26B9"/>
    <w:rsid w:val="009B3007"/>
    <w:rsid w:val="009B43B6"/>
    <w:rsid w:val="009B589E"/>
    <w:rsid w:val="009B5C7F"/>
    <w:rsid w:val="009B61F4"/>
    <w:rsid w:val="009B62CF"/>
    <w:rsid w:val="009B6BFE"/>
    <w:rsid w:val="009B6F2A"/>
    <w:rsid w:val="009B7C04"/>
    <w:rsid w:val="009C1385"/>
    <w:rsid w:val="009C1609"/>
    <w:rsid w:val="009C16B8"/>
    <w:rsid w:val="009C4A73"/>
    <w:rsid w:val="009C59FB"/>
    <w:rsid w:val="009C6F3B"/>
    <w:rsid w:val="009C6F46"/>
    <w:rsid w:val="009C70CB"/>
    <w:rsid w:val="009C7C0A"/>
    <w:rsid w:val="009D014A"/>
    <w:rsid w:val="009D01A0"/>
    <w:rsid w:val="009D1467"/>
    <w:rsid w:val="009D17B9"/>
    <w:rsid w:val="009D2373"/>
    <w:rsid w:val="009D284F"/>
    <w:rsid w:val="009D2B40"/>
    <w:rsid w:val="009D328D"/>
    <w:rsid w:val="009D334E"/>
    <w:rsid w:val="009D4A6C"/>
    <w:rsid w:val="009D7615"/>
    <w:rsid w:val="009D7A2C"/>
    <w:rsid w:val="009E0420"/>
    <w:rsid w:val="009E0AA6"/>
    <w:rsid w:val="009E0E2F"/>
    <w:rsid w:val="009E34A1"/>
    <w:rsid w:val="009E3B77"/>
    <w:rsid w:val="009E3BD0"/>
    <w:rsid w:val="009E4EB7"/>
    <w:rsid w:val="009E4FA6"/>
    <w:rsid w:val="009E4FDD"/>
    <w:rsid w:val="009E5EB9"/>
    <w:rsid w:val="009E5F77"/>
    <w:rsid w:val="009E647B"/>
    <w:rsid w:val="009E688A"/>
    <w:rsid w:val="009E70FA"/>
    <w:rsid w:val="009E79CD"/>
    <w:rsid w:val="009E7D93"/>
    <w:rsid w:val="009E7E32"/>
    <w:rsid w:val="009F2688"/>
    <w:rsid w:val="009F29FC"/>
    <w:rsid w:val="009F2BE6"/>
    <w:rsid w:val="009F2D4F"/>
    <w:rsid w:val="009F3790"/>
    <w:rsid w:val="009F38F4"/>
    <w:rsid w:val="009F3B18"/>
    <w:rsid w:val="009F3C34"/>
    <w:rsid w:val="009F3D5C"/>
    <w:rsid w:val="009F41C8"/>
    <w:rsid w:val="009F462C"/>
    <w:rsid w:val="009F4EF2"/>
    <w:rsid w:val="009F5507"/>
    <w:rsid w:val="009F5C33"/>
    <w:rsid w:val="009F5FF8"/>
    <w:rsid w:val="009F63C4"/>
    <w:rsid w:val="009F6531"/>
    <w:rsid w:val="009F680D"/>
    <w:rsid w:val="009F6B07"/>
    <w:rsid w:val="009F7026"/>
    <w:rsid w:val="009F788E"/>
    <w:rsid w:val="009F7941"/>
    <w:rsid w:val="009F7B44"/>
    <w:rsid w:val="009F7CB7"/>
    <w:rsid w:val="009F7F26"/>
    <w:rsid w:val="00A013D8"/>
    <w:rsid w:val="00A01825"/>
    <w:rsid w:val="00A01DC7"/>
    <w:rsid w:val="00A026F0"/>
    <w:rsid w:val="00A027C1"/>
    <w:rsid w:val="00A03CB4"/>
    <w:rsid w:val="00A03EAC"/>
    <w:rsid w:val="00A04325"/>
    <w:rsid w:val="00A04DBB"/>
    <w:rsid w:val="00A0793B"/>
    <w:rsid w:val="00A07EA0"/>
    <w:rsid w:val="00A10437"/>
    <w:rsid w:val="00A10E56"/>
    <w:rsid w:val="00A1132C"/>
    <w:rsid w:val="00A11416"/>
    <w:rsid w:val="00A11C06"/>
    <w:rsid w:val="00A11CA6"/>
    <w:rsid w:val="00A13E7C"/>
    <w:rsid w:val="00A1551E"/>
    <w:rsid w:val="00A1580C"/>
    <w:rsid w:val="00A15900"/>
    <w:rsid w:val="00A159DB"/>
    <w:rsid w:val="00A1651B"/>
    <w:rsid w:val="00A17C35"/>
    <w:rsid w:val="00A20842"/>
    <w:rsid w:val="00A20C49"/>
    <w:rsid w:val="00A2118C"/>
    <w:rsid w:val="00A220FF"/>
    <w:rsid w:val="00A223F6"/>
    <w:rsid w:val="00A22932"/>
    <w:rsid w:val="00A24DE2"/>
    <w:rsid w:val="00A269CA"/>
    <w:rsid w:val="00A26CBE"/>
    <w:rsid w:val="00A26F06"/>
    <w:rsid w:val="00A27559"/>
    <w:rsid w:val="00A27D40"/>
    <w:rsid w:val="00A302EC"/>
    <w:rsid w:val="00A30DCB"/>
    <w:rsid w:val="00A30DE9"/>
    <w:rsid w:val="00A31C45"/>
    <w:rsid w:val="00A32789"/>
    <w:rsid w:val="00A32A4F"/>
    <w:rsid w:val="00A336EE"/>
    <w:rsid w:val="00A33C44"/>
    <w:rsid w:val="00A33E49"/>
    <w:rsid w:val="00A33F46"/>
    <w:rsid w:val="00A34050"/>
    <w:rsid w:val="00A3427E"/>
    <w:rsid w:val="00A342DE"/>
    <w:rsid w:val="00A34EB6"/>
    <w:rsid w:val="00A34EED"/>
    <w:rsid w:val="00A359AC"/>
    <w:rsid w:val="00A3623E"/>
    <w:rsid w:val="00A37504"/>
    <w:rsid w:val="00A37C42"/>
    <w:rsid w:val="00A4085B"/>
    <w:rsid w:val="00A409AF"/>
    <w:rsid w:val="00A40F83"/>
    <w:rsid w:val="00A410FB"/>
    <w:rsid w:val="00A41413"/>
    <w:rsid w:val="00A41FB2"/>
    <w:rsid w:val="00A431E6"/>
    <w:rsid w:val="00A435DA"/>
    <w:rsid w:val="00A436E8"/>
    <w:rsid w:val="00A44719"/>
    <w:rsid w:val="00A45369"/>
    <w:rsid w:val="00A45929"/>
    <w:rsid w:val="00A45FB1"/>
    <w:rsid w:val="00A464AB"/>
    <w:rsid w:val="00A46A0F"/>
    <w:rsid w:val="00A46CCC"/>
    <w:rsid w:val="00A46D08"/>
    <w:rsid w:val="00A4709E"/>
    <w:rsid w:val="00A47996"/>
    <w:rsid w:val="00A47FE1"/>
    <w:rsid w:val="00A50027"/>
    <w:rsid w:val="00A5083D"/>
    <w:rsid w:val="00A50C1D"/>
    <w:rsid w:val="00A513DB"/>
    <w:rsid w:val="00A516AA"/>
    <w:rsid w:val="00A51C3E"/>
    <w:rsid w:val="00A51CFE"/>
    <w:rsid w:val="00A51F08"/>
    <w:rsid w:val="00A5204D"/>
    <w:rsid w:val="00A5432C"/>
    <w:rsid w:val="00A54F62"/>
    <w:rsid w:val="00A55E8A"/>
    <w:rsid w:val="00A56E77"/>
    <w:rsid w:val="00A56E8E"/>
    <w:rsid w:val="00A60799"/>
    <w:rsid w:val="00A60C3A"/>
    <w:rsid w:val="00A60F50"/>
    <w:rsid w:val="00A61605"/>
    <w:rsid w:val="00A61720"/>
    <w:rsid w:val="00A629DC"/>
    <w:rsid w:val="00A62CB5"/>
    <w:rsid w:val="00A62D38"/>
    <w:rsid w:val="00A65452"/>
    <w:rsid w:val="00A65E67"/>
    <w:rsid w:val="00A65F97"/>
    <w:rsid w:val="00A66BE7"/>
    <w:rsid w:val="00A67690"/>
    <w:rsid w:val="00A703F5"/>
    <w:rsid w:val="00A70AFF"/>
    <w:rsid w:val="00A70F3C"/>
    <w:rsid w:val="00A712DD"/>
    <w:rsid w:val="00A71395"/>
    <w:rsid w:val="00A72D8F"/>
    <w:rsid w:val="00A73B04"/>
    <w:rsid w:val="00A75381"/>
    <w:rsid w:val="00A76C13"/>
    <w:rsid w:val="00A7787D"/>
    <w:rsid w:val="00A800A8"/>
    <w:rsid w:val="00A80DF5"/>
    <w:rsid w:val="00A813B1"/>
    <w:rsid w:val="00A82BD0"/>
    <w:rsid w:val="00A84FD0"/>
    <w:rsid w:val="00A86950"/>
    <w:rsid w:val="00A86997"/>
    <w:rsid w:val="00A86E2A"/>
    <w:rsid w:val="00A907F1"/>
    <w:rsid w:val="00A92D6F"/>
    <w:rsid w:val="00A92E79"/>
    <w:rsid w:val="00A93238"/>
    <w:rsid w:val="00A93383"/>
    <w:rsid w:val="00A94B4B"/>
    <w:rsid w:val="00A950B6"/>
    <w:rsid w:val="00A954FF"/>
    <w:rsid w:val="00A9593C"/>
    <w:rsid w:val="00A95D45"/>
    <w:rsid w:val="00A96819"/>
    <w:rsid w:val="00A96995"/>
    <w:rsid w:val="00A96E25"/>
    <w:rsid w:val="00A975F3"/>
    <w:rsid w:val="00AA09B1"/>
    <w:rsid w:val="00AA13E5"/>
    <w:rsid w:val="00AA20EC"/>
    <w:rsid w:val="00AA3DBE"/>
    <w:rsid w:val="00AA3E21"/>
    <w:rsid w:val="00AA3EA8"/>
    <w:rsid w:val="00AA4822"/>
    <w:rsid w:val="00AA5371"/>
    <w:rsid w:val="00AA60F4"/>
    <w:rsid w:val="00AB05AF"/>
    <w:rsid w:val="00AB0C97"/>
    <w:rsid w:val="00AB18DB"/>
    <w:rsid w:val="00AB1BF1"/>
    <w:rsid w:val="00AB1F15"/>
    <w:rsid w:val="00AB20D0"/>
    <w:rsid w:val="00AB3AA4"/>
    <w:rsid w:val="00AB3E68"/>
    <w:rsid w:val="00AB3F9D"/>
    <w:rsid w:val="00AB406C"/>
    <w:rsid w:val="00AB41C1"/>
    <w:rsid w:val="00AB461C"/>
    <w:rsid w:val="00AB4CF2"/>
    <w:rsid w:val="00AB5705"/>
    <w:rsid w:val="00AB6CCA"/>
    <w:rsid w:val="00AB719E"/>
    <w:rsid w:val="00AB73D1"/>
    <w:rsid w:val="00AB7603"/>
    <w:rsid w:val="00AB7AA2"/>
    <w:rsid w:val="00AC03AE"/>
    <w:rsid w:val="00AC1717"/>
    <w:rsid w:val="00AC1742"/>
    <w:rsid w:val="00AC223F"/>
    <w:rsid w:val="00AC2AB7"/>
    <w:rsid w:val="00AC33B1"/>
    <w:rsid w:val="00AC486C"/>
    <w:rsid w:val="00AC5415"/>
    <w:rsid w:val="00AC64AC"/>
    <w:rsid w:val="00AC6CCE"/>
    <w:rsid w:val="00AD0C46"/>
    <w:rsid w:val="00AD12A8"/>
    <w:rsid w:val="00AD3051"/>
    <w:rsid w:val="00AD31D5"/>
    <w:rsid w:val="00AD327C"/>
    <w:rsid w:val="00AD37F3"/>
    <w:rsid w:val="00AD3BC0"/>
    <w:rsid w:val="00AD429F"/>
    <w:rsid w:val="00AD4410"/>
    <w:rsid w:val="00AD441F"/>
    <w:rsid w:val="00AD465F"/>
    <w:rsid w:val="00AD5877"/>
    <w:rsid w:val="00AD5B75"/>
    <w:rsid w:val="00AD5C86"/>
    <w:rsid w:val="00AE023F"/>
    <w:rsid w:val="00AE1313"/>
    <w:rsid w:val="00AE1B3D"/>
    <w:rsid w:val="00AE1F1E"/>
    <w:rsid w:val="00AE2160"/>
    <w:rsid w:val="00AE4773"/>
    <w:rsid w:val="00AE4826"/>
    <w:rsid w:val="00AE52C3"/>
    <w:rsid w:val="00AE538D"/>
    <w:rsid w:val="00AE581E"/>
    <w:rsid w:val="00AF1096"/>
    <w:rsid w:val="00AF1DB3"/>
    <w:rsid w:val="00AF3030"/>
    <w:rsid w:val="00AF3555"/>
    <w:rsid w:val="00AF3577"/>
    <w:rsid w:val="00AF35F9"/>
    <w:rsid w:val="00AF5F98"/>
    <w:rsid w:val="00AF66A1"/>
    <w:rsid w:val="00AF742D"/>
    <w:rsid w:val="00AF7D9C"/>
    <w:rsid w:val="00B00C52"/>
    <w:rsid w:val="00B012A7"/>
    <w:rsid w:val="00B02AC3"/>
    <w:rsid w:val="00B0424C"/>
    <w:rsid w:val="00B048DC"/>
    <w:rsid w:val="00B0590E"/>
    <w:rsid w:val="00B05C7D"/>
    <w:rsid w:val="00B06985"/>
    <w:rsid w:val="00B07C04"/>
    <w:rsid w:val="00B11E40"/>
    <w:rsid w:val="00B14474"/>
    <w:rsid w:val="00B15D57"/>
    <w:rsid w:val="00B16347"/>
    <w:rsid w:val="00B16613"/>
    <w:rsid w:val="00B1704E"/>
    <w:rsid w:val="00B17D6E"/>
    <w:rsid w:val="00B20510"/>
    <w:rsid w:val="00B2324C"/>
    <w:rsid w:val="00B232A2"/>
    <w:rsid w:val="00B234ED"/>
    <w:rsid w:val="00B23899"/>
    <w:rsid w:val="00B2435E"/>
    <w:rsid w:val="00B24F59"/>
    <w:rsid w:val="00B251AA"/>
    <w:rsid w:val="00B25598"/>
    <w:rsid w:val="00B2560C"/>
    <w:rsid w:val="00B257D1"/>
    <w:rsid w:val="00B26138"/>
    <w:rsid w:val="00B2688F"/>
    <w:rsid w:val="00B26CC1"/>
    <w:rsid w:val="00B26D7B"/>
    <w:rsid w:val="00B27CB0"/>
    <w:rsid w:val="00B3002B"/>
    <w:rsid w:val="00B3074E"/>
    <w:rsid w:val="00B308B3"/>
    <w:rsid w:val="00B31BA6"/>
    <w:rsid w:val="00B32744"/>
    <w:rsid w:val="00B32A08"/>
    <w:rsid w:val="00B3330C"/>
    <w:rsid w:val="00B33F49"/>
    <w:rsid w:val="00B346C3"/>
    <w:rsid w:val="00B35D35"/>
    <w:rsid w:val="00B368B7"/>
    <w:rsid w:val="00B36B5F"/>
    <w:rsid w:val="00B36D21"/>
    <w:rsid w:val="00B36EB4"/>
    <w:rsid w:val="00B3766E"/>
    <w:rsid w:val="00B37B7E"/>
    <w:rsid w:val="00B4005C"/>
    <w:rsid w:val="00B4044F"/>
    <w:rsid w:val="00B4071D"/>
    <w:rsid w:val="00B4227E"/>
    <w:rsid w:val="00B42AD3"/>
    <w:rsid w:val="00B43296"/>
    <w:rsid w:val="00B4347C"/>
    <w:rsid w:val="00B4471C"/>
    <w:rsid w:val="00B44756"/>
    <w:rsid w:val="00B44BB8"/>
    <w:rsid w:val="00B44CE0"/>
    <w:rsid w:val="00B44F3B"/>
    <w:rsid w:val="00B451A6"/>
    <w:rsid w:val="00B45F23"/>
    <w:rsid w:val="00B46582"/>
    <w:rsid w:val="00B46F59"/>
    <w:rsid w:val="00B4703A"/>
    <w:rsid w:val="00B47BDA"/>
    <w:rsid w:val="00B5079A"/>
    <w:rsid w:val="00B508AE"/>
    <w:rsid w:val="00B51E1E"/>
    <w:rsid w:val="00B51EB8"/>
    <w:rsid w:val="00B52185"/>
    <w:rsid w:val="00B5230D"/>
    <w:rsid w:val="00B53C25"/>
    <w:rsid w:val="00B53DD2"/>
    <w:rsid w:val="00B54FCA"/>
    <w:rsid w:val="00B55FA3"/>
    <w:rsid w:val="00B56CFB"/>
    <w:rsid w:val="00B56D6E"/>
    <w:rsid w:val="00B57AB9"/>
    <w:rsid w:val="00B6022D"/>
    <w:rsid w:val="00B60324"/>
    <w:rsid w:val="00B60F9C"/>
    <w:rsid w:val="00B61BF3"/>
    <w:rsid w:val="00B61D7C"/>
    <w:rsid w:val="00B62C86"/>
    <w:rsid w:val="00B62DB4"/>
    <w:rsid w:val="00B63ACF"/>
    <w:rsid w:val="00B64347"/>
    <w:rsid w:val="00B64BC1"/>
    <w:rsid w:val="00B64E48"/>
    <w:rsid w:val="00B655DC"/>
    <w:rsid w:val="00B65998"/>
    <w:rsid w:val="00B65DC6"/>
    <w:rsid w:val="00B65E44"/>
    <w:rsid w:val="00B66891"/>
    <w:rsid w:val="00B6708F"/>
    <w:rsid w:val="00B67AC2"/>
    <w:rsid w:val="00B70DDB"/>
    <w:rsid w:val="00B71D1B"/>
    <w:rsid w:val="00B722DE"/>
    <w:rsid w:val="00B739AE"/>
    <w:rsid w:val="00B73A59"/>
    <w:rsid w:val="00B73FA0"/>
    <w:rsid w:val="00B74824"/>
    <w:rsid w:val="00B7493A"/>
    <w:rsid w:val="00B75116"/>
    <w:rsid w:val="00B751E3"/>
    <w:rsid w:val="00B75422"/>
    <w:rsid w:val="00B75541"/>
    <w:rsid w:val="00B75BA6"/>
    <w:rsid w:val="00B76C44"/>
    <w:rsid w:val="00B76E50"/>
    <w:rsid w:val="00B77273"/>
    <w:rsid w:val="00B77873"/>
    <w:rsid w:val="00B8019A"/>
    <w:rsid w:val="00B8184A"/>
    <w:rsid w:val="00B82085"/>
    <w:rsid w:val="00B82283"/>
    <w:rsid w:val="00B828D8"/>
    <w:rsid w:val="00B82EC6"/>
    <w:rsid w:val="00B838E4"/>
    <w:rsid w:val="00B83F87"/>
    <w:rsid w:val="00B8446B"/>
    <w:rsid w:val="00B85C3A"/>
    <w:rsid w:val="00B8670E"/>
    <w:rsid w:val="00B87556"/>
    <w:rsid w:val="00B87CDC"/>
    <w:rsid w:val="00B90AFE"/>
    <w:rsid w:val="00B910C1"/>
    <w:rsid w:val="00B920F2"/>
    <w:rsid w:val="00B9262E"/>
    <w:rsid w:val="00B94459"/>
    <w:rsid w:val="00B94B60"/>
    <w:rsid w:val="00B95564"/>
    <w:rsid w:val="00B95F2C"/>
    <w:rsid w:val="00B969DE"/>
    <w:rsid w:val="00B96ED3"/>
    <w:rsid w:val="00B975A6"/>
    <w:rsid w:val="00BA01FA"/>
    <w:rsid w:val="00BA0891"/>
    <w:rsid w:val="00BA0D21"/>
    <w:rsid w:val="00BA1017"/>
    <w:rsid w:val="00BA13C1"/>
    <w:rsid w:val="00BA16D8"/>
    <w:rsid w:val="00BA18E1"/>
    <w:rsid w:val="00BA1E1A"/>
    <w:rsid w:val="00BA25A1"/>
    <w:rsid w:val="00BA2CA4"/>
    <w:rsid w:val="00BA2EFA"/>
    <w:rsid w:val="00BA37B0"/>
    <w:rsid w:val="00BA3DBC"/>
    <w:rsid w:val="00BA5565"/>
    <w:rsid w:val="00BA608F"/>
    <w:rsid w:val="00BA6344"/>
    <w:rsid w:val="00BA707A"/>
    <w:rsid w:val="00BB06AE"/>
    <w:rsid w:val="00BB1AFB"/>
    <w:rsid w:val="00BB27AE"/>
    <w:rsid w:val="00BB2DA2"/>
    <w:rsid w:val="00BB303C"/>
    <w:rsid w:val="00BB3778"/>
    <w:rsid w:val="00BB4406"/>
    <w:rsid w:val="00BB45BE"/>
    <w:rsid w:val="00BB547C"/>
    <w:rsid w:val="00BB5528"/>
    <w:rsid w:val="00BB56DC"/>
    <w:rsid w:val="00BB631B"/>
    <w:rsid w:val="00BB65DB"/>
    <w:rsid w:val="00BB7391"/>
    <w:rsid w:val="00BC3A4A"/>
    <w:rsid w:val="00BC44D5"/>
    <w:rsid w:val="00BC50AE"/>
    <w:rsid w:val="00BC517E"/>
    <w:rsid w:val="00BC59EA"/>
    <w:rsid w:val="00BC62BD"/>
    <w:rsid w:val="00BC68AC"/>
    <w:rsid w:val="00BC7C1A"/>
    <w:rsid w:val="00BD042E"/>
    <w:rsid w:val="00BD1798"/>
    <w:rsid w:val="00BD1D40"/>
    <w:rsid w:val="00BD1DC4"/>
    <w:rsid w:val="00BD3773"/>
    <w:rsid w:val="00BD4E25"/>
    <w:rsid w:val="00BD783E"/>
    <w:rsid w:val="00BD7D6C"/>
    <w:rsid w:val="00BD7EF3"/>
    <w:rsid w:val="00BE183D"/>
    <w:rsid w:val="00BE2A7E"/>
    <w:rsid w:val="00BE2C4E"/>
    <w:rsid w:val="00BE310C"/>
    <w:rsid w:val="00BE3E61"/>
    <w:rsid w:val="00BE42B5"/>
    <w:rsid w:val="00BE4714"/>
    <w:rsid w:val="00BE6A13"/>
    <w:rsid w:val="00BE6AA4"/>
    <w:rsid w:val="00BF1BAE"/>
    <w:rsid w:val="00BF24C2"/>
    <w:rsid w:val="00BF2922"/>
    <w:rsid w:val="00BF370D"/>
    <w:rsid w:val="00BF44B1"/>
    <w:rsid w:val="00BF4AE5"/>
    <w:rsid w:val="00BF4CA6"/>
    <w:rsid w:val="00BF5980"/>
    <w:rsid w:val="00BF5D7A"/>
    <w:rsid w:val="00BF60EA"/>
    <w:rsid w:val="00BF65E2"/>
    <w:rsid w:val="00BF6911"/>
    <w:rsid w:val="00BF6B53"/>
    <w:rsid w:val="00BF6C0A"/>
    <w:rsid w:val="00BF6DCA"/>
    <w:rsid w:val="00BF7A6F"/>
    <w:rsid w:val="00C012D6"/>
    <w:rsid w:val="00C01C2E"/>
    <w:rsid w:val="00C0206C"/>
    <w:rsid w:val="00C02C9C"/>
    <w:rsid w:val="00C02D33"/>
    <w:rsid w:val="00C03150"/>
    <w:rsid w:val="00C032D8"/>
    <w:rsid w:val="00C0427E"/>
    <w:rsid w:val="00C04B53"/>
    <w:rsid w:val="00C05982"/>
    <w:rsid w:val="00C06038"/>
    <w:rsid w:val="00C06556"/>
    <w:rsid w:val="00C070C8"/>
    <w:rsid w:val="00C073D9"/>
    <w:rsid w:val="00C0760E"/>
    <w:rsid w:val="00C10B16"/>
    <w:rsid w:val="00C1107D"/>
    <w:rsid w:val="00C11DC0"/>
    <w:rsid w:val="00C1232C"/>
    <w:rsid w:val="00C125A8"/>
    <w:rsid w:val="00C1282F"/>
    <w:rsid w:val="00C12E7E"/>
    <w:rsid w:val="00C1549C"/>
    <w:rsid w:val="00C157B7"/>
    <w:rsid w:val="00C163FA"/>
    <w:rsid w:val="00C17348"/>
    <w:rsid w:val="00C17E41"/>
    <w:rsid w:val="00C201E2"/>
    <w:rsid w:val="00C21FAD"/>
    <w:rsid w:val="00C22071"/>
    <w:rsid w:val="00C2371E"/>
    <w:rsid w:val="00C23A28"/>
    <w:rsid w:val="00C24678"/>
    <w:rsid w:val="00C25353"/>
    <w:rsid w:val="00C255FF"/>
    <w:rsid w:val="00C2661E"/>
    <w:rsid w:val="00C27BE8"/>
    <w:rsid w:val="00C27C6B"/>
    <w:rsid w:val="00C30CB3"/>
    <w:rsid w:val="00C31584"/>
    <w:rsid w:val="00C323C7"/>
    <w:rsid w:val="00C3333E"/>
    <w:rsid w:val="00C339B5"/>
    <w:rsid w:val="00C34C70"/>
    <w:rsid w:val="00C3594D"/>
    <w:rsid w:val="00C359F0"/>
    <w:rsid w:val="00C35C9F"/>
    <w:rsid w:val="00C36442"/>
    <w:rsid w:val="00C368E0"/>
    <w:rsid w:val="00C371B9"/>
    <w:rsid w:val="00C37E44"/>
    <w:rsid w:val="00C37EBB"/>
    <w:rsid w:val="00C400CE"/>
    <w:rsid w:val="00C410FD"/>
    <w:rsid w:val="00C4153B"/>
    <w:rsid w:val="00C420B5"/>
    <w:rsid w:val="00C42148"/>
    <w:rsid w:val="00C42BB5"/>
    <w:rsid w:val="00C42EA0"/>
    <w:rsid w:val="00C451DC"/>
    <w:rsid w:val="00C457DE"/>
    <w:rsid w:val="00C46004"/>
    <w:rsid w:val="00C4698D"/>
    <w:rsid w:val="00C47C88"/>
    <w:rsid w:val="00C47DC5"/>
    <w:rsid w:val="00C47DD3"/>
    <w:rsid w:val="00C47E28"/>
    <w:rsid w:val="00C507D6"/>
    <w:rsid w:val="00C51DD4"/>
    <w:rsid w:val="00C521C3"/>
    <w:rsid w:val="00C52DFD"/>
    <w:rsid w:val="00C5316F"/>
    <w:rsid w:val="00C53562"/>
    <w:rsid w:val="00C53739"/>
    <w:rsid w:val="00C5378F"/>
    <w:rsid w:val="00C539FB"/>
    <w:rsid w:val="00C53A7C"/>
    <w:rsid w:val="00C54733"/>
    <w:rsid w:val="00C54BA1"/>
    <w:rsid w:val="00C5682A"/>
    <w:rsid w:val="00C56E57"/>
    <w:rsid w:val="00C60B88"/>
    <w:rsid w:val="00C61006"/>
    <w:rsid w:val="00C611F5"/>
    <w:rsid w:val="00C626DC"/>
    <w:rsid w:val="00C63C28"/>
    <w:rsid w:val="00C6540C"/>
    <w:rsid w:val="00C656AE"/>
    <w:rsid w:val="00C65EF8"/>
    <w:rsid w:val="00C66AA3"/>
    <w:rsid w:val="00C66B79"/>
    <w:rsid w:val="00C66E57"/>
    <w:rsid w:val="00C705B6"/>
    <w:rsid w:val="00C708A5"/>
    <w:rsid w:val="00C70B13"/>
    <w:rsid w:val="00C724D7"/>
    <w:rsid w:val="00C72D7A"/>
    <w:rsid w:val="00C74150"/>
    <w:rsid w:val="00C751EA"/>
    <w:rsid w:val="00C75594"/>
    <w:rsid w:val="00C76404"/>
    <w:rsid w:val="00C76523"/>
    <w:rsid w:val="00C76B05"/>
    <w:rsid w:val="00C76EF2"/>
    <w:rsid w:val="00C770C3"/>
    <w:rsid w:val="00C777B2"/>
    <w:rsid w:val="00C81AD5"/>
    <w:rsid w:val="00C81F23"/>
    <w:rsid w:val="00C8256C"/>
    <w:rsid w:val="00C834D5"/>
    <w:rsid w:val="00C85982"/>
    <w:rsid w:val="00C863FC"/>
    <w:rsid w:val="00C86F44"/>
    <w:rsid w:val="00C87629"/>
    <w:rsid w:val="00C9069C"/>
    <w:rsid w:val="00C914B1"/>
    <w:rsid w:val="00C91FE8"/>
    <w:rsid w:val="00C9338A"/>
    <w:rsid w:val="00C93A5B"/>
    <w:rsid w:val="00C94433"/>
    <w:rsid w:val="00C94562"/>
    <w:rsid w:val="00C95F78"/>
    <w:rsid w:val="00C9634B"/>
    <w:rsid w:val="00C9641E"/>
    <w:rsid w:val="00CA0466"/>
    <w:rsid w:val="00CA213F"/>
    <w:rsid w:val="00CA246D"/>
    <w:rsid w:val="00CA252C"/>
    <w:rsid w:val="00CA2B88"/>
    <w:rsid w:val="00CA2D51"/>
    <w:rsid w:val="00CA3EC7"/>
    <w:rsid w:val="00CA4832"/>
    <w:rsid w:val="00CA50D9"/>
    <w:rsid w:val="00CA5107"/>
    <w:rsid w:val="00CA5FE7"/>
    <w:rsid w:val="00CA6B99"/>
    <w:rsid w:val="00CA7754"/>
    <w:rsid w:val="00CB0947"/>
    <w:rsid w:val="00CB19F2"/>
    <w:rsid w:val="00CB23A6"/>
    <w:rsid w:val="00CB26D9"/>
    <w:rsid w:val="00CB2C7E"/>
    <w:rsid w:val="00CB2FC6"/>
    <w:rsid w:val="00CB3054"/>
    <w:rsid w:val="00CB329E"/>
    <w:rsid w:val="00CB3837"/>
    <w:rsid w:val="00CB3B4B"/>
    <w:rsid w:val="00CB3C43"/>
    <w:rsid w:val="00CB422C"/>
    <w:rsid w:val="00CB43E5"/>
    <w:rsid w:val="00CB444D"/>
    <w:rsid w:val="00CB5069"/>
    <w:rsid w:val="00CB5636"/>
    <w:rsid w:val="00CB5706"/>
    <w:rsid w:val="00CB5F30"/>
    <w:rsid w:val="00CB63C5"/>
    <w:rsid w:val="00CC0071"/>
    <w:rsid w:val="00CC19F4"/>
    <w:rsid w:val="00CC1F60"/>
    <w:rsid w:val="00CC3EE5"/>
    <w:rsid w:val="00CC4BEB"/>
    <w:rsid w:val="00CC5234"/>
    <w:rsid w:val="00CC5B22"/>
    <w:rsid w:val="00CC5EC5"/>
    <w:rsid w:val="00CC6E47"/>
    <w:rsid w:val="00CC71AC"/>
    <w:rsid w:val="00CC75EF"/>
    <w:rsid w:val="00CC76D6"/>
    <w:rsid w:val="00CC7D99"/>
    <w:rsid w:val="00CD1346"/>
    <w:rsid w:val="00CD138E"/>
    <w:rsid w:val="00CD1973"/>
    <w:rsid w:val="00CD1B9F"/>
    <w:rsid w:val="00CD230B"/>
    <w:rsid w:val="00CD2FC4"/>
    <w:rsid w:val="00CD3A94"/>
    <w:rsid w:val="00CD41A3"/>
    <w:rsid w:val="00CD423B"/>
    <w:rsid w:val="00CD426B"/>
    <w:rsid w:val="00CD42EF"/>
    <w:rsid w:val="00CD48ED"/>
    <w:rsid w:val="00CD5323"/>
    <w:rsid w:val="00CD62CA"/>
    <w:rsid w:val="00CD68A8"/>
    <w:rsid w:val="00CD699B"/>
    <w:rsid w:val="00CD6EAC"/>
    <w:rsid w:val="00CD7F75"/>
    <w:rsid w:val="00CE0C6D"/>
    <w:rsid w:val="00CE1445"/>
    <w:rsid w:val="00CE1B64"/>
    <w:rsid w:val="00CE22C4"/>
    <w:rsid w:val="00CE2BF5"/>
    <w:rsid w:val="00CE39A3"/>
    <w:rsid w:val="00CE425C"/>
    <w:rsid w:val="00CE5451"/>
    <w:rsid w:val="00CE58AC"/>
    <w:rsid w:val="00CE5A32"/>
    <w:rsid w:val="00CE62B0"/>
    <w:rsid w:val="00CE63D9"/>
    <w:rsid w:val="00CE763A"/>
    <w:rsid w:val="00CE7710"/>
    <w:rsid w:val="00CE7885"/>
    <w:rsid w:val="00CE7933"/>
    <w:rsid w:val="00CE7ECB"/>
    <w:rsid w:val="00CF02C3"/>
    <w:rsid w:val="00CF0E33"/>
    <w:rsid w:val="00CF0E84"/>
    <w:rsid w:val="00CF1D76"/>
    <w:rsid w:val="00CF2CB4"/>
    <w:rsid w:val="00CF43FB"/>
    <w:rsid w:val="00CF440B"/>
    <w:rsid w:val="00CF5208"/>
    <w:rsid w:val="00CF5A80"/>
    <w:rsid w:val="00CF5BCD"/>
    <w:rsid w:val="00CF5BCE"/>
    <w:rsid w:val="00CF6B49"/>
    <w:rsid w:val="00D008C4"/>
    <w:rsid w:val="00D01256"/>
    <w:rsid w:val="00D018DB"/>
    <w:rsid w:val="00D03319"/>
    <w:rsid w:val="00D045EE"/>
    <w:rsid w:val="00D04B8A"/>
    <w:rsid w:val="00D04CD9"/>
    <w:rsid w:val="00D05091"/>
    <w:rsid w:val="00D06AAC"/>
    <w:rsid w:val="00D070FC"/>
    <w:rsid w:val="00D1058D"/>
    <w:rsid w:val="00D10C44"/>
    <w:rsid w:val="00D10CA6"/>
    <w:rsid w:val="00D10F21"/>
    <w:rsid w:val="00D134CF"/>
    <w:rsid w:val="00D13C7D"/>
    <w:rsid w:val="00D14DD8"/>
    <w:rsid w:val="00D1573B"/>
    <w:rsid w:val="00D16B34"/>
    <w:rsid w:val="00D170BA"/>
    <w:rsid w:val="00D172BA"/>
    <w:rsid w:val="00D20F62"/>
    <w:rsid w:val="00D22461"/>
    <w:rsid w:val="00D230BB"/>
    <w:rsid w:val="00D234C0"/>
    <w:rsid w:val="00D23B5F"/>
    <w:rsid w:val="00D2439F"/>
    <w:rsid w:val="00D24623"/>
    <w:rsid w:val="00D24806"/>
    <w:rsid w:val="00D249F5"/>
    <w:rsid w:val="00D26B28"/>
    <w:rsid w:val="00D279DF"/>
    <w:rsid w:val="00D27C89"/>
    <w:rsid w:val="00D3017D"/>
    <w:rsid w:val="00D3045E"/>
    <w:rsid w:val="00D3122F"/>
    <w:rsid w:val="00D31861"/>
    <w:rsid w:val="00D328FD"/>
    <w:rsid w:val="00D32ECC"/>
    <w:rsid w:val="00D337CC"/>
    <w:rsid w:val="00D33E8D"/>
    <w:rsid w:val="00D34040"/>
    <w:rsid w:val="00D345A4"/>
    <w:rsid w:val="00D34B1E"/>
    <w:rsid w:val="00D34E69"/>
    <w:rsid w:val="00D3570F"/>
    <w:rsid w:val="00D35B3D"/>
    <w:rsid w:val="00D35D73"/>
    <w:rsid w:val="00D36189"/>
    <w:rsid w:val="00D36C78"/>
    <w:rsid w:val="00D375EE"/>
    <w:rsid w:val="00D3766A"/>
    <w:rsid w:val="00D413EF"/>
    <w:rsid w:val="00D419E5"/>
    <w:rsid w:val="00D41AA5"/>
    <w:rsid w:val="00D43DB1"/>
    <w:rsid w:val="00D44067"/>
    <w:rsid w:val="00D44F29"/>
    <w:rsid w:val="00D457B2"/>
    <w:rsid w:val="00D45DE6"/>
    <w:rsid w:val="00D46A84"/>
    <w:rsid w:val="00D47A2D"/>
    <w:rsid w:val="00D50937"/>
    <w:rsid w:val="00D50E7B"/>
    <w:rsid w:val="00D51454"/>
    <w:rsid w:val="00D52D3D"/>
    <w:rsid w:val="00D5542F"/>
    <w:rsid w:val="00D55AE8"/>
    <w:rsid w:val="00D56056"/>
    <w:rsid w:val="00D56A1E"/>
    <w:rsid w:val="00D579E4"/>
    <w:rsid w:val="00D6085F"/>
    <w:rsid w:val="00D62699"/>
    <w:rsid w:val="00D62CE4"/>
    <w:rsid w:val="00D65FB0"/>
    <w:rsid w:val="00D666A0"/>
    <w:rsid w:val="00D670DD"/>
    <w:rsid w:val="00D67510"/>
    <w:rsid w:val="00D70248"/>
    <w:rsid w:val="00D7037A"/>
    <w:rsid w:val="00D7043B"/>
    <w:rsid w:val="00D72620"/>
    <w:rsid w:val="00D73FB7"/>
    <w:rsid w:val="00D74B21"/>
    <w:rsid w:val="00D75294"/>
    <w:rsid w:val="00D75E56"/>
    <w:rsid w:val="00D765F3"/>
    <w:rsid w:val="00D76639"/>
    <w:rsid w:val="00D76F64"/>
    <w:rsid w:val="00D778E9"/>
    <w:rsid w:val="00D80CC1"/>
    <w:rsid w:val="00D812BF"/>
    <w:rsid w:val="00D81D65"/>
    <w:rsid w:val="00D82620"/>
    <w:rsid w:val="00D8273B"/>
    <w:rsid w:val="00D82D40"/>
    <w:rsid w:val="00D832C9"/>
    <w:rsid w:val="00D8477A"/>
    <w:rsid w:val="00D84CED"/>
    <w:rsid w:val="00D85030"/>
    <w:rsid w:val="00D85707"/>
    <w:rsid w:val="00D85944"/>
    <w:rsid w:val="00D85A8E"/>
    <w:rsid w:val="00D87CE0"/>
    <w:rsid w:val="00D9087C"/>
    <w:rsid w:val="00D90BC2"/>
    <w:rsid w:val="00D90EE1"/>
    <w:rsid w:val="00D91115"/>
    <w:rsid w:val="00D91909"/>
    <w:rsid w:val="00D92634"/>
    <w:rsid w:val="00D9292B"/>
    <w:rsid w:val="00D93ACE"/>
    <w:rsid w:val="00D95BB4"/>
    <w:rsid w:val="00D9725F"/>
    <w:rsid w:val="00D976F3"/>
    <w:rsid w:val="00D97D04"/>
    <w:rsid w:val="00DA01B1"/>
    <w:rsid w:val="00DA065D"/>
    <w:rsid w:val="00DA0EB4"/>
    <w:rsid w:val="00DA11A2"/>
    <w:rsid w:val="00DA14ED"/>
    <w:rsid w:val="00DA17D0"/>
    <w:rsid w:val="00DA1C81"/>
    <w:rsid w:val="00DA26D6"/>
    <w:rsid w:val="00DA3AE9"/>
    <w:rsid w:val="00DA4812"/>
    <w:rsid w:val="00DA59AF"/>
    <w:rsid w:val="00DA62ED"/>
    <w:rsid w:val="00DA6766"/>
    <w:rsid w:val="00DA7243"/>
    <w:rsid w:val="00DA74BB"/>
    <w:rsid w:val="00DA74BF"/>
    <w:rsid w:val="00DA7778"/>
    <w:rsid w:val="00DB07AB"/>
    <w:rsid w:val="00DB1CBE"/>
    <w:rsid w:val="00DB2159"/>
    <w:rsid w:val="00DB2EF1"/>
    <w:rsid w:val="00DB3DE1"/>
    <w:rsid w:val="00DB3E34"/>
    <w:rsid w:val="00DB40AB"/>
    <w:rsid w:val="00DB424A"/>
    <w:rsid w:val="00DB49A1"/>
    <w:rsid w:val="00DB4E5A"/>
    <w:rsid w:val="00DB5130"/>
    <w:rsid w:val="00DB5C21"/>
    <w:rsid w:val="00DB5DA0"/>
    <w:rsid w:val="00DB631C"/>
    <w:rsid w:val="00DB6741"/>
    <w:rsid w:val="00DB69B7"/>
    <w:rsid w:val="00DB7027"/>
    <w:rsid w:val="00DB716C"/>
    <w:rsid w:val="00DB7189"/>
    <w:rsid w:val="00DB71EF"/>
    <w:rsid w:val="00DB7667"/>
    <w:rsid w:val="00DB76FB"/>
    <w:rsid w:val="00DC013E"/>
    <w:rsid w:val="00DC02B5"/>
    <w:rsid w:val="00DC0B7F"/>
    <w:rsid w:val="00DC17BE"/>
    <w:rsid w:val="00DC2EF1"/>
    <w:rsid w:val="00DC339F"/>
    <w:rsid w:val="00DC34B2"/>
    <w:rsid w:val="00DC43CE"/>
    <w:rsid w:val="00DC44C1"/>
    <w:rsid w:val="00DC4E8B"/>
    <w:rsid w:val="00DC5C85"/>
    <w:rsid w:val="00DC5E4E"/>
    <w:rsid w:val="00DC6E71"/>
    <w:rsid w:val="00DC7567"/>
    <w:rsid w:val="00DC7C5D"/>
    <w:rsid w:val="00DD0C45"/>
    <w:rsid w:val="00DD1623"/>
    <w:rsid w:val="00DD1EA7"/>
    <w:rsid w:val="00DD299A"/>
    <w:rsid w:val="00DD2DB1"/>
    <w:rsid w:val="00DD35B7"/>
    <w:rsid w:val="00DD4236"/>
    <w:rsid w:val="00DD44F1"/>
    <w:rsid w:val="00DD46A0"/>
    <w:rsid w:val="00DD4AC9"/>
    <w:rsid w:val="00DD4E28"/>
    <w:rsid w:val="00DD55AF"/>
    <w:rsid w:val="00DD6957"/>
    <w:rsid w:val="00DD69D4"/>
    <w:rsid w:val="00DD6B25"/>
    <w:rsid w:val="00DD6E7A"/>
    <w:rsid w:val="00DD7927"/>
    <w:rsid w:val="00DD7CE6"/>
    <w:rsid w:val="00DE04DF"/>
    <w:rsid w:val="00DE0A27"/>
    <w:rsid w:val="00DE1317"/>
    <w:rsid w:val="00DE1734"/>
    <w:rsid w:val="00DE1EEF"/>
    <w:rsid w:val="00DE247E"/>
    <w:rsid w:val="00DE254F"/>
    <w:rsid w:val="00DE3067"/>
    <w:rsid w:val="00DE32DA"/>
    <w:rsid w:val="00DE34B8"/>
    <w:rsid w:val="00DE35D3"/>
    <w:rsid w:val="00DE50C9"/>
    <w:rsid w:val="00DE7392"/>
    <w:rsid w:val="00DF02B1"/>
    <w:rsid w:val="00DF0E07"/>
    <w:rsid w:val="00DF103E"/>
    <w:rsid w:val="00DF30A8"/>
    <w:rsid w:val="00DF36EF"/>
    <w:rsid w:val="00DF3EEE"/>
    <w:rsid w:val="00DF4554"/>
    <w:rsid w:val="00DF514F"/>
    <w:rsid w:val="00DF5CC7"/>
    <w:rsid w:val="00DF5DDB"/>
    <w:rsid w:val="00DF60BB"/>
    <w:rsid w:val="00DF6DF9"/>
    <w:rsid w:val="00DF75E1"/>
    <w:rsid w:val="00DF769C"/>
    <w:rsid w:val="00E00FCE"/>
    <w:rsid w:val="00E027BC"/>
    <w:rsid w:val="00E02A05"/>
    <w:rsid w:val="00E045BE"/>
    <w:rsid w:val="00E04CDF"/>
    <w:rsid w:val="00E077E4"/>
    <w:rsid w:val="00E07CA8"/>
    <w:rsid w:val="00E07CC7"/>
    <w:rsid w:val="00E10F0D"/>
    <w:rsid w:val="00E11FAC"/>
    <w:rsid w:val="00E12BB6"/>
    <w:rsid w:val="00E12E36"/>
    <w:rsid w:val="00E14EA5"/>
    <w:rsid w:val="00E1507D"/>
    <w:rsid w:val="00E15344"/>
    <w:rsid w:val="00E16CA5"/>
    <w:rsid w:val="00E20337"/>
    <w:rsid w:val="00E20498"/>
    <w:rsid w:val="00E205F0"/>
    <w:rsid w:val="00E2070E"/>
    <w:rsid w:val="00E21133"/>
    <w:rsid w:val="00E2241C"/>
    <w:rsid w:val="00E228BC"/>
    <w:rsid w:val="00E2327E"/>
    <w:rsid w:val="00E23577"/>
    <w:rsid w:val="00E23BB1"/>
    <w:rsid w:val="00E241EB"/>
    <w:rsid w:val="00E2443C"/>
    <w:rsid w:val="00E250A0"/>
    <w:rsid w:val="00E25D9E"/>
    <w:rsid w:val="00E266EF"/>
    <w:rsid w:val="00E267B3"/>
    <w:rsid w:val="00E30C7D"/>
    <w:rsid w:val="00E326A8"/>
    <w:rsid w:val="00E34447"/>
    <w:rsid w:val="00E34C55"/>
    <w:rsid w:val="00E35212"/>
    <w:rsid w:val="00E36472"/>
    <w:rsid w:val="00E3696B"/>
    <w:rsid w:val="00E37420"/>
    <w:rsid w:val="00E374F9"/>
    <w:rsid w:val="00E41445"/>
    <w:rsid w:val="00E4179F"/>
    <w:rsid w:val="00E428CA"/>
    <w:rsid w:val="00E430CE"/>
    <w:rsid w:val="00E447FF"/>
    <w:rsid w:val="00E449FF"/>
    <w:rsid w:val="00E44B33"/>
    <w:rsid w:val="00E44E59"/>
    <w:rsid w:val="00E45941"/>
    <w:rsid w:val="00E46F39"/>
    <w:rsid w:val="00E471A3"/>
    <w:rsid w:val="00E47428"/>
    <w:rsid w:val="00E5002F"/>
    <w:rsid w:val="00E50A4E"/>
    <w:rsid w:val="00E51A29"/>
    <w:rsid w:val="00E5205E"/>
    <w:rsid w:val="00E52799"/>
    <w:rsid w:val="00E52ABB"/>
    <w:rsid w:val="00E55BC7"/>
    <w:rsid w:val="00E562AE"/>
    <w:rsid w:val="00E56C8E"/>
    <w:rsid w:val="00E5703A"/>
    <w:rsid w:val="00E5716B"/>
    <w:rsid w:val="00E5765D"/>
    <w:rsid w:val="00E57F1F"/>
    <w:rsid w:val="00E604E2"/>
    <w:rsid w:val="00E60C0D"/>
    <w:rsid w:val="00E614FC"/>
    <w:rsid w:val="00E633C1"/>
    <w:rsid w:val="00E6351A"/>
    <w:rsid w:val="00E63FCD"/>
    <w:rsid w:val="00E64A19"/>
    <w:rsid w:val="00E64AA7"/>
    <w:rsid w:val="00E661BD"/>
    <w:rsid w:val="00E667E8"/>
    <w:rsid w:val="00E66B9F"/>
    <w:rsid w:val="00E66F4B"/>
    <w:rsid w:val="00E672F1"/>
    <w:rsid w:val="00E67752"/>
    <w:rsid w:val="00E70A6A"/>
    <w:rsid w:val="00E710D6"/>
    <w:rsid w:val="00E71CAF"/>
    <w:rsid w:val="00E71FB2"/>
    <w:rsid w:val="00E7211C"/>
    <w:rsid w:val="00E72B02"/>
    <w:rsid w:val="00E73A3D"/>
    <w:rsid w:val="00E73DA4"/>
    <w:rsid w:val="00E73E2B"/>
    <w:rsid w:val="00E74201"/>
    <w:rsid w:val="00E747C5"/>
    <w:rsid w:val="00E74B26"/>
    <w:rsid w:val="00E76E14"/>
    <w:rsid w:val="00E76E45"/>
    <w:rsid w:val="00E777C9"/>
    <w:rsid w:val="00E81903"/>
    <w:rsid w:val="00E81DA6"/>
    <w:rsid w:val="00E82669"/>
    <w:rsid w:val="00E82A62"/>
    <w:rsid w:val="00E83DAA"/>
    <w:rsid w:val="00E84212"/>
    <w:rsid w:val="00E85E6B"/>
    <w:rsid w:val="00E878C8"/>
    <w:rsid w:val="00E904A1"/>
    <w:rsid w:val="00E9086C"/>
    <w:rsid w:val="00E90AAA"/>
    <w:rsid w:val="00E91558"/>
    <w:rsid w:val="00E91A0F"/>
    <w:rsid w:val="00E93D81"/>
    <w:rsid w:val="00E9426A"/>
    <w:rsid w:val="00E94A71"/>
    <w:rsid w:val="00E94CBF"/>
    <w:rsid w:val="00E95820"/>
    <w:rsid w:val="00E958ED"/>
    <w:rsid w:val="00E95A4C"/>
    <w:rsid w:val="00E960C8"/>
    <w:rsid w:val="00E96B47"/>
    <w:rsid w:val="00E97276"/>
    <w:rsid w:val="00E979E9"/>
    <w:rsid w:val="00E97F0F"/>
    <w:rsid w:val="00EA03CE"/>
    <w:rsid w:val="00EA0AF1"/>
    <w:rsid w:val="00EA1014"/>
    <w:rsid w:val="00EA127E"/>
    <w:rsid w:val="00EA1B8B"/>
    <w:rsid w:val="00EA2136"/>
    <w:rsid w:val="00EA23E5"/>
    <w:rsid w:val="00EA3338"/>
    <w:rsid w:val="00EA3FFE"/>
    <w:rsid w:val="00EA4DCA"/>
    <w:rsid w:val="00EA4E2E"/>
    <w:rsid w:val="00EA77A2"/>
    <w:rsid w:val="00EB08CC"/>
    <w:rsid w:val="00EB1238"/>
    <w:rsid w:val="00EB20BD"/>
    <w:rsid w:val="00EB2417"/>
    <w:rsid w:val="00EB2C2F"/>
    <w:rsid w:val="00EB2CCB"/>
    <w:rsid w:val="00EB30D6"/>
    <w:rsid w:val="00EB3A84"/>
    <w:rsid w:val="00EB4621"/>
    <w:rsid w:val="00EB4BC5"/>
    <w:rsid w:val="00EB5ECA"/>
    <w:rsid w:val="00EB6464"/>
    <w:rsid w:val="00EB6CAB"/>
    <w:rsid w:val="00EB6CE8"/>
    <w:rsid w:val="00EB7A25"/>
    <w:rsid w:val="00EB7DC1"/>
    <w:rsid w:val="00EB7F98"/>
    <w:rsid w:val="00EC0F3E"/>
    <w:rsid w:val="00EC1403"/>
    <w:rsid w:val="00EC26F8"/>
    <w:rsid w:val="00EC32CF"/>
    <w:rsid w:val="00EC57A7"/>
    <w:rsid w:val="00ED0817"/>
    <w:rsid w:val="00ED0A0F"/>
    <w:rsid w:val="00ED0E36"/>
    <w:rsid w:val="00ED165D"/>
    <w:rsid w:val="00ED1B2B"/>
    <w:rsid w:val="00ED2E0C"/>
    <w:rsid w:val="00ED31E3"/>
    <w:rsid w:val="00ED36DC"/>
    <w:rsid w:val="00ED38AC"/>
    <w:rsid w:val="00ED3C03"/>
    <w:rsid w:val="00ED4614"/>
    <w:rsid w:val="00ED4D91"/>
    <w:rsid w:val="00ED5E88"/>
    <w:rsid w:val="00ED7988"/>
    <w:rsid w:val="00ED7DD9"/>
    <w:rsid w:val="00EE080E"/>
    <w:rsid w:val="00EE096B"/>
    <w:rsid w:val="00EE18CF"/>
    <w:rsid w:val="00EE1BFF"/>
    <w:rsid w:val="00EE3306"/>
    <w:rsid w:val="00EE33D8"/>
    <w:rsid w:val="00EE3709"/>
    <w:rsid w:val="00EE445B"/>
    <w:rsid w:val="00EE58F4"/>
    <w:rsid w:val="00EE59A2"/>
    <w:rsid w:val="00EE5CB2"/>
    <w:rsid w:val="00EE684A"/>
    <w:rsid w:val="00EF22FF"/>
    <w:rsid w:val="00EF29E1"/>
    <w:rsid w:val="00EF2CD1"/>
    <w:rsid w:val="00EF3113"/>
    <w:rsid w:val="00EF3A20"/>
    <w:rsid w:val="00EF3F84"/>
    <w:rsid w:val="00EF3F8F"/>
    <w:rsid w:val="00EF4415"/>
    <w:rsid w:val="00EF44F6"/>
    <w:rsid w:val="00EF501B"/>
    <w:rsid w:val="00EF54DD"/>
    <w:rsid w:val="00EF5AE1"/>
    <w:rsid w:val="00EF5E1E"/>
    <w:rsid w:val="00EF650D"/>
    <w:rsid w:val="00EF73DC"/>
    <w:rsid w:val="00EF7ACF"/>
    <w:rsid w:val="00F014C7"/>
    <w:rsid w:val="00F05D18"/>
    <w:rsid w:val="00F05E1D"/>
    <w:rsid w:val="00F05F4C"/>
    <w:rsid w:val="00F06ADE"/>
    <w:rsid w:val="00F06C60"/>
    <w:rsid w:val="00F07E4C"/>
    <w:rsid w:val="00F11368"/>
    <w:rsid w:val="00F11AC0"/>
    <w:rsid w:val="00F125FC"/>
    <w:rsid w:val="00F129F8"/>
    <w:rsid w:val="00F133A6"/>
    <w:rsid w:val="00F1506D"/>
    <w:rsid w:val="00F15198"/>
    <w:rsid w:val="00F154D0"/>
    <w:rsid w:val="00F1686D"/>
    <w:rsid w:val="00F16FB6"/>
    <w:rsid w:val="00F1766A"/>
    <w:rsid w:val="00F176AC"/>
    <w:rsid w:val="00F2003F"/>
    <w:rsid w:val="00F20068"/>
    <w:rsid w:val="00F201D6"/>
    <w:rsid w:val="00F20F3D"/>
    <w:rsid w:val="00F21050"/>
    <w:rsid w:val="00F223E0"/>
    <w:rsid w:val="00F23EDD"/>
    <w:rsid w:val="00F248C5"/>
    <w:rsid w:val="00F2521E"/>
    <w:rsid w:val="00F252AE"/>
    <w:rsid w:val="00F2534E"/>
    <w:rsid w:val="00F26F28"/>
    <w:rsid w:val="00F27714"/>
    <w:rsid w:val="00F2796B"/>
    <w:rsid w:val="00F306BD"/>
    <w:rsid w:val="00F30776"/>
    <w:rsid w:val="00F30FA8"/>
    <w:rsid w:val="00F31A6C"/>
    <w:rsid w:val="00F3276E"/>
    <w:rsid w:val="00F33928"/>
    <w:rsid w:val="00F33D3C"/>
    <w:rsid w:val="00F35083"/>
    <w:rsid w:val="00F37934"/>
    <w:rsid w:val="00F37A91"/>
    <w:rsid w:val="00F40020"/>
    <w:rsid w:val="00F40815"/>
    <w:rsid w:val="00F408A0"/>
    <w:rsid w:val="00F40A79"/>
    <w:rsid w:val="00F412F8"/>
    <w:rsid w:val="00F41350"/>
    <w:rsid w:val="00F429F4"/>
    <w:rsid w:val="00F42AEE"/>
    <w:rsid w:val="00F43A25"/>
    <w:rsid w:val="00F44A33"/>
    <w:rsid w:val="00F44D55"/>
    <w:rsid w:val="00F453E6"/>
    <w:rsid w:val="00F45CF5"/>
    <w:rsid w:val="00F46673"/>
    <w:rsid w:val="00F46C6A"/>
    <w:rsid w:val="00F47DB0"/>
    <w:rsid w:val="00F50C3F"/>
    <w:rsid w:val="00F50E34"/>
    <w:rsid w:val="00F514F7"/>
    <w:rsid w:val="00F51AFB"/>
    <w:rsid w:val="00F51C36"/>
    <w:rsid w:val="00F53EF7"/>
    <w:rsid w:val="00F53FF5"/>
    <w:rsid w:val="00F54BF2"/>
    <w:rsid w:val="00F56230"/>
    <w:rsid w:val="00F564B7"/>
    <w:rsid w:val="00F56531"/>
    <w:rsid w:val="00F56C84"/>
    <w:rsid w:val="00F56D2A"/>
    <w:rsid w:val="00F57006"/>
    <w:rsid w:val="00F57960"/>
    <w:rsid w:val="00F57973"/>
    <w:rsid w:val="00F57AC5"/>
    <w:rsid w:val="00F57ED3"/>
    <w:rsid w:val="00F62725"/>
    <w:rsid w:val="00F63B39"/>
    <w:rsid w:val="00F65336"/>
    <w:rsid w:val="00F653D4"/>
    <w:rsid w:val="00F656F2"/>
    <w:rsid w:val="00F6695F"/>
    <w:rsid w:val="00F6790A"/>
    <w:rsid w:val="00F67F85"/>
    <w:rsid w:val="00F7071E"/>
    <w:rsid w:val="00F71420"/>
    <w:rsid w:val="00F72A73"/>
    <w:rsid w:val="00F73360"/>
    <w:rsid w:val="00F7339D"/>
    <w:rsid w:val="00F7449F"/>
    <w:rsid w:val="00F7577C"/>
    <w:rsid w:val="00F75FB1"/>
    <w:rsid w:val="00F765CA"/>
    <w:rsid w:val="00F775AC"/>
    <w:rsid w:val="00F829D7"/>
    <w:rsid w:val="00F83A96"/>
    <w:rsid w:val="00F847A5"/>
    <w:rsid w:val="00F84FB2"/>
    <w:rsid w:val="00F8519C"/>
    <w:rsid w:val="00F85B04"/>
    <w:rsid w:val="00F85C4E"/>
    <w:rsid w:val="00F860A9"/>
    <w:rsid w:val="00F869C9"/>
    <w:rsid w:val="00F87227"/>
    <w:rsid w:val="00F872E6"/>
    <w:rsid w:val="00F8792F"/>
    <w:rsid w:val="00F9007A"/>
    <w:rsid w:val="00F9041C"/>
    <w:rsid w:val="00F90FC4"/>
    <w:rsid w:val="00F91D23"/>
    <w:rsid w:val="00F9214D"/>
    <w:rsid w:val="00F92355"/>
    <w:rsid w:val="00F923E7"/>
    <w:rsid w:val="00F924F6"/>
    <w:rsid w:val="00F9276B"/>
    <w:rsid w:val="00F93963"/>
    <w:rsid w:val="00F94291"/>
    <w:rsid w:val="00F9478E"/>
    <w:rsid w:val="00F9538A"/>
    <w:rsid w:val="00F95805"/>
    <w:rsid w:val="00F9586B"/>
    <w:rsid w:val="00F95BB4"/>
    <w:rsid w:val="00F95D7C"/>
    <w:rsid w:val="00F9638E"/>
    <w:rsid w:val="00F96422"/>
    <w:rsid w:val="00F96F85"/>
    <w:rsid w:val="00FA1FF4"/>
    <w:rsid w:val="00FA2514"/>
    <w:rsid w:val="00FA298A"/>
    <w:rsid w:val="00FA33DF"/>
    <w:rsid w:val="00FA3BFC"/>
    <w:rsid w:val="00FA482C"/>
    <w:rsid w:val="00FA5B66"/>
    <w:rsid w:val="00FA60A2"/>
    <w:rsid w:val="00FA6A0C"/>
    <w:rsid w:val="00FA6B99"/>
    <w:rsid w:val="00FA7C01"/>
    <w:rsid w:val="00FB016D"/>
    <w:rsid w:val="00FB037C"/>
    <w:rsid w:val="00FB0B55"/>
    <w:rsid w:val="00FB0B9C"/>
    <w:rsid w:val="00FB30EB"/>
    <w:rsid w:val="00FB30FB"/>
    <w:rsid w:val="00FB4D97"/>
    <w:rsid w:val="00FB4FA3"/>
    <w:rsid w:val="00FB653F"/>
    <w:rsid w:val="00FB66E4"/>
    <w:rsid w:val="00FB6BE7"/>
    <w:rsid w:val="00FB7463"/>
    <w:rsid w:val="00FB7982"/>
    <w:rsid w:val="00FB7F6E"/>
    <w:rsid w:val="00FC0734"/>
    <w:rsid w:val="00FC0FC5"/>
    <w:rsid w:val="00FC10D3"/>
    <w:rsid w:val="00FC2865"/>
    <w:rsid w:val="00FC2B1A"/>
    <w:rsid w:val="00FC2BCB"/>
    <w:rsid w:val="00FC314B"/>
    <w:rsid w:val="00FC3DE1"/>
    <w:rsid w:val="00FC3DFE"/>
    <w:rsid w:val="00FC4698"/>
    <w:rsid w:val="00FC588F"/>
    <w:rsid w:val="00FC5AB3"/>
    <w:rsid w:val="00FC6879"/>
    <w:rsid w:val="00FC6A2B"/>
    <w:rsid w:val="00FC77DB"/>
    <w:rsid w:val="00FD2456"/>
    <w:rsid w:val="00FD2A32"/>
    <w:rsid w:val="00FD2D3A"/>
    <w:rsid w:val="00FD2F69"/>
    <w:rsid w:val="00FD43C2"/>
    <w:rsid w:val="00FD4611"/>
    <w:rsid w:val="00FD462B"/>
    <w:rsid w:val="00FD482E"/>
    <w:rsid w:val="00FD4DC7"/>
    <w:rsid w:val="00FD57CC"/>
    <w:rsid w:val="00FD623D"/>
    <w:rsid w:val="00FD70F8"/>
    <w:rsid w:val="00FE0C82"/>
    <w:rsid w:val="00FE19A2"/>
    <w:rsid w:val="00FE1B30"/>
    <w:rsid w:val="00FE1D74"/>
    <w:rsid w:val="00FE1E8A"/>
    <w:rsid w:val="00FE352D"/>
    <w:rsid w:val="00FE368D"/>
    <w:rsid w:val="00FE3BFE"/>
    <w:rsid w:val="00FE4509"/>
    <w:rsid w:val="00FE48CE"/>
    <w:rsid w:val="00FE4AF2"/>
    <w:rsid w:val="00FE5ABD"/>
    <w:rsid w:val="00FE6719"/>
    <w:rsid w:val="00FE681D"/>
    <w:rsid w:val="00FE7A97"/>
    <w:rsid w:val="00FE7B44"/>
    <w:rsid w:val="00FF0536"/>
    <w:rsid w:val="00FF23A4"/>
    <w:rsid w:val="00FF32B8"/>
    <w:rsid w:val="00FF334C"/>
    <w:rsid w:val="00FF3F29"/>
    <w:rsid w:val="00FF4474"/>
    <w:rsid w:val="00FF4D53"/>
    <w:rsid w:val="00FF4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D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uiPriority w:val="39"/>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tabs>
        <w:tab w:val="clear" w:pos="1440"/>
      </w:tabs>
      <w:ind w:hanging="360"/>
    </w:pPr>
  </w:style>
  <w:style w:type="paragraph" w:customStyle="1" w:styleId="ListNo3">
    <w:name w:val="List No 3"/>
    <w:basedOn w:val="ListNo2"/>
    <w:rsid w:val="0052098C"/>
    <w:pPr>
      <w:numPr>
        <w:ilvl w:val="2"/>
      </w:numPr>
      <w:tabs>
        <w:tab w:val="clear" w:pos="2160"/>
      </w:tabs>
      <w:ind w:hanging="180"/>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38"/>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00324373">
    <w:name w:val="00324373"/>
    <w:basedOn w:val="Normal"/>
    <w:rsid w:val="008D0772"/>
    <w:pPr>
      <w:spacing w:before="100" w:beforeAutospacing="1" w:after="100" w:afterAutospacing="1" w:line="240" w:lineRule="auto"/>
      <w:jc w:val="left"/>
    </w:pPr>
    <w:rPr>
      <w:rFonts w:eastAsia="Times New Roman"/>
      <w:szCs w:val="24"/>
      <w:lang w:eastAsia="en-AU"/>
    </w:rPr>
  </w:style>
  <w:style w:type="paragraph" w:customStyle="1" w:styleId="00cd5d81">
    <w:name w:val="00cd5d81"/>
    <w:basedOn w:val="Normal"/>
    <w:rsid w:val="008D0772"/>
    <w:pPr>
      <w:spacing w:before="100" w:beforeAutospacing="1" w:after="100" w:afterAutospacing="1" w:line="240" w:lineRule="auto"/>
      <w:jc w:val="left"/>
    </w:pPr>
    <w:rPr>
      <w:rFonts w:eastAsia="Times New Roman"/>
      <w:szCs w:val="24"/>
      <w:lang w:eastAsia="en-AU"/>
    </w:rPr>
  </w:style>
  <w:style w:type="paragraph" w:customStyle="1" w:styleId="00e16412">
    <w:name w:val="00e16412"/>
    <w:basedOn w:val="Normal"/>
    <w:rsid w:val="00FE3BFE"/>
    <w:pPr>
      <w:spacing w:before="100" w:beforeAutospacing="1" w:after="100" w:afterAutospacing="1" w:line="240" w:lineRule="auto"/>
      <w:jc w:val="left"/>
    </w:pPr>
    <w:rPr>
      <w:rFonts w:eastAsia="Times New Roman"/>
      <w:szCs w:val="24"/>
      <w:lang w:eastAsia="en-AU"/>
    </w:rPr>
  </w:style>
  <w:style w:type="paragraph" w:customStyle="1" w:styleId="00251a9e">
    <w:name w:val="00251a9e"/>
    <w:basedOn w:val="Normal"/>
    <w:rsid w:val="00FE3BFE"/>
    <w:pPr>
      <w:spacing w:before="100" w:beforeAutospacing="1" w:after="100" w:afterAutospacing="1" w:line="240" w:lineRule="auto"/>
      <w:jc w:val="left"/>
    </w:pPr>
    <w:rPr>
      <w:rFonts w:eastAsia="Times New Roman"/>
      <w:szCs w:val="24"/>
      <w:lang w:eastAsia="en-AU"/>
    </w:rPr>
  </w:style>
  <w:style w:type="paragraph" w:styleId="ListParagraph">
    <w:name w:val="List Paragraph"/>
    <w:basedOn w:val="Normal"/>
    <w:uiPriority w:val="1"/>
    <w:qFormat/>
    <w:rsid w:val="001D6998"/>
    <w:pPr>
      <w:widowControl w:val="0"/>
      <w:autoSpaceDE w:val="0"/>
      <w:autoSpaceDN w:val="0"/>
      <w:adjustRightInd w:val="0"/>
      <w:spacing w:line="240" w:lineRule="auto"/>
      <w:ind w:left="839" w:hanging="360"/>
    </w:pPr>
    <w:rPr>
      <w:rFonts w:ascii="Arial" w:eastAsiaTheme="minorEastAsia" w:hAnsi="Arial" w:cs="Arial"/>
      <w:szCs w:val="24"/>
      <w:lang w:eastAsia="en-AU"/>
      <w14:ligatures w14:val="standardContextual"/>
    </w:rPr>
  </w:style>
  <w:style w:type="paragraph" w:customStyle="1" w:styleId="TableParagraph">
    <w:name w:val="Table Paragraph"/>
    <w:basedOn w:val="Normal"/>
    <w:uiPriority w:val="1"/>
    <w:qFormat/>
    <w:rsid w:val="00AF66A1"/>
    <w:pPr>
      <w:widowControl w:val="0"/>
      <w:autoSpaceDE w:val="0"/>
      <w:autoSpaceDN w:val="0"/>
      <w:adjustRightInd w:val="0"/>
      <w:spacing w:line="240" w:lineRule="auto"/>
      <w:ind w:left="107"/>
      <w:jc w:val="left"/>
    </w:pPr>
    <w:rPr>
      <w:rFonts w:ascii="Arial" w:eastAsiaTheme="minorEastAsia" w:hAnsi="Arial" w:cs="Arial"/>
      <w:szCs w:val="24"/>
      <w:lang w:eastAsia="en-AU"/>
      <w14:ligatures w14:val="standardContextual"/>
    </w:rPr>
  </w:style>
  <w:style w:type="paragraph" w:styleId="Revision">
    <w:name w:val="Revision"/>
    <w:hidden/>
    <w:uiPriority w:val="99"/>
    <w:semiHidden/>
    <w:rsid w:val="00BA0891"/>
    <w:rPr>
      <w:sz w:val="24"/>
      <w:lang w:eastAsia="en-US"/>
    </w:rPr>
  </w:style>
  <w:style w:type="character" w:customStyle="1" w:styleId="HeaderChar">
    <w:name w:val="Header Char"/>
    <w:basedOn w:val="DefaultParagraphFont"/>
    <w:link w:val="Header"/>
    <w:semiHidden/>
    <w:rsid w:val="001D336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241000">
      <w:bodyDiv w:val="1"/>
      <w:marLeft w:val="0"/>
      <w:marRight w:val="0"/>
      <w:marTop w:val="0"/>
      <w:marBottom w:val="0"/>
      <w:divBdr>
        <w:top w:val="none" w:sz="0" w:space="0" w:color="auto"/>
        <w:left w:val="none" w:sz="0" w:space="0" w:color="auto"/>
        <w:bottom w:val="none" w:sz="0" w:space="0" w:color="auto"/>
        <w:right w:val="none" w:sz="0" w:space="0" w:color="auto"/>
      </w:divBdr>
    </w:div>
    <w:div w:id="104120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merlaw.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accc.gov.au/about-us/publications/motor-vehicle-sales-and-repairs-an-industry-guide-to-the-australian-consumer-la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c.gov.au/consumerguarante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nsumerlaw.gov.a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accc.gov.au/consumerguarante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7FE54C44D94367B3E0C4499B99E433"/>
        <w:category>
          <w:name w:val="General"/>
          <w:gallery w:val="placeholder"/>
        </w:category>
        <w:types>
          <w:type w:val="bbPlcHdr"/>
        </w:types>
        <w:behaviors>
          <w:behavior w:val="content"/>
        </w:behaviors>
        <w:guid w:val="{A50DB170-7B0B-4881-A648-2609B831B5A1}"/>
      </w:docPartPr>
      <w:docPartBody>
        <w:p w:rsidR="003A3CDD" w:rsidRDefault="003A3CDD">
          <w:pPr>
            <w:pStyle w:val="E97FE54C44D94367B3E0C4499B99E433"/>
          </w:pPr>
          <w:r>
            <w:rPr>
              <w:rStyle w:val="PlaceholderText"/>
            </w:rPr>
            <w:t>MNC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DD"/>
    <w:rsid w:val="000B539B"/>
    <w:rsid w:val="000F2D56"/>
    <w:rsid w:val="00135EAF"/>
    <w:rsid w:val="001D1BFE"/>
    <w:rsid w:val="003A3CDD"/>
    <w:rsid w:val="005578DD"/>
    <w:rsid w:val="00802484"/>
    <w:rsid w:val="00934B51"/>
    <w:rsid w:val="0095433D"/>
    <w:rsid w:val="009B6B66"/>
    <w:rsid w:val="00A14A0C"/>
    <w:rsid w:val="00B5551B"/>
    <w:rsid w:val="00B978C7"/>
    <w:rsid w:val="00C05831"/>
    <w:rsid w:val="00C276D0"/>
    <w:rsid w:val="00D86FA9"/>
    <w:rsid w:val="00DA635E"/>
    <w:rsid w:val="00DF6EAD"/>
    <w:rsid w:val="00E36D44"/>
    <w:rsid w:val="00E37B65"/>
    <w:rsid w:val="00F85C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7FE54C44D94367B3E0C4499B99E433">
    <w:name w:val="E97FE54C44D94367B3E0C4499B99E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Australian Competition and Consumer Commission v Mazda Australia Pty Ltd (No 3) [2024] FCA 83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39</Pages>
  <Words>13180</Words>
  <Characters>69342</Characters>
  <Application>Microsoft Office Word</Application>
  <DocSecurity>0</DocSecurity>
  <PresentationFormat/>
  <Lines>1415</Lines>
  <Paragraphs>528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Australian Competition and Consumer Commission v Mazda Australia Pty Ltd (No 3) [2024] FCA 83</vt:lpstr>
    </vt:vector>
  </TitlesOfParts>
  <Manager/>
  <Company/>
  <LinksUpToDate>false</LinksUpToDate>
  <CharactersWithSpaces>81994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2024-02-06T04:06:00Z</cp:lastPrinted>
  <dcterms:created xsi:type="dcterms:W3CDTF">2024-02-13T22:51:00Z</dcterms:created>
  <dcterms:modified xsi:type="dcterms:W3CDTF">2024-02-13T23:00:00Z</dcterms:modified>
  <cp:category/>
  <cp:contentStatus/>
  <dc:language/>
  <cp:version/>
</cp:coreProperties>
</file>