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99C8" w14:textId="5DD463FD" w:rsidR="00395B24" w:rsidRDefault="00A95953" w:rsidP="00A22932">
      <w:pPr>
        <w:pStyle w:val="CourtTitle"/>
      </w:pPr>
      <w:r>
        <w:fldChar w:fldCharType="begin"/>
      </w:r>
      <w:r>
        <w:instrText xml:space="preserve"> DOCPROPERTY  Court  \* MERGEFORMAT </w:instrText>
      </w:r>
      <w:r>
        <w:fldChar w:fldCharType="separate"/>
      </w:r>
      <w:r w:rsidR="003C20FE">
        <w:t>Federal Court of Australia</w:t>
      </w:r>
      <w:r>
        <w:fldChar w:fldCharType="end"/>
      </w:r>
    </w:p>
    <w:p w14:paraId="5B855C7B" w14:textId="77777777" w:rsidR="004D7950" w:rsidRDefault="004D7950">
      <w:pPr>
        <w:pStyle w:val="NormalHeadings"/>
        <w:jc w:val="center"/>
        <w:rPr>
          <w:sz w:val="32"/>
        </w:rPr>
      </w:pPr>
    </w:p>
    <w:bookmarkStart w:id="0" w:name="MNC"/>
    <w:p w14:paraId="2639B7D2" w14:textId="6B0B9CE7" w:rsidR="00374CC4" w:rsidRDefault="00ED57A3" w:rsidP="001A2B40">
      <w:pPr>
        <w:pStyle w:val="MNC"/>
      </w:pPr>
      <w:sdt>
        <w:sdtPr>
          <w:alias w:val="MNC"/>
          <w:tag w:val="MNC"/>
          <w:id w:val="343289786"/>
          <w:lock w:val="sdtLocked"/>
          <w:placeholder>
            <w:docPart w:val="7E6DA6F19AF243BF9E9F0F1E666A1032"/>
          </w:placeholder>
          <w:dataBinding w:prefixMappings="xmlns:ns0='http://schemas.globalmacros.com/FCA'" w:xpath="/ns0:root[1]/ns0:Name[1]" w:storeItemID="{687E7CCB-4AA5-44E7-B148-17BA2B6F57C0}"/>
          <w:text w:multiLine="1"/>
        </w:sdtPr>
        <w:sdtEndPr/>
        <w:sdtContent>
          <w:r w:rsidR="00AA1655" w:rsidRPr="00AA1655">
            <w:t xml:space="preserve">Buzadzic v Commissioner of Taxation [2024] FCAFC 50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C20FE" w14:paraId="64B77382" w14:textId="77777777" w:rsidTr="00DF5DEC">
        <w:tc>
          <w:tcPr>
            <w:tcW w:w="3083" w:type="dxa"/>
            <w:shd w:val="clear" w:color="auto" w:fill="auto"/>
          </w:tcPr>
          <w:p w14:paraId="39F91D16" w14:textId="77777777" w:rsidR="003C20FE" w:rsidRDefault="003C20FE"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24DD9C07" w14:textId="4E485069" w:rsidR="003C20FE" w:rsidRDefault="0043158D" w:rsidP="002539B3">
            <w:pPr>
              <w:pStyle w:val="CasesLegislationAppealFrom"/>
              <w:spacing w:after="60"/>
            </w:pPr>
            <w:r>
              <w:fldChar w:fldCharType="begin"/>
            </w:r>
            <w:r>
              <w:instrText xml:space="preserve"> DOCPROPERTY  AppealFrom  \* MERGEFORMAT </w:instrText>
            </w:r>
            <w:r>
              <w:fldChar w:fldCharType="separate"/>
            </w:r>
            <w:proofErr w:type="spellStart"/>
            <w:r w:rsidR="003C20FE" w:rsidRPr="00C05D05">
              <w:rPr>
                <w:i/>
                <w:iCs/>
              </w:rPr>
              <w:t>Buzadzic</w:t>
            </w:r>
            <w:proofErr w:type="spellEnd"/>
            <w:r w:rsidR="003C20FE" w:rsidRPr="00C05D05">
              <w:rPr>
                <w:i/>
                <w:iCs/>
              </w:rPr>
              <w:t xml:space="preserve"> v Commissioner of Taxation</w:t>
            </w:r>
            <w:r w:rsidR="003C20FE">
              <w:t xml:space="preserve"> [2023] FCA 954</w:t>
            </w:r>
            <w:r>
              <w:fldChar w:fldCharType="end"/>
            </w:r>
          </w:p>
        </w:tc>
      </w:tr>
      <w:tr w:rsidR="003C20FE" w14:paraId="2814940D" w14:textId="77777777" w:rsidTr="00DF5DEC">
        <w:tc>
          <w:tcPr>
            <w:tcW w:w="3083" w:type="dxa"/>
            <w:shd w:val="clear" w:color="auto" w:fill="auto"/>
          </w:tcPr>
          <w:p w14:paraId="6CD7408E" w14:textId="77777777" w:rsidR="003C20FE" w:rsidRDefault="003C20FE" w:rsidP="00663878">
            <w:pPr>
              <w:pStyle w:val="Normal1linespace"/>
              <w:widowControl w:val="0"/>
              <w:jc w:val="left"/>
            </w:pPr>
          </w:p>
        </w:tc>
        <w:tc>
          <w:tcPr>
            <w:tcW w:w="5989" w:type="dxa"/>
            <w:shd w:val="clear" w:color="auto" w:fill="auto"/>
          </w:tcPr>
          <w:p w14:paraId="18D46ADE" w14:textId="77777777" w:rsidR="003C20FE" w:rsidRDefault="003C20FE" w:rsidP="00663878">
            <w:pPr>
              <w:pStyle w:val="Normal1linespace"/>
              <w:widowControl w:val="0"/>
              <w:jc w:val="left"/>
            </w:pPr>
          </w:p>
        </w:tc>
      </w:tr>
      <w:bookmarkEnd w:id="1"/>
      <w:tr w:rsidR="00395B24" w14:paraId="41844607" w14:textId="77777777" w:rsidTr="00DF5DEC">
        <w:tc>
          <w:tcPr>
            <w:tcW w:w="3083" w:type="dxa"/>
            <w:shd w:val="clear" w:color="auto" w:fill="auto"/>
          </w:tcPr>
          <w:p w14:paraId="6B130F03" w14:textId="77777777" w:rsidR="00395B24" w:rsidRDefault="002C7385" w:rsidP="00663878">
            <w:pPr>
              <w:pStyle w:val="Normal1linespace"/>
              <w:widowControl w:val="0"/>
              <w:jc w:val="left"/>
            </w:pPr>
            <w:r>
              <w:t>File number(s):</w:t>
            </w:r>
          </w:p>
        </w:tc>
        <w:tc>
          <w:tcPr>
            <w:tcW w:w="5989" w:type="dxa"/>
            <w:shd w:val="clear" w:color="auto" w:fill="auto"/>
          </w:tcPr>
          <w:p w14:paraId="5533DBCE" w14:textId="5A2BF596" w:rsidR="00395B24" w:rsidRPr="003C20FE" w:rsidRDefault="0043158D" w:rsidP="003C20FE">
            <w:pPr>
              <w:pStyle w:val="Normal1linespace"/>
              <w:jc w:val="left"/>
            </w:pPr>
            <w:fldSimple w:instr=" REF  FileNo  \* MERGEFORMAT " w:fldLock="1">
              <w:r w:rsidR="003C20FE" w:rsidRPr="003C20FE">
                <w:t>VID</w:t>
              </w:r>
              <w:r w:rsidR="002A7047">
                <w:t xml:space="preserve"> </w:t>
              </w:r>
              <w:r w:rsidR="003C20FE" w:rsidRPr="003C20FE">
                <w:t>709</w:t>
              </w:r>
              <w:r w:rsidR="002A7047">
                <w:t xml:space="preserve"> of </w:t>
              </w:r>
              <w:r w:rsidR="003C20FE" w:rsidRPr="003C20FE">
                <w:t>2023</w:t>
              </w:r>
            </w:fldSimple>
          </w:p>
        </w:tc>
      </w:tr>
      <w:tr w:rsidR="00395B24" w14:paraId="5CC9E584" w14:textId="77777777" w:rsidTr="00DF5DEC">
        <w:tc>
          <w:tcPr>
            <w:tcW w:w="3083" w:type="dxa"/>
            <w:shd w:val="clear" w:color="auto" w:fill="auto"/>
          </w:tcPr>
          <w:p w14:paraId="0A7F4C5E" w14:textId="77777777" w:rsidR="00395B24" w:rsidRDefault="00395B24" w:rsidP="00663878">
            <w:pPr>
              <w:pStyle w:val="Normal1linespace"/>
              <w:widowControl w:val="0"/>
              <w:jc w:val="left"/>
            </w:pPr>
          </w:p>
        </w:tc>
        <w:tc>
          <w:tcPr>
            <w:tcW w:w="5989" w:type="dxa"/>
            <w:shd w:val="clear" w:color="auto" w:fill="auto"/>
          </w:tcPr>
          <w:p w14:paraId="50A1731C" w14:textId="77777777" w:rsidR="00395B24" w:rsidRDefault="00395B24" w:rsidP="00663878">
            <w:pPr>
              <w:pStyle w:val="Normal1linespace"/>
              <w:widowControl w:val="0"/>
              <w:jc w:val="left"/>
            </w:pPr>
          </w:p>
        </w:tc>
      </w:tr>
      <w:tr w:rsidR="00395B24" w14:paraId="111314BF" w14:textId="77777777" w:rsidTr="00DF5DEC">
        <w:tc>
          <w:tcPr>
            <w:tcW w:w="3083" w:type="dxa"/>
            <w:shd w:val="clear" w:color="auto" w:fill="auto"/>
          </w:tcPr>
          <w:p w14:paraId="4876EBD1"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5419C3A" w14:textId="2CE4E9F4" w:rsidR="00395B24" w:rsidRDefault="002C7385" w:rsidP="00663878">
            <w:pPr>
              <w:pStyle w:val="Normal1linespace"/>
              <w:widowControl w:val="0"/>
              <w:jc w:val="left"/>
              <w:rPr>
                <w:b/>
              </w:rPr>
            </w:pPr>
            <w:r w:rsidRPr="003C20FE">
              <w:rPr>
                <w:b/>
              </w:rPr>
              <w:fldChar w:fldCharType="begin" w:fldLock="1"/>
            </w:r>
            <w:r w:rsidRPr="003C20FE">
              <w:rPr>
                <w:b/>
              </w:rPr>
              <w:instrText xml:space="preserve"> REF  Judge  \* MERGEFORMAT </w:instrText>
            </w:r>
            <w:r w:rsidRPr="003C20FE">
              <w:rPr>
                <w:b/>
              </w:rPr>
              <w:fldChar w:fldCharType="separate"/>
            </w:r>
            <w:r w:rsidR="003C20FE" w:rsidRPr="003C20FE">
              <w:rPr>
                <w:b/>
                <w:caps/>
                <w:szCs w:val="24"/>
              </w:rPr>
              <w:t>BROMWICH, ABRAHAM</w:t>
            </w:r>
            <w:r w:rsidR="002A7047">
              <w:rPr>
                <w:b/>
                <w:caps/>
                <w:szCs w:val="24"/>
              </w:rPr>
              <w:t xml:space="preserve"> AND</w:t>
            </w:r>
            <w:r w:rsidR="003C20FE" w:rsidRPr="003C20FE">
              <w:rPr>
                <w:b/>
                <w:caps/>
                <w:szCs w:val="24"/>
              </w:rPr>
              <w:t xml:space="preserve"> MCEVOY JJ</w:t>
            </w:r>
            <w:r w:rsidRPr="003C20FE">
              <w:rPr>
                <w:b/>
              </w:rPr>
              <w:fldChar w:fldCharType="end"/>
            </w:r>
          </w:p>
        </w:tc>
      </w:tr>
      <w:tr w:rsidR="00395B24" w14:paraId="7C8F79B0" w14:textId="77777777" w:rsidTr="00DF5DEC">
        <w:tc>
          <w:tcPr>
            <w:tcW w:w="3083" w:type="dxa"/>
            <w:shd w:val="clear" w:color="auto" w:fill="auto"/>
          </w:tcPr>
          <w:p w14:paraId="240F954A" w14:textId="77777777" w:rsidR="00395B24" w:rsidRDefault="00395B24" w:rsidP="00663878">
            <w:pPr>
              <w:pStyle w:val="Normal1linespace"/>
              <w:widowControl w:val="0"/>
              <w:jc w:val="left"/>
            </w:pPr>
          </w:p>
        </w:tc>
        <w:tc>
          <w:tcPr>
            <w:tcW w:w="5989" w:type="dxa"/>
            <w:shd w:val="clear" w:color="auto" w:fill="auto"/>
          </w:tcPr>
          <w:p w14:paraId="04DF10AD" w14:textId="77777777" w:rsidR="00395B24" w:rsidRDefault="00395B24" w:rsidP="00663878">
            <w:pPr>
              <w:pStyle w:val="Normal1linespace"/>
              <w:widowControl w:val="0"/>
              <w:jc w:val="left"/>
            </w:pPr>
          </w:p>
        </w:tc>
      </w:tr>
      <w:tr w:rsidR="00395B24" w14:paraId="696A4E6F" w14:textId="77777777" w:rsidTr="00DF5DEC">
        <w:tc>
          <w:tcPr>
            <w:tcW w:w="3083" w:type="dxa"/>
            <w:shd w:val="clear" w:color="auto" w:fill="auto"/>
          </w:tcPr>
          <w:p w14:paraId="273C41A9" w14:textId="77777777" w:rsidR="00395B24" w:rsidRDefault="002C7385" w:rsidP="00663878">
            <w:pPr>
              <w:pStyle w:val="Normal1linespace"/>
              <w:widowControl w:val="0"/>
              <w:jc w:val="left"/>
            </w:pPr>
            <w:r>
              <w:t>Date of judgment:</w:t>
            </w:r>
          </w:p>
        </w:tc>
        <w:tc>
          <w:tcPr>
            <w:tcW w:w="5989" w:type="dxa"/>
            <w:shd w:val="clear" w:color="auto" w:fill="auto"/>
          </w:tcPr>
          <w:p w14:paraId="4DAFB973" w14:textId="15F42DAF" w:rsidR="00395B24" w:rsidRDefault="00A3675C" w:rsidP="00663878">
            <w:pPr>
              <w:pStyle w:val="Normal1linespace"/>
              <w:widowControl w:val="0"/>
              <w:jc w:val="left"/>
            </w:pPr>
            <w:bookmarkStart w:id="2" w:name="JudgmentDate"/>
            <w:r w:rsidRPr="00A3675C">
              <w:t>17</w:t>
            </w:r>
            <w:bookmarkEnd w:id="2"/>
            <w:r w:rsidR="00AB2436">
              <w:t xml:space="preserve"> April 2024</w:t>
            </w:r>
          </w:p>
        </w:tc>
      </w:tr>
      <w:tr w:rsidR="00395B24" w14:paraId="7FFA1B06" w14:textId="77777777" w:rsidTr="00DF5DEC">
        <w:tc>
          <w:tcPr>
            <w:tcW w:w="3083" w:type="dxa"/>
            <w:shd w:val="clear" w:color="auto" w:fill="auto"/>
          </w:tcPr>
          <w:p w14:paraId="2E4FFA7A" w14:textId="77777777" w:rsidR="00395B24" w:rsidRDefault="00395B24" w:rsidP="00663878">
            <w:pPr>
              <w:pStyle w:val="Normal1linespace"/>
              <w:widowControl w:val="0"/>
              <w:jc w:val="left"/>
            </w:pPr>
          </w:p>
        </w:tc>
        <w:tc>
          <w:tcPr>
            <w:tcW w:w="5989" w:type="dxa"/>
            <w:shd w:val="clear" w:color="auto" w:fill="auto"/>
          </w:tcPr>
          <w:p w14:paraId="4D48E15A" w14:textId="77777777" w:rsidR="00395B24" w:rsidRDefault="00395B24" w:rsidP="00663878">
            <w:pPr>
              <w:pStyle w:val="Normal1linespace"/>
              <w:widowControl w:val="0"/>
              <w:jc w:val="left"/>
            </w:pPr>
          </w:p>
        </w:tc>
      </w:tr>
      <w:tr w:rsidR="00395B24" w14:paraId="0512B94C" w14:textId="77777777" w:rsidTr="00DF5DEC">
        <w:tc>
          <w:tcPr>
            <w:tcW w:w="3083" w:type="dxa"/>
            <w:shd w:val="clear" w:color="auto" w:fill="auto"/>
          </w:tcPr>
          <w:p w14:paraId="38EBB382" w14:textId="77777777" w:rsidR="00395B24" w:rsidRDefault="002C7385" w:rsidP="00663878">
            <w:pPr>
              <w:pStyle w:val="Normal1linespace"/>
              <w:widowControl w:val="0"/>
              <w:jc w:val="left"/>
            </w:pPr>
            <w:r>
              <w:t>Catchwords:</w:t>
            </w:r>
          </w:p>
        </w:tc>
        <w:tc>
          <w:tcPr>
            <w:tcW w:w="5989" w:type="dxa"/>
            <w:shd w:val="clear" w:color="auto" w:fill="auto"/>
          </w:tcPr>
          <w:p w14:paraId="455265A8" w14:textId="2456422B" w:rsidR="00395B24" w:rsidRDefault="00C83B06" w:rsidP="00663878">
            <w:pPr>
              <w:pStyle w:val="Normal1linespace"/>
              <w:widowControl w:val="0"/>
              <w:jc w:val="left"/>
            </w:pPr>
            <w:bookmarkStart w:id="3" w:name="Catchwords"/>
            <w:r w:rsidRPr="00BE7B27">
              <w:rPr>
                <w:b/>
                <w:bCs/>
              </w:rPr>
              <w:t>TAXATION</w:t>
            </w:r>
            <w:r>
              <w:t xml:space="preserve"> </w:t>
            </w:r>
            <w:r w:rsidR="00D842A4">
              <w:t>–</w:t>
            </w:r>
            <w:r>
              <w:t xml:space="preserve"> </w:t>
            </w:r>
            <w:r w:rsidR="00AC588C">
              <w:t xml:space="preserve">where </w:t>
            </w:r>
            <w:r w:rsidR="006C3628">
              <w:t xml:space="preserve">primary judge dismissed an </w:t>
            </w:r>
            <w:r w:rsidR="00A57F55" w:rsidRPr="00A57F55">
              <w:t xml:space="preserve">appeal </w:t>
            </w:r>
            <w:r w:rsidR="00A65E4B">
              <w:t xml:space="preserve">from the </w:t>
            </w:r>
            <w:r w:rsidR="00A57F55" w:rsidRPr="00A57F55">
              <w:t xml:space="preserve">Administrative Appeals Tribunal affirming </w:t>
            </w:r>
            <w:r w:rsidR="005C3481">
              <w:t>Commissioner of Taxation</w:t>
            </w:r>
            <w:r w:rsidR="00685FDF">
              <w:t>’</w:t>
            </w:r>
            <w:r w:rsidR="00790050">
              <w:t>s decision to disallow objections</w:t>
            </w:r>
            <w:r w:rsidR="00AC588C">
              <w:t xml:space="preserve"> upon the basis of fraud or evasion</w:t>
            </w:r>
            <w:r w:rsidR="00C10F23">
              <w:t xml:space="preserve">, and </w:t>
            </w:r>
            <w:r w:rsidR="00662F5B">
              <w:t>to</w:t>
            </w:r>
            <w:r w:rsidR="00BE0E31">
              <w:t xml:space="preserve"> impose substantial penalties and shortfall interest charges </w:t>
            </w:r>
            <w:r w:rsidR="005604A3">
              <w:t xml:space="preserve">– </w:t>
            </w:r>
            <w:r w:rsidR="00E52412">
              <w:t xml:space="preserve">no error on the part of the primary judge </w:t>
            </w:r>
            <w:r w:rsidR="0094530E">
              <w:t>established</w:t>
            </w:r>
            <w:r w:rsidR="00AA032E">
              <w:t xml:space="preserve"> </w:t>
            </w:r>
            <w:r w:rsidR="00662F5B">
              <w:t xml:space="preserve">– leave refused to run an additional ground of appeal not run before the primary judge – </w:t>
            </w:r>
            <w:r w:rsidR="00DD24A7">
              <w:t>appeal</w:t>
            </w:r>
            <w:r w:rsidR="00E52412">
              <w:t xml:space="preserve"> d</w:t>
            </w:r>
            <w:r w:rsidR="00DD24A7">
              <w:t>ismissed</w:t>
            </w:r>
            <w:r w:rsidR="0032247D">
              <w:t xml:space="preserve"> with costs</w:t>
            </w:r>
            <w:r w:rsidR="00A57F55" w:rsidRPr="00A57F55">
              <w:t xml:space="preserve"> </w:t>
            </w:r>
            <w:bookmarkEnd w:id="3"/>
          </w:p>
        </w:tc>
      </w:tr>
      <w:tr w:rsidR="00395B24" w14:paraId="4EA7FECF" w14:textId="77777777" w:rsidTr="00DF5DEC">
        <w:tc>
          <w:tcPr>
            <w:tcW w:w="3083" w:type="dxa"/>
            <w:shd w:val="clear" w:color="auto" w:fill="auto"/>
          </w:tcPr>
          <w:p w14:paraId="3A5B553A" w14:textId="77777777" w:rsidR="00395B24" w:rsidRDefault="00395B24" w:rsidP="00663878">
            <w:pPr>
              <w:pStyle w:val="Normal1linespace"/>
              <w:widowControl w:val="0"/>
              <w:jc w:val="left"/>
            </w:pPr>
          </w:p>
        </w:tc>
        <w:tc>
          <w:tcPr>
            <w:tcW w:w="5989" w:type="dxa"/>
            <w:shd w:val="clear" w:color="auto" w:fill="auto"/>
          </w:tcPr>
          <w:p w14:paraId="5CE169E3" w14:textId="77777777" w:rsidR="00395B24" w:rsidRDefault="00395B24" w:rsidP="00663878">
            <w:pPr>
              <w:pStyle w:val="Normal1linespace"/>
              <w:widowControl w:val="0"/>
              <w:jc w:val="left"/>
            </w:pPr>
          </w:p>
        </w:tc>
      </w:tr>
      <w:tr w:rsidR="00395B24" w14:paraId="3D716FF5" w14:textId="77777777" w:rsidTr="00DF5DEC">
        <w:tc>
          <w:tcPr>
            <w:tcW w:w="3083" w:type="dxa"/>
            <w:shd w:val="clear" w:color="auto" w:fill="auto"/>
          </w:tcPr>
          <w:p w14:paraId="1DE720C5" w14:textId="77777777" w:rsidR="00395B24" w:rsidRDefault="002C7385" w:rsidP="00663878">
            <w:pPr>
              <w:pStyle w:val="Normal1linespace"/>
              <w:widowControl w:val="0"/>
              <w:jc w:val="left"/>
            </w:pPr>
            <w:r>
              <w:t>Legislation:</w:t>
            </w:r>
          </w:p>
        </w:tc>
        <w:tc>
          <w:tcPr>
            <w:tcW w:w="5989" w:type="dxa"/>
            <w:shd w:val="clear" w:color="auto" w:fill="auto"/>
          </w:tcPr>
          <w:p w14:paraId="01746B85" w14:textId="77777777" w:rsidR="00BE7B27" w:rsidRPr="002E6A8F" w:rsidRDefault="00BE7B27" w:rsidP="00BE7B27">
            <w:pPr>
              <w:pStyle w:val="CasesLegislationAppealFrom"/>
              <w:spacing w:after="60"/>
            </w:pPr>
            <w:bookmarkStart w:id="4" w:name="Legislation"/>
            <w:r w:rsidRPr="00581A24">
              <w:rPr>
                <w:i/>
              </w:rPr>
              <w:t>Administrative Appeals Tribunal Act 1975</w:t>
            </w:r>
            <w:r w:rsidRPr="00581A24">
              <w:t xml:space="preserve"> (Cth)</w:t>
            </w:r>
            <w:r>
              <w:t xml:space="preserve"> s 44(1)</w:t>
            </w:r>
          </w:p>
          <w:p w14:paraId="4FACF3F1" w14:textId="5075FCEB" w:rsidR="001E6C20" w:rsidRDefault="001E6C20" w:rsidP="002E6A8F">
            <w:pPr>
              <w:pStyle w:val="CasesLegislationAppealFrom"/>
              <w:spacing w:after="60"/>
            </w:pPr>
            <w:r w:rsidRPr="00E37BFE">
              <w:rPr>
                <w:i/>
                <w:iCs/>
              </w:rPr>
              <w:t>Australian Charities and Not‑for‑profits Commission (Consequential and Transitional) Act 2012</w:t>
            </w:r>
            <w:r>
              <w:t xml:space="preserve"> (Cth)</w:t>
            </w:r>
          </w:p>
          <w:p w14:paraId="4B4ED3E1" w14:textId="0FD3DB31" w:rsidR="002E6A8F" w:rsidRPr="002E6A8F" w:rsidRDefault="002E6A8F" w:rsidP="002E6A8F">
            <w:pPr>
              <w:pStyle w:val="CasesLegislationAppealFrom"/>
              <w:spacing w:after="60"/>
            </w:pPr>
            <w:r w:rsidRPr="00581A24">
              <w:rPr>
                <w:i/>
                <w:iCs/>
              </w:rPr>
              <w:t>Taxation Administration Act 1953</w:t>
            </w:r>
            <w:r w:rsidRPr="00581A24">
              <w:t xml:space="preserve"> (Cth)</w:t>
            </w:r>
            <w:r w:rsidR="00D97751">
              <w:t xml:space="preserve"> s</w:t>
            </w:r>
            <w:r w:rsidR="001D5E41">
              <w:t>s</w:t>
            </w:r>
            <w:r w:rsidR="00D97751">
              <w:t xml:space="preserve"> 14ZZ</w:t>
            </w:r>
            <w:r w:rsidR="001D5E41">
              <w:t>, 14ZZK(b)(</w:t>
            </w:r>
            <w:proofErr w:type="spellStart"/>
            <w:r w:rsidR="001D5E41">
              <w:t>i</w:t>
            </w:r>
            <w:proofErr w:type="spellEnd"/>
            <w:r w:rsidR="001D5E41">
              <w:t>)</w:t>
            </w:r>
            <w:r w:rsidR="001E6C20">
              <w:t>, Sch 1</w:t>
            </w:r>
            <w:r w:rsidR="005B19B2">
              <w:t>, ss</w:t>
            </w:r>
            <w:r w:rsidR="001E6C20">
              <w:t xml:space="preserve"> </w:t>
            </w:r>
            <w:r w:rsidR="001E6C20" w:rsidRPr="00E37BFE">
              <w:t>284-75</w:t>
            </w:r>
            <w:r w:rsidR="001E6C20">
              <w:t xml:space="preserve">, </w:t>
            </w:r>
            <w:r w:rsidR="001E6C20" w:rsidRPr="00E37BFE">
              <w:t>284-90(1)</w:t>
            </w:r>
          </w:p>
          <w:p w14:paraId="459E5B9B" w14:textId="77777777" w:rsidR="0068354C" w:rsidRDefault="0068354C" w:rsidP="002E6A8F">
            <w:pPr>
              <w:pStyle w:val="CasesLegislationAppealFrom"/>
              <w:spacing w:after="60"/>
            </w:pPr>
            <w:r w:rsidRPr="0021287D">
              <w:rPr>
                <w:i/>
                <w:iCs/>
              </w:rPr>
              <w:t xml:space="preserve">Income Tax Assessment Act 1936 </w:t>
            </w:r>
            <w:r w:rsidRPr="0021287D">
              <w:t>(Cth)</w:t>
            </w:r>
            <w:r>
              <w:t xml:space="preserve"> ss 166, 167</w:t>
            </w:r>
          </w:p>
          <w:p w14:paraId="46E0E9AD" w14:textId="12E798C9" w:rsidR="002B3DB6" w:rsidRPr="002E6A8F" w:rsidRDefault="002E6A8F" w:rsidP="002E6A8F">
            <w:pPr>
              <w:pStyle w:val="CasesLegislationAppealFrom"/>
              <w:spacing w:after="60"/>
            </w:pPr>
            <w:r w:rsidRPr="00581A24">
              <w:rPr>
                <w:i/>
                <w:iCs/>
              </w:rPr>
              <w:t xml:space="preserve">Income Tax Assessment Act 1997 </w:t>
            </w:r>
            <w:r w:rsidRPr="00581A24">
              <w:t>(Cth)</w:t>
            </w:r>
            <w:r w:rsidR="001D5E41">
              <w:t xml:space="preserve"> Div 7A</w:t>
            </w:r>
            <w:r w:rsidRPr="00581A24">
              <w:t>)</w:t>
            </w:r>
            <w:bookmarkEnd w:id="4"/>
          </w:p>
        </w:tc>
      </w:tr>
      <w:tr w:rsidR="00395B24" w14:paraId="6393B198" w14:textId="77777777" w:rsidTr="00DF5DEC">
        <w:tc>
          <w:tcPr>
            <w:tcW w:w="3083" w:type="dxa"/>
            <w:shd w:val="clear" w:color="auto" w:fill="auto"/>
          </w:tcPr>
          <w:p w14:paraId="43E0E93D" w14:textId="77777777" w:rsidR="00395B24" w:rsidRDefault="00395B24" w:rsidP="00663878">
            <w:pPr>
              <w:pStyle w:val="Normal1linespace"/>
              <w:widowControl w:val="0"/>
              <w:jc w:val="left"/>
            </w:pPr>
          </w:p>
        </w:tc>
        <w:tc>
          <w:tcPr>
            <w:tcW w:w="5989" w:type="dxa"/>
            <w:shd w:val="clear" w:color="auto" w:fill="auto"/>
          </w:tcPr>
          <w:p w14:paraId="26609DD5" w14:textId="77777777" w:rsidR="00395B24" w:rsidRDefault="00395B24" w:rsidP="00663878">
            <w:pPr>
              <w:pStyle w:val="Normal1linespace"/>
              <w:widowControl w:val="0"/>
              <w:jc w:val="left"/>
            </w:pPr>
          </w:p>
        </w:tc>
      </w:tr>
      <w:tr w:rsidR="00395B24" w14:paraId="6D74553C" w14:textId="77777777" w:rsidTr="00DF5DEC">
        <w:tc>
          <w:tcPr>
            <w:tcW w:w="3083" w:type="dxa"/>
            <w:shd w:val="clear" w:color="auto" w:fill="auto"/>
          </w:tcPr>
          <w:p w14:paraId="3410FD6B" w14:textId="77777777" w:rsidR="00395B24" w:rsidRDefault="002C7385" w:rsidP="00663878">
            <w:pPr>
              <w:pStyle w:val="Normal1linespace"/>
              <w:widowControl w:val="0"/>
              <w:jc w:val="left"/>
            </w:pPr>
            <w:r>
              <w:t>Cases cited:</w:t>
            </w:r>
          </w:p>
        </w:tc>
        <w:tc>
          <w:tcPr>
            <w:tcW w:w="5989" w:type="dxa"/>
            <w:shd w:val="clear" w:color="auto" w:fill="auto"/>
          </w:tcPr>
          <w:p w14:paraId="38252A79" w14:textId="77777777" w:rsidR="002E6A8F" w:rsidRPr="002E6A8F" w:rsidRDefault="002E6A8F" w:rsidP="002E6A8F">
            <w:pPr>
              <w:pStyle w:val="CasesLegislationAppealFrom"/>
              <w:spacing w:after="60"/>
            </w:pPr>
            <w:bookmarkStart w:id="5" w:name="Cases_Cited"/>
            <w:r w:rsidRPr="00581A24">
              <w:rPr>
                <w:i/>
              </w:rPr>
              <w:t>Bosanac v Federal Commissioner of Taxation</w:t>
            </w:r>
            <w:r w:rsidRPr="00581A24">
              <w:t xml:space="preserve"> [2019] HCA 41; 374 ALR 425</w:t>
            </w:r>
          </w:p>
          <w:p w14:paraId="04DB2393" w14:textId="77777777" w:rsidR="002E6A8F" w:rsidRPr="002E6A8F" w:rsidRDefault="002E6A8F" w:rsidP="002E6A8F">
            <w:pPr>
              <w:pStyle w:val="CasesLegislationAppealFrom"/>
              <w:spacing w:after="60"/>
            </w:pPr>
            <w:r w:rsidRPr="00581A24">
              <w:rPr>
                <w:i/>
              </w:rPr>
              <w:t xml:space="preserve">Buzadzic and Commissioner of Taxation (Taxation) </w:t>
            </w:r>
            <w:r w:rsidRPr="00581A24">
              <w:t>[2021] AATA 4820</w:t>
            </w:r>
            <w:r w:rsidRPr="002E6A8F" w:rsidDel="002E6A8F">
              <w:t xml:space="preserve">   </w:t>
            </w:r>
          </w:p>
          <w:p w14:paraId="65F07A0B" w14:textId="77777777" w:rsidR="002E6A8F" w:rsidRPr="002E6A8F" w:rsidRDefault="002E6A8F" w:rsidP="002E6A8F">
            <w:pPr>
              <w:pStyle w:val="CasesLegislationAppealFrom"/>
              <w:spacing w:after="60"/>
            </w:pPr>
            <w:r w:rsidRPr="00581A24">
              <w:rPr>
                <w:i/>
                <w:iCs/>
              </w:rPr>
              <w:t>Buzadzic v Commissioner of Taxation</w:t>
            </w:r>
            <w:r w:rsidRPr="00581A24">
              <w:t xml:space="preserve"> [2023] FCA 954</w:t>
            </w:r>
          </w:p>
          <w:p w14:paraId="5586E850" w14:textId="77777777" w:rsidR="002E6A8F" w:rsidRPr="002E6A8F" w:rsidRDefault="002E6A8F" w:rsidP="002E6A8F">
            <w:pPr>
              <w:pStyle w:val="CasesLegislationAppealFrom"/>
              <w:spacing w:after="60"/>
              <w:rPr>
                <w:szCs w:val="24"/>
                <w:lang w:eastAsia="en-AU"/>
              </w:rPr>
            </w:pPr>
            <w:r w:rsidRPr="00581A24">
              <w:rPr>
                <w:i/>
                <w:iCs/>
                <w:szCs w:val="24"/>
                <w:lang w:eastAsia="en-AU"/>
              </w:rPr>
              <w:t>Denver Chemical Manufacturing Co v Commissioner of Taxation (NSW)</w:t>
            </w:r>
            <w:r w:rsidRPr="00581A24">
              <w:rPr>
                <w:szCs w:val="24"/>
                <w:lang w:eastAsia="en-AU"/>
              </w:rPr>
              <w:t xml:space="preserve"> (1949) 79 CLR 296</w:t>
            </w:r>
          </w:p>
          <w:p w14:paraId="338B299E" w14:textId="77777777" w:rsidR="002E6A8F" w:rsidRPr="002E6A8F" w:rsidRDefault="002E6A8F" w:rsidP="002E6A8F">
            <w:pPr>
              <w:pStyle w:val="CasesLegislationAppealFrom"/>
              <w:spacing w:after="60"/>
            </w:pPr>
            <w:r w:rsidRPr="00581A24">
              <w:rPr>
                <w:i/>
              </w:rPr>
              <w:t>Federal Commissioner of Taxation v Cassaniti</w:t>
            </w:r>
            <w:r w:rsidRPr="00581A24">
              <w:t xml:space="preserve"> [2018] FCAFC 212; 266 FCR 385</w:t>
            </w:r>
          </w:p>
          <w:p w14:paraId="7CC86318" w14:textId="77777777" w:rsidR="002E6A8F" w:rsidRPr="002E6A8F" w:rsidRDefault="002E6A8F" w:rsidP="002E6A8F">
            <w:pPr>
              <w:pStyle w:val="CasesLegislationAppealFrom"/>
              <w:spacing w:after="60"/>
            </w:pPr>
            <w:r w:rsidRPr="00581A24">
              <w:rPr>
                <w:i/>
              </w:rPr>
              <w:t>Federal Commissioner of Taxation v Ross</w:t>
            </w:r>
            <w:r w:rsidRPr="00581A24">
              <w:t xml:space="preserve"> [2021] FCA 766; 174 ALD 77</w:t>
            </w:r>
          </w:p>
          <w:p w14:paraId="2E8E819C" w14:textId="77777777" w:rsidR="002E6A8F" w:rsidRPr="002E6A8F" w:rsidRDefault="002E6A8F" w:rsidP="002E6A8F">
            <w:pPr>
              <w:pStyle w:val="CasesLegislationAppealFrom"/>
              <w:spacing w:after="60"/>
            </w:pPr>
            <w:r w:rsidRPr="00581A24">
              <w:rPr>
                <w:i/>
              </w:rPr>
              <w:t>Gashi v Commissioner of Taxation</w:t>
            </w:r>
            <w:r w:rsidRPr="00581A24">
              <w:t xml:space="preserve"> [2013] FCAFC 30; 209 FCR 301</w:t>
            </w:r>
          </w:p>
          <w:p w14:paraId="2C0F1B1C" w14:textId="77777777" w:rsidR="002E6A8F" w:rsidRPr="002E6A8F" w:rsidRDefault="002E6A8F" w:rsidP="002E6A8F">
            <w:pPr>
              <w:pStyle w:val="CasesLegislationAppealFrom"/>
              <w:spacing w:after="60"/>
            </w:pPr>
            <w:r w:rsidRPr="00581A24">
              <w:rPr>
                <w:i/>
              </w:rPr>
              <w:t>Haritos v Federal Commissioner of Taxation</w:t>
            </w:r>
            <w:r w:rsidRPr="00581A24">
              <w:t xml:space="preserve"> [2015] FCAFC 92; 233 FCR 315</w:t>
            </w:r>
          </w:p>
          <w:p w14:paraId="5A8FC80E" w14:textId="77777777" w:rsidR="002E6A8F" w:rsidRPr="002E6A8F" w:rsidRDefault="002E6A8F" w:rsidP="002E6A8F">
            <w:pPr>
              <w:pStyle w:val="CasesLegislationAppealFrom"/>
              <w:spacing w:after="60"/>
            </w:pPr>
            <w:r w:rsidRPr="00581A24">
              <w:rPr>
                <w:i/>
                <w:iCs/>
                <w:szCs w:val="24"/>
                <w:lang w:eastAsia="en-AU"/>
              </w:rPr>
              <w:t xml:space="preserve">Minister for Immigration and Border Protection v MZYTS </w:t>
            </w:r>
            <w:r w:rsidRPr="00581A24">
              <w:rPr>
                <w:szCs w:val="24"/>
                <w:lang w:eastAsia="en-AU"/>
              </w:rPr>
              <w:lastRenderedPageBreak/>
              <w:t>[2013] FCAFC 114; 230 FCR 431</w:t>
            </w:r>
          </w:p>
          <w:p w14:paraId="58FA947B" w14:textId="77777777" w:rsidR="002E6A8F" w:rsidRPr="002E6A8F" w:rsidRDefault="002E6A8F" w:rsidP="002E6A8F">
            <w:pPr>
              <w:pStyle w:val="CasesLegislationAppealFrom"/>
              <w:spacing w:after="60"/>
            </w:pPr>
            <w:r w:rsidRPr="00581A24">
              <w:rPr>
                <w:i/>
              </w:rPr>
              <w:t xml:space="preserve">Minister for Immigration and Border Protection v </w:t>
            </w:r>
            <w:r w:rsidRPr="00581A24">
              <w:rPr>
                <w:b/>
                <w:bCs/>
                <w:i/>
              </w:rPr>
              <w:t>SZVFW</w:t>
            </w:r>
            <w:r w:rsidRPr="00581A24">
              <w:t xml:space="preserve"> [2018] HCA 30; 264 CLR 541</w:t>
            </w:r>
          </w:p>
          <w:p w14:paraId="201F12E5" w14:textId="77777777" w:rsidR="002E6A8F" w:rsidRPr="002E6A8F" w:rsidRDefault="002E6A8F" w:rsidP="002E6A8F">
            <w:pPr>
              <w:pStyle w:val="CasesLegislationAppealFrom"/>
              <w:spacing w:after="60"/>
            </w:pPr>
            <w:r w:rsidRPr="00581A24">
              <w:rPr>
                <w:i/>
              </w:rPr>
              <w:t>Minister for Immigration and Citizenship v Li</w:t>
            </w:r>
            <w:r w:rsidRPr="00581A24">
              <w:t xml:space="preserve"> [2013] HCA 18; 249 CLR 332</w:t>
            </w:r>
          </w:p>
          <w:p w14:paraId="6324975B" w14:textId="77777777" w:rsidR="002E6A8F" w:rsidRPr="002E6A8F" w:rsidRDefault="002E6A8F" w:rsidP="002E6A8F">
            <w:pPr>
              <w:pStyle w:val="CasesLegislationAppealFrom"/>
              <w:spacing w:after="60"/>
            </w:pPr>
            <w:r w:rsidRPr="00581A24">
              <w:rPr>
                <w:i/>
              </w:rPr>
              <w:t>Neat Holdings Pty Ltd v Karajan Holdings Pty Ltd</w:t>
            </w:r>
            <w:r w:rsidRPr="00581A24">
              <w:t xml:space="preserve"> [1992] HCA 66; 67 ALJR 170</w:t>
            </w:r>
          </w:p>
          <w:p w14:paraId="0AD6CC9D" w14:textId="23B1C37F" w:rsidR="002E6A8F" w:rsidRPr="002E6A8F" w:rsidRDefault="002E6A8F" w:rsidP="002E6A8F">
            <w:pPr>
              <w:pStyle w:val="CasesLegislationAppealFrom"/>
              <w:spacing w:after="60"/>
            </w:pPr>
            <w:r w:rsidRPr="00581A24">
              <w:rPr>
                <w:i/>
              </w:rPr>
              <w:t>Trautwein v Federal Commissioner of Taxation</w:t>
            </w:r>
            <w:r w:rsidRPr="00581A24">
              <w:t xml:space="preserve"> (1936) 56 CLR 63</w:t>
            </w:r>
            <w:bookmarkEnd w:id="5"/>
          </w:p>
        </w:tc>
      </w:tr>
      <w:tr w:rsidR="003C20FE" w14:paraId="5B3CB224" w14:textId="77777777" w:rsidTr="00DF5DEC">
        <w:tc>
          <w:tcPr>
            <w:tcW w:w="3083" w:type="dxa"/>
            <w:shd w:val="clear" w:color="auto" w:fill="auto"/>
          </w:tcPr>
          <w:p w14:paraId="6F51C5A7" w14:textId="77777777" w:rsidR="003C20FE" w:rsidRDefault="003C20FE" w:rsidP="002F7154">
            <w:pPr>
              <w:pStyle w:val="Normal1linespace"/>
              <w:widowControl w:val="0"/>
            </w:pPr>
          </w:p>
        </w:tc>
        <w:tc>
          <w:tcPr>
            <w:tcW w:w="5989" w:type="dxa"/>
            <w:shd w:val="clear" w:color="auto" w:fill="auto"/>
          </w:tcPr>
          <w:p w14:paraId="2F188896" w14:textId="77777777" w:rsidR="003C20FE" w:rsidRDefault="003C20FE" w:rsidP="002F7154">
            <w:pPr>
              <w:pStyle w:val="Normal1linespace"/>
              <w:widowControl w:val="0"/>
              <w:jc w:val="left"/>
            </w:pPr>
          </w:p>
        </w:tc>
      </w:tr>
      <w:tr w:rsidR="003C20FE" w14:paraId="0703B5B0" w14:textId="77777777" w:rsidTr="00DF5DEC">
        <w:tc>
          <w:tcPr>
            <w:tcW w:w="3083" w:type="dxa"/>
            <w:shd w:val="clear" w:color="auto" w:fill="auto"/>
          </w:tcPr>
          <w:p w14:paraId="428AEC24" w14:textId="77777777" w:rsidR="003C20FE" w:rsidRDefault="003C20FE" w:rsidP="00501A12">
            <w:pPr>
              <w:pStyle w:val="Normal1linespace"/>
              <w:widowControl w:val="0"/>
            </w:pPr>
            <w:r>
              <w:t>Division:</w:t>
            </w:r>
          </w:p>
        </w:tc>
        <w:tc>
          <w:tcPr>
            <w:tcW w:w="5989" w:type="dxa"/>
            <w:shd w:val="clear" w:color="auto" w:fill="auto"/>
          </w:tcPr>
          <w:p w14:paraId="6691EB7B" w14:textId="00F52939" w:rsidR="003C20FE" w:rsidRPr="00F17599" w:rsidRDefault="0043158D" w:rsidP="00501A12">
            <w:pPr>
              <w:pStyle w:val="Normal1linespace"/>
              <w:widowControl w:val="0"/>
              <w:jc w:val="left"/>
            </w:pPr>
            <w:fldSimple w:instr=" DOCPROPERTY  Division ">
              <w:r w:rsidR="00520D84">
                <w:t>General</w:t>
              </w:r>
              <w:r w:rsidR="003C20FE">
                <w:t xml:space="preserve"> Division</w:t>
              </w:r>
            </w:fldSimple>
          </w:p>
        </w:tc>
      </w:tr>
      <w:tr w:rsidR="003C20FE" w14:paraId="1EE9678B" w14:textId="77777777" w:rsidTr="00DF5DEC">
        <w:tc>
          <w:tcPr>
            <w:tcW w:w="3083" w:type="dxa"/>
            <w:shd w:val="clear" w:color="auto" w:fill="auto"/>
          </w:tcPr>
          <w:p w14:paraId="345DD8E9" w14:textId="77777777" w:rsidR="003C20FE" w:rsidRDefault="003C20FE" w:rsidP="00501A12">
            <w:pPr>
              <w:pStyle w:val="Normal1linespace"/>
              <w:widowControl w:val="0"/>
            </w:pPr>
            <w:bookmarkStart w:id="6" w:name="Registry_rows" w:colFirst="0" w:colLast="1"/>
          </w:p>
        </w:tc>
        <w:tc>
          <w:tcPr>
            <w:tcW w:w="5989" w:type="dxa"/>
            <w:shd w:val="clear" w:color="auto" w:fill="auto"/>
          </w:tcPr>
          <w:p w14:paraId="0F57306C" w14:textId="77777777" w:rsidR="003C20FE" w:rsidRDefault="003C20FE" w:rsidP="00501A12">
            <w:pPr>
              <w:pStyle w:val="Normal1linespace"/>
              <w:widowControl w:val="0"/>
              <w:jc w:val="left"/>
            </w:pPr>
          </w:p>
        </w:tc>
      </w:tr>
      <w:tr w:rsidR="003C20FE" w14:paraId="023B219A" w14:textId="77777777" w:rsidTr="00DF5DEC">
        <w:tc>
          <w:tcPr>
            <w:tcW w:w="3083" w:type="dxa"/>
            <w:shd w:val="clear" w:color="auto" w:fill="auto"/>
          </w:tcPr>
          <w:p w14:paraId="7B35FDD5" w14:textId="77777777" w:rsidR="003C20FE" w:rsidRDefault="003C20FE" w:rsidP="00501A12">
            <w:pPr>
              <w:pStyle w:val="Normal1linespace"/>
              <w:widowControl w:val="0"/>
            </w:pPr>
            <w:r>
              <w:t>Registry:</w:t>
            </w:r>
          </w:p>
        </w:tc>
        <w:tc>
          <w:tcPr>
            <w:tcW w:w="5989" w:type="dxa"/>
            <w:shd w:val="clear" w:color="auto" w:fill="auto"/>
          </w:tcPr>
          <w:p w14:paraId="6157D960" w14:textId="14A1D21F" w:rsidR="003C20FE" w:rsidRPr="00F17599" w:rsidRDefault="0043158D" w:rsidP="00501A12">
            <w:pPr>
              <w:pStyle w:val="Normal1linespace"/>
              <w:widowControl w:val="0"/>
              <w:jc w:val="left"/>
            </w:pPr>
            <w:fldSimple w:instr=" DOCPROPERTY  Registry ">
              <w:r w:rsidR="003C20FE">
                <w:t>Victoria</w:t>
              </w:r>
            </w:fldSimple>
          </w:p>
        </w:tc>
      </w:tr>
      <w:tr w:rsidR="003C20FE" w14:paraId="128AA7C9" w14:textId="77777777" w:rsidTr="00DF5DEC">
        <w:tc>
          <w:tcPr>
            <w:tcW w:w="3083" w:type="dxa"/>
            <w:shd w:val="clear" w:color="auto" w:fill="auto"/>
          </w:tcPr>
          <w:p w14:paraId="787F02EE" w14:textId="77777777" w:rsidR="003C20FE" w:rsidRDefault="003C20FE" w:rsidP="00501A12">
            <w:pPr>
              <w:pStyle w:val="Normal1linespace"/>
              <w:widowControl w:val="0"/>
            </w:pPr>
            <w:bookmarkStart w:id="7" w:name="NPARow" w:colFirst="0" w:colLast="1"/>
            <w:bookmarkEnd w:id="6"/>
          </w:p>
        </w:tc>
        <w:tc>
          <w:tcPr>
            <w:tcW w:w="5989" w:type="dxa"/>
            <w:shd w:val="clear" w:color="auto" w:fill="auto"/>
          </w:tcPr>
          <w:p w14:paraId="3BA05FDE" w14:textId="77777777" w:rsidR="003C20FE" w:rsidRPr="00F17599" w:rsidRDefault="003C20FE" w:rsidP="00501A12">
            <w:pPr>
              <w:pStyle w:val="Normal1linespace"/>
              <w:widowControl w:val="0"/>
              <w:jc w:val="left"/>
              <w:rPr>
                <w:b/>
              </w:rPr>
            </w:pPr>
          </w:p>
        </w:tc>
      </w:tr>
      <w:tr w:rsidR="003C20FE" w14:paraId="0C1D5C27" w14:textId="77777777" w:rsidTr="00DF5DEC">
        <w:tc>
          <w:tcPr>
            <w:tcW w:w="3083" w:type="dxa"/>
            <w:shd w:val="clear" w:color="auto" w:fill="auto"/>
          </w:tcPr>
          <w:p w14:paraId="6C537F37" w14:textId="77777777" w:rsidR="003C20FE" w:rsidRDefault="003C20FE" w:rsidP="00501A12">
            <w:pPr>
              <w:pStyle w:val="Normal1linespace"/>
              <w:widowControl w:val="0"/>
            </w:pPr>
            <w:r>
              <w:t>National Practice Area:</w:t>
            </w:r>
          </w:p>
        </w:tc>
        <w:tc>
          <w:tcPr>
            <w:tcW w:w="5989" w:type="dxa"/>
            <w:shd w:val="clear" w:color="auto" w:fill="auto"/>
          </w:tcPr>
          <w:p w14:paraId="5A445FD5" w14:textId="5F1661E1" w:rsidR="003C20FE" w:rsidRPr="00F17599" w:rsidRDefault="0043158D" w:rsidP="00171DBB">
            <w:pPr>
              <w:pStyle w:val="Normal1linespace"/>
              <w:widowControl w:val="0"/>
              <w:jc w:val="left"/>
              <w:rPr>
                <w:b/>
              </w:rPr>
            </w:pPr>
            <w:fldSimple w:instr=" DOCPROPERTY  &quot;Practice Area&quot;  \* MERGEFORMAT ">
              <w:r w:rsidR="003C20FE">
                <w:t>Taxation</w:t>
              </w:r>
            </w:fldSimple>
          </w:p>
        </w:tc>
      </w:tr>
      <w:tr w:rsidR="003C20FE" w14:paraId="069EBAA2" w14:textId="77777777" w:rsidTr="00DF5DEC">
        <w:tc>
          <w:tcPr>
            <w:tcW w:w="3083" w:type="dxa"/>
            <w:shd w:val="clear" w:color="auto" w:fill="auto"/>
          </w:tcPr>
          <w:p w14:paraId="5D64FB9D" w14:textId="77777777" w:rsidR="003C20FE" w:rsidRDefault="003C20FE" w:rsidP="00501A12">
            <w:pPr>
              <w:pStyle w:val="Normal1linespace"/>
              <w:widowControl w:val="0"/>
            </w:pPr>
            <w:bookmarkStart w:id="8" w:name="SubAreaRow" w:colFirst="0" w:colLast="1"/>
            <w:bookmarkEnd w:id="7"/>
          </w:p>
        </w:tc>
        <w:tc>
          <w:tcPr>
            <w:tcW w:w="5989" w:type="dxa"/>
            <w:shd w:val="clear" w:color="auto" w:fill="auto"/>
          </w:tcPr>
          <w:p w14:paraId="06159FC3" w14:textId="77777777" w:rsidR="003C20FE" w:rsidRDefault="003C20FE" w:rsidP="00171DBB">
            <w:pPr>
              <w:pStyle w:val="Normal1linespace"/>
              <w:widowControl w:val="0"/>
              <w:jc w:val="left"/>
            </w:pPr>
          </w:p>
        </w:tc>
      </w:tr>
      <w:bookmarkEnd w:id="8"/>
      <w:tr w:rsidR="003C20FE" w14:paraId="0907B8B2" w14:textId="77777777" w:rsidTr="00DF5DEC">
        <w:tc>
          <w:tcPr>
            <w:tcW w:w="3083" w:type="dxa"/>
            <w:shd w:val="clear" w:color="auto" w:fill="auto"/>
          </w:tcPr>
          <w:p w14:paraId="6B96C28D" w14:textId="77777777" w:rsidR="003C20FE" w:rsidRDefault="003C20FE" w:rsidP="00501A12">
            <w:pPr>
              <w:pStyle w:val="Normal1linespace"/>
              <w:widowControl w:val="0"/>
            </w:pPr>
            <w:r>
              <w:t>Number of paragraphs:</w:t>
            </w:r>
          </w:p>
        </w:tc>
        <w:tc>
          <w:tcPr>
            <w:tcW w:w="5989" w:type="dxa"/>
            <w:shd w:val="clear" w:color="auto" w:fill="auto"/>
          </w:tcPr>
          <w:p w14:paraId="11B28792" w14:textId="3BC4F9CB" w:rsidR="003C20FE" w:rsidRDefault="00DF5DEC" w:rsidP="00501A12">
            <w:pPr>
              <w:pStyle w:val="Normal1linespace"/>
              <w:widowControl w:val="0"/>
              <w:jc w:val="left"/>
            </w:pPr>
            <w:bookmarkStart w:id="9" w:name="PlaceCategoryParagraphs"/>
            <w:r>
              <w:t>58</w:t>
            </w:r>
            <w:bookmarkEnd w:id="9"/>
          </w:p>
        </w:tc>
      </w:tr>
      <w:tr w:rsidR="003C20FE" w14:paraId="75E7BD4E" w14:textId="77777777" w:rsidTr="00DF5DEC">
        <w:tc>
          <w:tcPr>
            <w:tcW w:w="3083" w:type="dxa"/>
            <w:shd w:val="clear" w:color="auto" w:fill="auto"/>
          </w:tcPr>
          <w:p w14:paraId="0845312D" w14:textId="77777777" w:rsidR="003C20FE" w:rsidRDefault="003C20FE" w:rsidP="003C20FE">
            <w:pPr>
              <w:pStyle w:val="Normal1linespace"/>
              <w:widowControl w:val="0"/>
              <w:jc w:val="left"/>
            </w:pPr>
          </w:p>
        </w:tc>
        <w:tc>
          <w:tcPr>
            <w:tcW w:w="5989" w:type="dxa"/>
            <w:shd w:val="clear" w:color="auto" w:fill="auto"/>
          </w:tcPr>
          <w:p w14:paraId="617C3AC7" w14:textId="77777777" w:rsidR="003C20FE" w:rsidRDefault="003C20FE" w:rsidP="003C20FE">
            <w:pPr>
              <w:pStyle w:val="Normal1linespace"/>
              <w:widowControl w:val="0"/>
              <w:jc w:val="left"/>
            </w:pPr>
          </w:p>
        </w:tc>
      </w:tr>
      <w:tr w:rsidR="003C20FE" w14:paraId="5F04A8DC" w14:textId="77777777" w:rsidTr="00DF5DEC">
        <w:tc>
          <w:tcPr>
            <w:tcW w:w="3083" w:type="dxa"/>
            <w:shd w:val="clear" w:color="auto" w:fill="auto"/>
          </w:tcPr>
          <w:p w14:paraId="1B591906" w14:textId="77777777" w:rsidR="003C20FE" w:rsidRDefault="003C20FE" w:rsidP="003C20FE">
            <w:pPr>
              <w:pStyle w:val="Normal1linespace"/>
              <w:widowControl w:val="0"/>
              <w:jc w:val="left"/>
            </w:pPr>
            <w:bookmarkStart w:id="10" w:name="CounselDate" w:colFirst="0" w:colLast="2"/>
            <w:r w:rsidRPr="006A24E3">
              <w:t>Date of hearing:</w:t>
            </w:r>
          </w:p>
        </w:tc>
        <w:tc>
          <w:tcPr>
            <w:tcW w:w="5989" w:type="dxa"/>
            <w:shd w:val="clear" w:color="auto" w:fill="auto"/>
          </w:tcPr>
          <w:p w14:paraId="4421C80E" w14:textId="50CB72CD" w:rsidR="003C20FE" w:rsidRDefault="003C20FE" w:rsidP="003C20FE">
            <w:pPr>
              <w:pStyle w:val="Normal1linespace"/>
              <w:widowControl w:val="0"/>
              <w:jc w:val="left"/>
            </w:pPr>
            <w:bookmarkStart w:id="11" w:name="HearingDate"/>
            <w:r>
              <w:t xml:space="preserve">27 February 2024 </w:t>
            </w:r>
            <w:bookmarkEnd w:id="11"/>
          </w:p>
        </w:tc>
      </w:tr>
      <w:tr w:rsidR="003C20FE" w14:paraId="7D16AFF1" w14:textId="77777777" w:rsidTr="00DF5DEC">
        <w:tc>
          <w:tcPr>
            <w:tcW w:w="3083" w:type="dxa"/>
            <w:shd w:val="clear" w:color="auto" w:fill="auto"/>
          </w:tcPr>
          <w:p w14:paraId="50CEEFB7" w14:textId="77777777" w:rsidR="003C20FE" w:rsidRDefault="003C20FE" w:rsidP="003C20FE">
            <w:pPr>
              <w:pStyle w:val="Normal1linespace"/>
              <w:widowControl w:val="0"/>
              <w:jc w:val="left"/>
            </w:pPr>
          </w:p>
        </w:tc>
        <w:tc>
          <w:tcPr>
            <w:tcW w:w="5989" w:type="dxa"/>
            <w:shd w:val="clear" w:color="auto" w:fill="auto"/>
          </w:tcPr>
          <w:p w14:paraId="2DCF199F" w14:textId="77777777" w:rsidR="003C20FE" w:rsidRDefault="003C20FE" w:rsidP="003C20FE">
            <w:pPr>
              <w:pStyle w:val="Normal1linespace"/>
              <w:widowControl w:val="0"/>
              <w:jc w:val="left"/>
            </w:pPr>
          </w:p>
        </w:tc>
      </w:tr>
      <w:tr w:rsidR="00DF5DEC" w14:paraId="711F4B2A" w14:textId="77777777" w:rsidTr="00DF5DEC">
        <w:tc>
          <w:tcPr>
            <w:tcW w:w="3083" w:type="dxa"/>
            <w:shd w:val="clear" w:color="auto" w:fill="auto"/>
          </w:tcPr>
          <w:p w14:paraId="68FB438D" w14:textId="2C3E299E" w:rsidR="00DF5DEC" w:rsidRDefault="00DF5DEC" w:rsidP="00DF5DEC">
            <w:pPr>
              <w:pStyle w:val="Normal1linespace"/>
              <w:widowControl w:val="0"/>
              <w:jc w:val="left"/>
            </w:pPr>
            <w:bookmarkStart w:id="12" w:name="Counsel" w:colFirst="0" w:colLast="2"/>
            <w:bookmarkEnd w:id="10"/>
            <w:r>
              <w:t>Counsel for the App</w:t>
            </w:r>
            <w:r w:rsidR="002A7047">
              <w:t>ell</w:t>
            </w:r>
            <w:r>
              <w:t>ant:</w:t>
            </w:r>
          </w:p>
        </w:tc>
        <w:tc>
          <w:tcPr>
            <w:tcW w:w="5989" w:type="dxa"/>
            <w:shd w:val="clear" w:color="auto" w:fill="auto"/>
          </w:tcPr>
          <w:p w14:paraId="0A5B7189" w14:textId="0966B02C" w:rsidR="00DF5DEC" w:rsidRDefault="00DF5DEC" w:rsidP="00DF5DEC">
            <w:pPr>
              <w:pStyle w:val="Normal1linespace"/>
              <w:widowControl w:val="0"/>
              <w:jc w:val="left"/>
            </w:pPr>
            <w:bookmarkStart w:id="13" w:name="AppCounsel"/>
            <w:bookmarkEnd w:id="13"/>
            <w:r>
              <w:t>Dr B.F. Orow</w:t>
            </w:r>
          </w:p>
        </w:tc>
      </w:tr>
      <w:tr w:rsidR="00DF5DEC" w14:paraId="7DF7516A" w14:textId="77777777" w:rsidTr="00DF5DEC">
        <w:tc>
          <w:tcPr>
            <w:tcW w:w="3083" w:type="dxa"/>
            <w:shd w:val="clear" w:color="auto" w:fill="auto"/>
          </w:tcPr>
          <w:p w14:paraId="40BC9C35" w14:textId="77777777" w:rsidR="00DF5DEC" w:rsidRDefault="00DF5DEC" w:rsidP="00DF5DEC">
            <w:pPr>
              <w:pStyle w:val="Normal1linespace"/>
              <w:widowControl w:val="0"/>
              <w:jc w:val="left"/>
            </w:pPr>
          </w:p>
        </w:tc>
        <w:tc>
          <w:tcPr>
            <w:tcW w:w="5989" w:type="dxa"/>
            <w:shd w:val="clear" w:color="auto" w:fill="auto"/>
          </w:tcPr>
          <w:p w14:paraId="1EC17020" w14:textId="77777777" w:rsidR="00DF5DEC" w:rsidRDefault="00DF5DEC" w:rsidP="00DF5DEC">
            <w:pPr>
              <w:pStyle w:val="Normal1linespace"/>
              <w:widowControl w:val="0"/>
              <w:jc w:val="left"/>
            </w:pPr>
          </w:p>
        </w:tc>
      </w:tr>
      <w:tr w:rsidR="00CC4743" w14:paraId="4AFF75AE" w14:textId="77777777" w:rsidTr="00DF5DEC">
        <w:tc>
          <w:tcPr>
            <w:tcW w:w="3083" w:type="dxa"/>
            <w:shd w:val="clear" w:color="auto" w:fill="auto"/>
          </w:tcPr>
          <w:p w14:paraId="7D1918A8" w14:textId="54267AFC" w:rsidR="00CC4743" w:rsidRDefault="00CC4743" w:rsidP="00CC4743">
            <w:pPr>
              <w:pStyle w:val="Normal1linespace"/>
              <w:widowControl w:val="0"/>
              <w:jc w:val="left"/>
            </w:pPr>
            <w:r>
              <w:t>Solicitor for the Appellant:</w:t>
            </w:r>
          </w:p>
        </w:tc>
        <w:tc>
          <w:tcPr>
            <w:tcW w:w="5989" w:type="dxa"/>
            <w:shd w:val="clear" w:color="auto" w:fill="auto"/>
          </w:tcPr>
          <w:p w14:paraId="46D3EB87" w14:textId="6348FD05" w:rsidR="00CC4743" w:rsidRDefault="00CC4743" w:rsidP="00CC4743">
            <w:pPr>
              <w:pStyle w:val="Normal1linespace"/>
              <w:widowControl w:val="0"/>
              <w:jc w:val="left"/>
            </w:pPr>
            <w:r>
              <w:t>MNG Lawyers</w:t>
            </w:r>
          </w:p>
        </w:tc>
      </w:tr>
      <w:tr w:rsidR="00CC4743" w14:paraId="21FB44CC" w14:textId="77777777" w:rsidTr="00DF5DEC">
        <w:tc>
          <w:tcPr>
            <w:tcW w:w="3083" w:type="dxa"/>
            <w:shd w:val="clear" w:color="auto" w:fill="auto"/>
          </w:tcPr>
          <w:p w14:paraId="26449AD2" w14:textId="77777777" w:rsidR="00CC4743" w:rsidRDefault="00CC4743" w:rsidP="00CC4743">
            <w:pPr>
              <w:pStyle w:val="Normal1linespace"/>
              <w:widowControl w:val="0"/>
              <w:jc w:val="left"/>
            </w:pPr>
          </w:p>
        </w:tc>
        <w:tc>
          <w:tcPr>
            <w:tcW w:w="5989" w:type="dxa"/>
            <w:shd w:val="clear" w:color="auto" w:fill="auto"/>
          </w:tcPr>
          <w:p w14:paraId="30F429FB" w14:textId="77777777" w:rsidR="00CC4743" w:rsidRDefault="00CC4743" w:rsidP="00CC4743">
            <w:pPr>
              <w:pStyle w:val="Normal1linespace"/>
              <w:widowControl w:val="0"/>
              <w:jc w:val="left"/>
            </w:pPr>
          </w:p>
        </w:tc>
      </w:tr>
      <w:tr w:rsidR="00DF5DEC" w14:paraId="26695B3A" w14:textId="77777777" w:rsidTr="00DF5DEC">
        <w:tc>
          <w:tcPr>
            <w:tcW w:w="3083" w:type="dxa"/>
            <w:shd w:val="clear" w:color="auto" w:fill="auto"/>
          </w:tcPr>
          <w:p w14:paraId="59C2F3F9" w14:textId="438143A1" w:rsidR="00DF5DEC" w:rsidRDefault="00DF5DEC" w:rsidP="00DF5DEC">
            <w:pPr>
              <w:pStyle w:val="Normal1linespace"/>
              <w:widowControl w:val="0"/>
              <w:jc w:val="left"/>
            </w:pPr>
            <w:r>
              <w:t>Counsel for the Respondent:</w:t>
            </w:r>
          </w:p>
        </w:tc>
        <w:tc>
          <w:tcPr>
            <w:tcW w:w="5989" w:type="dxa"/>
            <w:shd w:val="clear" w:color="auto" w:fill="auto"/>
          </w:tcPr>
          <w:p w14:paraId="271687ED" w14:textId="510C4171" w:rsidR="00DF5DEC" w:rsidRDefault="00DF5DEC" w:rsidP="00DF5DEC">
            <w:pPr>
              <w:pStyle w:val="Normal1linespace"/>
              <w:widowControl w:val="0"/>
              <w:jc w:val="left"/>
            </w:pPr>
            <w:r>
              <w:t>Ms M Schilling and Ms F Shand</w:t>
            </w:r>
          </w:p>
        </w:tc>
      </w:tr>
      <w:tr w:rsidR="00DF5DEC" w14:paraId="17E5879C" w14:textId="77777777" w:rsidTr="00DF5DEC">
        <w:tc>
          <w:tcPr>
            <w:tcW w:w="3083" w:type="dxa"/>
            <w:shd w:val="clear" w:color="auto" w:fill="auto"/>
          </w:tcPr>
          <w:p w14:paraId="47FE0741" w14:textId="77777777" w:rsidR="00DF5DEC" w:rsidRDefault="00DF5DEC" w:rsidP="00DF5DEC">
            <w:pPr>
              <w:pStyle w:val="Normal1linespace"/>
              <w:widowControl w:val="0"/>
              <w:jc w:val="left"/>
            </w:pPr>
          </w:p>
        </w:tc>
        <w:tc>
          <w:tcPr>
            <w:tcW w:w="5989" w:type="dxa"/>
            <w:shd w:val="clear" w:color="auto" w:fill="auto"/>
          </w:tcPr>
          <w:p w14:paraId="7769260C" w14:textId="77777777" w:rsidR="00DF5DEC" w:rsidRDefault="00DF5DEC" w:rsidP="00DF5DEC">
            <w:pPr>
              <w:pStyle w:val="Normal1linespace"/>
              <w:widowControl w:val="0"/>
              <w:jc w:val="left"/>
            </w:pPr>
          </w:p>
        </w:tc>
      </w:tr>
      <w:tr w:rsidR="00DF5DEC" w14:paraId="6D2910DE" w14:textId="77777777" w:rsidTr="00DF5DEC">
        <w:tc>
          <w:tcPr>
            <w:tcW w:w="3083" w:type="dxa"/>
            <w:shd w:val="clear" w:color="auto" w:fill="auto"/>
          </w:tcPr>
          <w:p w14:paraId="1BA4B086" w14:textId="5B78F59B" w:rsidR="00DF5DEC" w:rsidRDefault="00DF5DEC" w:rsidP="00DF5DEC">
            <w:pPr>
              <w:pStyle w:val="Normal1linespace"/>
              <w:widowControl w:val="0"/>
              <w:jc w:val="left"/>
            </w:pPr>
            <w:r>
              <w:t>Solicitor for the Respondent:</w:t>
            </w:r>
          </w:p>
        </w:tc>
        <w:tc>
          <w:tcPr>
            <w:tcW w:w="5989" w:type="dxa"/>
            <w:shd w:val="clear" w:color="auto" w:fill="auto"/>
          </w:tcPr>
          <w:p w14:paraId="1814B323" w14:textId="4A7316F2" w:rsidR="00DF5DEC" w:rsidRDefault="00DF5DEC" w:rsidP="00DF5DEC">
            <w:pPr>
              <w:pStyle w:val="Normal1linespace"/>
              <w:widowControl w:val="0"/>
              <w:jc w:val="left"/>
            </w:pPr>
            <w:r>
              <w:t xml:space="preserve">Australian </w:t>
            </w:r>
            <w:proofErr w:type="spellStart"/>
            <w:r>
              <w:t>Goverment</w:t>
            </w:r>
            <w:proofErr w:type="spellEnd"/>
            <w:r>
              <w:t xml:space="preserve"> Solicitor</w:t>
            </w:r>
          </w:p>
        </w:tc>
      </w:tr>
      <w:bookmarkEnd w:id="12"/>
    </w:tbl>
    <w:p w14:paraId="55630DDE" w14:textId="77777777" w:rsidR="007470BD" w:rsidRDefault="007470BD">
      <w:pPr>
        <w:pStyle w:val="Normal1linespace"/>
      </w:pPr>
    </w:p>
    <w:p w14:paraId="5417D2FE" w14:textId="77777777" w:rsidR="00E94CBF" w:rsidRDefault="00E94CBF">
      <w:pPr>
        <w:pStyle w:val="Normal1linespace"/>
      </w:pPr>
    </w:p>
    <w:p w14:paraId="31062FD8" w14:textId="77777777" w:rsidR="00395B24" w:rsidRDefault="00395B24">
      <w:pPr>
        <w:pStyle w:val="Normal1linespace"/>
        <w:sectPr w:rsidR="00395B24" w:rsidSect="00E7144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5566359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8509A2F" w14:textId="77777777" w:rsidTr="00E81DA6">
        <w:tc>
          <w:tcPr>
            <w:tcW w:w="6912" w:type="dxa"/>
            <w:gridSpan w:val="2"/>
          </w:tcPr>
          <w:p w14:paraId="4D224CE0" w14:textId="77777777" w:rsidR="00A46CCC" w:rsidRPr="001765E0" w:rsidRDefault="00A46CCC" w:rsidP="00525A49">
            <w:pPr>
              <w:pStyle w:val="NormalHeadings"/>
            </w:pPr>
          </w:p>
        </w:tc>
        <w:tc>
          <w:tcPr>
            <w:tcW w:w="2330" w:type="dxa"/>
          </w:tcPr>
          <w:p w14:paraId="75AC9157" w14:textId="63C26F67" w:rsidR="00A46CCC" w:rsidRDefault="003C20FE" w:rsidP="00F92355">
            <w:pPr>
              <w:pStyle w:val="NormalHeadings"/>
              <w:jc w:val="right"/>
            </w:pPr>
            <w:bookmarkStart w:id="14" w:name="FileNo"/>
            <w:r>
              <w:t>VID</w:t>
            </w:r>
            <w:r w:rsidR="002A7047">
              <w:t xml:space="preserve"> </w:t>
            </w:r>
            <w:r>
              <w:t>709</w:t>
            </w:r>
            <w:r w:rsidR="002A7047">
              <w:t xml:space="preserve"> of </w:t>
            </w:r>
            <w:r>
              <w:t>2023</w:t>
            </w:r>
            <w:bookmarkEnd w:id="14"/>
          </w:p>
        </w:tc>
      </w:tr>
      <w:tr w:rsidR="00A76C13" w14:paraId="468CC61D" w14:textId="77777777" w:rsidTr="00F461A4">
        <w:tc>
          <w:tcPr>
            <w:tcW w:w="9242" w:type="dxa"/>
            <w:gridSpan w:val="3"/>
          </w:tcPr>
          <w:p w14:paraId="4737E659" w14:textId="364F2295" w:rsidR="00A76C13" w:rsidRPr="00A76C13" w:rsidRDefault="003C20FE" w:rsidP="003C20FE">
            <w:pPr>
              <w:pStyle w:val="NormalHeadings"/>
              <w:jc w:val="left"/>
            </w:pPr>
            <w:bookmarkStart w:id="15" w:name="InTheMatterOf"/>
            <w:r>
              <w:t xml:space="preserve"> </w:t>
            </w:r>
            <w:bookmarkEnd w:id="15"/>
          </w:p>
        </w:tc>
      </w:tr>
      <w:tr w:rsidR="00A46CCC" w14:paraId="719007D2" w14:textId="77777777" w:rsidTr="005041F0">
        <w:trPr>
          <w:trHeight w:val="386"/>
        </w:trPr>
        <w:tc>
          <w:tcPr>
            <w:tcW w:w="2376" w:type="dxa"/>
          </w:tcPr>
          <w:p w14:paraId="219921F3" w14:textId="77777777" w:rsidR="00A46CCC" w:rsidRDefault="00A46CCC" w:rsidP="005041F0">
            <w:pPr>
              <w:pStyle w:val="NormalHeadings"/>
              <w:jc w:val="left"/>
              <w:rPr>
                <w:caps/>
                <w:szCs w:val="24"/>
              </w:rPr>
            </w:pPr>
            <w:bookmarkStart w:id="16" w:name="Parties"/>
            <w:r>
              <w:rPr>
                <w:caps/>
                <w:szCs w:val="24"/>
              </w:rPr>
              <w:t>BETWEEN:</w:t>
            </w:r>
          </w:p>
        </w:tc>
        <w:tc>
          <w:tcPr>
            <w:tcW w:w="6866" w:type="dxa"/>
            <w:gridSpan w:val="2"/>
          </w:tcPr>
          <w:p w14:paraId="1C1CDB34" w14:textId="77777777" w:rsidR="003C20FE" w:rsidRDefault="003C20FE" w:rsidP="003C20FE">
            <w:pPr>
              <w:pStyle w:val="NormalHeadings"/>
              <w:jc w:val="left"/>
            </w:pPr>
            <w:bookmarkStart w:id="17" w:name="Applicant"/>
            <w:r>
              <w:t>DANNY BUZADZIC</w:t>
            </w:r>
          </w:p>
          <w:p w14:paraId="415E2368" w14:textId="2288FEB1" w:rsidR="003C20FE" w:rsidRDefault="00D17F24" w:rsidP="003C20FE">
            <w:pPr>
              <w:pStyle w:val="PartyType"/>
            </w:pPr>
            <w:r>
              <w:t>Appellant</w:t>
            </w:r>
          </w:p>
          <w:bookmarkEnd w:id="17"/>
          <w:p w14:paraId="13D871BC" w14:textId="1A120BDF" w:rsidR="00A46CCC" w:rsidRPr="006555B4" w:rsidRDefault="00A46CCC" w:rsidP="005041F0">
            <w:pPr>
              <w:pStyle w:val="NormalHeadings"/>
              <w:jc w:val="left"/>
            </w:pPr>
          </w:p>
        </w:tc>
      </w:tr>
      <w:tr w:rsidR="00A46CCC" w14:paraId="019039BE" w14:textId="77777777" w:rsidTr="005041F0">
        <w:trPr>
          <w:trHeight w:val="386"/>
        </w:trPr>
        <w:tc>
          <w:tcPr>
            <w:tcW w:w="2376" w:type="dxa"/>
          </w:tcPr>
          <w:p w14:paraId="3D88EAEA" w14:textId="77777777" w:rsidR="00A46CCC" w:rsidRDefault="00A46CCC" w:rsidP="005041F0">
            <w:pPr>
              <w:pStyle w:val="NormalHeadings"/>
              <w:jc w:val="left"/>
              <w:rPr>
                <w:caps/>
                <w:szCs w:val="24"/>
              </w:rPr>
            </w:pPr>
            <w:r>
              <w:rPr>
                <w:caps/>
                <w:szCs w:val="24"/>
              </w:rPr>
              <w:t>AND:</w:t>
            </w:r>
          </w:p>
        </w:tc>
        <w:tc>
          <w:tcPr>
            <w:tcW w:w="6866" w:type="dxa"/>
            <w:gridSpan w:val="2"/>
          </w:tcPr>
          <w:p w14:paraId="1D7CAA62" w14:textId="77777777" w:rsidR="003C20FE" w:rsidRDefault="003C20FE" w:rsidP="003C20FE">
            <w:pPr>
              <w:pStyle w:val="NormalHeadings"/>
              <w:jc w:val="left"/>
            </w:pPr>
            <w:bookmarkStart w:id="18" w:name="Respondent"/>
            <w:r>
              <w:t>COMMISSIONER OF TAXATION</w:t>
            </w:r>
          </w:p>
          <w:p w14:paraId="0DCA22E7" w14:textId="77777777" w:rsidR="003C20FE" w:rsidRDefault="003C20FE" w:rsidP="003C20FE">
            <w:pPr>
              <w:pStyle w:val="PartyType"/>
            </w:pPr>
            <w:r>
              <w:t>Respondent</w:t>
            </w:r>
          </w:p>
          <w:bookmarkEnd w:id="18"/>
          <w:p w14:paraId="11EE6473" w14:textId="52A1370F" w:rsidR="00A46CCC" w:rsidRPr="006555B4" w:rsidRDefault="00A46CCC" w:rsidP="005041F0">
            <w:pPr>
              <w:pStyle w:val="NormalHeadings"/>
              <w:jc w:val="left"/>
            </w:pPr>
          </w:p>
        </w:tc>
      </w:tr>
    </w:tbl>
    <w:p w14:paraId="1503D6B6" w14:textId="77777777" w:rsidR="00395B24" w:rsidRDefault="00395B24">
      <w:pPr>
        <w:pStyle w:val="NormalHeadings"/>
      </w:pPr>
      <w:bookmarkStart w:id="19" w:name="CrossClaimPosition"/>
      <w:bookmarkEnd w:id="19"/>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4AB8C216" w14:textId="77777777">
        <w:tc>
          <w:tcPr>
            <w:tcW w:w="2376" w:type="dxa"/>
          </w:tcPr>
          <w:p w14:paraId="4F50CFCC"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6A40959E" w14:textId="531FA69C" w:rsidR="00395B24" w:rsidRDefault="003C20FE">
            <w:pPr>
              <w:pStyle w:val="NormalHeadings"/>
              <w:jc w:val="left"/>
              <w:rPr>
                <w:caps/>
                <w:szCs w:val="24"/>
              </w:rPr>
            </w:pPr>
            <w:bookmarkStart w:id="21" w:name="Judge"/>
            <w:r>
              <w:rPr>
                <w:caps/>
                <w:szCs w:val="24"/>
              </w:rPr>
              <w:t>BROMWICH, ABRAHAM</w:t>
            </w:r>
            <w:r w:rsidR="00BE7B27">
              <w:rPr>
                <w:caps/>
                <w:szCs w:val="24"/>
              </w:rPr>
              <w:t xml:space="preserve"> AND</w:t>
            </w:r>
            <w:r>
              <w:rPr>
                <w:caps/>
                <w:szCs w:val="24"/>
              </w:rPr>
              <w:t xml:space="preserve"> MCEVOY JJ</w:t>
            </w:r>
            <w:bookmarkEnd w:id="21"/>
          </w:p>
        </w:tc>
      </w:tr>
      <w:tr w:rsidR="00395B24" w14:paraId="075742C0" w14:textId="77777777">
        <w:tc>
          <w:tcPr>
            <w:tcW w:w="2376" w:type="dxa"/>
          </w:tcPr>
          <w:p w14:paraId="2CFAB137" w14:textId="77777777" w:rsidR="00395B24" w:rsidRDefault="002C7385">
            <w:pPr>
              <w:pStyle w:val="NormalHeadings"/>
              <w:spacing w:after="120"/>
              <w:jc w:val="left"/>
              <w:rPr>
                <w:caps/>
                <w:szCs w:val="24"/>
              </w:rPr>
            </w:pPr>
            <w:r>
              <w:rPr>
                <w:caps/>
                <w:szCs w:val="24"/>
              </w:rPr>
              <w:t>DATE OF ORDER:</w:t>
            </w:r>
          </w:p>
        </w:tc>
        <w:tc>
          <w:tcPr>
            <w:tcW w:w="6866" w:type="dxa"/>
          </w:tcPr>
          <w:p w14:paraId="286D620D" w14:textId="4FF1254F" w:rsidR="00395B24" w:rsidRDefault="00633B83">
            <w:pPr>
              <w:pStyle w:val="NormalHeadings"/>
              <w:jc w:val="left"/>
              <w:rPr>
                <w:caps/>
                <w:szCs w:val="24"/>
              </w:rPr>
            </w:pPr>
            <w:bookmarkStart w:id="22" w:name="Judgment_Dated"/>
            <w:r w:rsidRPr="00633B83">
              <w:rPr>
                <w:caps/>
                <w:szCs w:val="24"/>
              </w:rPr>
              <w:t>17</w:t>
            </w:r>
            <w:bookmarkEnd w:id="22"/>
            <w:r w:rsidR="00382CA2">
              <w:rPr>
                <w:caps/>
                <w:szCs w:val="24"/>
              </w:rPr>
              <w:t xml:space="preserve"> </w:t>
            </w:r>
            <w:r w:rsidR="004C55C3">
              <w:rPr>
                <w:caps/>
                <w:szCs w:val="24"/>
              </w:rPr>
              <w:t>a</w:t>
            </w:r>
            <w:r w:rsidR="00AB2436">
              <w:rPr>
                <w:caps/>
                <w:szCs w:val="24"/>
              </w:rPr>
              <w:t>pril 2024</w:t>
            </w:r>
          </w:p>
        </w:tc>
      </w:tr>
    </w:tbl>
    <w:p w14:paraId="39A871CE" w14:textId="77777777" w:rsidR="00395B24" w:rsidRDefault="00395B24">
      <w:pPr>
        <w:pStyle w:val="NormalHeadings"/>
        <w:rPr>
          <w:b w:val="0"/>
        </w:rPr>
      </w:pPr>
    </w:p>
    <w:p w14:paraId="0E22AC34" w14:textId="77777777" w:rsidR="008D1617" w:rsidRDefault="008D1617">
      <w:pPr>
        <w:pStyle w:val="NormalHeadings"/>
        <w:rPr>
          <w:b w:val="0"/>
        </w:rPr>
      </w:pPr>
    </w:p>
    <w:p w14:paraId="6334FB7D" w14:textId="77777777" w:rsidR="00395B24" w:rsidRDefault="002C7385">
      <w:pPr>
        <w:pStyle w:val="NormalHeadings"/>
      </w:pPr>
      <w:r>
        <w:t>THE COURT ORDERS THAT:</w:t>
      </w:r>
    </w:p>
    <w:p w14:paraId="02A0D7E2" w14:textId="77777777" w:rsidR="007F60DF" w:rsidRDefault="007F60DF" w:rsidP="00243E5E">
      <w:pPr>
        <w:pStyle w:val="NormalHeadings"/>
      </w:pPr>
    </w:p>
    <w:p w14:paraId="3AD488C8" w14:textId="2467571E" w:rsidR="005B0C5A" w:rsidRDefault="005B0C5A" w:rsidP="001A6C52">
      <w:pPr>
        <w:pStyle w:val="Order1"/>
      </w:pPr>
      <w:r>
        <w:t xml:space="preserve">Leave to advance a further ground of appeal not run before the primary judge, asserting that the </w:t>
      </w:r>
      <w:r w:rsidR="00AB7576">
        <w:t xml:space="preserve">Administrative Appeals </w:t>
      </w:r>
      <w:r>
        <w:t>Tribunal failed to give reasons, be refused.</w:t>
      </w:r>
    </w:p>
    <w:p w14:paraId="6F86BB09" w14:textId="76191200" w:rsidR="001A6C52" w:rsidRDefault="00D17F24" w:rsidP="001A6C52">
      <w:pPr>
        <w:pStyle w:val="Order1"/>
      </w:pPr>
      <w:r>
        <w:t>The appeal be dismissed.</w:t>
      </w:r>
    </w:p>
    <w:p w14:paraId="7491C08C" w14:textId="4E0F1BAC" w:rsidR="00D17F24" w:rsidRDefault="00D17F24" w:rsidP="001A6C52">
      <w:pPr>
        <w:pStyle w:val="Order1"/>
      </w:pPr>
      <w:r>
        <w:t>The appellant pay the respondent’s costs as assessed or agreed.</w:t>
      </w:r>
    </w:p>
    <w:p w14:paraId="1EC2427B" w14:textId="77777777" w:rsidR="001A6C52" w:rsidRDefault="001A6C52" w:rsidP="001A6C52">
      <w:pPr>
        <w:pStyle w:val="BodyText"/>
      </w:pPr>
    </w:p>
    <w:p w14:paraId="1D7D3CFB" w14:textId="77777777" w:rsidR="00A431E6" w:rsidRDefault="00A431E6" w:rsidP="001A6C52">
      <w:pPr>
        <w:pStyle w:val="BodyText"/>
      </w:pPr>
    </w:p>
    <w:p w14:paraId="689929EB" w14:textId="4BC65C6A" w:rsidR="0050309C" w:rsidRDefault="003C20FE"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56EA1A2D" w14:textId="77777777" w:rsidR="00E23577" w:rsidRDefault="00E23577" w:rsidP="002B0E91">
      <w:pPr>
        <w:pStyle w:val="BodyText"/>
      </w:pPr>
    </w:p>
    <w:p w14:paraId="6DFB0936" w14:textId="77777777" w:rsidR="00395B24" w:rsidRDefault="00395B24">
      <w:pPr>
        <w:pStyle w:val="NormalHeadings"/>
        <w:spacing w:before="240" w:after="120"/>
        <w:rPr>
          <w:b w:val="0"/>
        </w:rPr>
        <w:sectPr w:rsidR="00395B24" w:rsidSect="00E7144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529D46CA"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76B19C0E" w14:textId="4EB46EA0" w:rsidR="00694BEB" w:rsidRDefault="005D1282" w:rsidP="005E0510">
      <w:pPr>
        <w:pStyle w:val="NormalHeadings"/>
        <w:spacing w:line="360" w:lineRule="auto"/>
        <w:jc w:val="left"/>
        <w:rPr>
          <w:sz w:val="26"/>
          <w:szCs w:val="26"/>
        </w:rPr>
      </w:pPr>
      <w:r>
        <w:rPr>
          <w:sz w:val="26"/>
          <w:szCs w:val="26"/>
        </w:rPr>
        <w:t>THE COURT:</w:t>
      </w:r>
    </w:p>
    <w:p w14:paraId="0B9DFBB0" w14:textId="2C93FFD1" w:rsidR="00DC4253" w:rsidRDefault="00111207" w:rsidP="00D81747">
      <w:pPr>
        <w:pStyle w:val="ParaNumbering"/>
      </w:pPr>
      <w:r>
        <w:t>The respondent</w:t>
      </w:r>
      <w:r w:rsidR="009B18B0">
        <w:t xml:space="preserve"> to this appeal</w:t>
      </w:r>
      <w:r>
        <w:t xml:space="preserve">, the Commissioner of Taxation, </w:t>
      </w:r>
      <w:r w:rsidR="0084152A">
        <w:t xml:space="preserve">made amended income tax assessments </w:t>
      </w:r>
      <w:r w:rsidR="0098640C">
        <w:t>in respect of t</w:t>
      </w:r>
      <w:r w:rsidR="008C5DBA">
        <w:t>he appellant, Mr Danny Bu</w:t>
      </w:r>
      <w:r w:rsidR="00561747">
        <w:t>z</w:t>
      </w:r>
      <w:r w:rsidR="008C5DBA">
        <w:t>adzic,</w:t>
      </w:r>
      <w:r w:rsidR="00A22504">
        <w:t xml:space="preserve"> and his wife, M</w:t>
      </w:r>
      <w:r w:rsidR="00920CE9">
        <w:t>r</w:t>
      </w:r>
      <w:r w:rsidR="00A22504">
        <w:t>s Leisa Bu</w:t>
      </w:r>
      <w:r w:rsidR="0011177A">
        <w:t>z</w:t>
      </w:r>
      <w:r w:rsidR="00A22504">
        <w:t xml:space="preserve">adzic, </w:t>
      </w:r>
      <w:r w:rsidR="00B200A3">
        <w:t xml:space="preserve">for the </w:t>
      </w:r>
      <w:r w:rsidR="00230442">
        <w:t xml:space="preserve">seven </w:t>
      </w:r>
      <w:r w:rsidR="0073308F">
        <w:t>financial</w:t>
      </w:r>
      <w:r w:rsidR="00B200A3">
        <w:t xml:space="preserve"> years ending 30 June 2007 </w:t>
      </w:r>
      <w:r w:rsidR="002F5622">
        <w:t xml:space="preserve">to </w:t>
      </w:r>
      <w:r w:rsidR="00230442">
        <w:t xml:space="preserve">30 June </w:t>
      </w:r>
      <w:r w:rsidR="002F5622">
        <w:t>2013.  T</w:t>
      </w:r>
      <w:r w:rsidR="00383A6A">
        <w:t>hose amended assessments</w:t>
      </w:r>
      <w:r w:rsidR="001D522D">
        <w:t xml:space="preserve">, </w:t>
      </w:r>
      <w:r w:rsidR="00543196">
        <w:t>accompanied by</w:t>
      </w:r>
      <w:r w:rsidR="00920B55">
        <w:t xml:space="preserve"> substantial penalties and shortfall interest charges (</w:t>
      </w:r>
      <w:r w:rsidR="00920B55" w:rsidRPr="001D522D">
        <w:rPr>
          <w:b/>
          <w:bCs/>
        </w:rPr>
        <w:t>SIC</w:t>
      </w:r>
      <w:r w:rsidR="00920B55">
        <w:t xml:space="preserve">), </w:t>
      </w:r>
      <w:r w:rsidR="00165737">
        <w:t xml:space="preserve">were made </w:t>
      </w:r>
      <w:r w:rsidR="00A76A86">
        <w:t xml:space="preserve">upon a default basis </w:t>
      </w:r>
      <w:r w:rsidR="00C248D6">
        <w:t xml:space="preserve">under </w:t>
      </w:r>
      <w:r w:rsidR="00C248D6" w:rsidRPr="002E6A8F">
        <w:t xml:space="preserve">s 167 of the </w:t>
      </w:r>
      <w:r w:rsidR="00C248D6" w:rsidRPr="002E6A8F">
        <w:rPr>
          <w:i/>
          <w:iCs/>
        </w:rPr>
        <w:t>Income Tax</w:t>
      </w:r>
      <w:r w:rsidR="006F1117" w:rsidRPr="002E6A8F">
        <w:rPr>
          <w:i/>
          <w:iCs/>
        </w:rPr>
        <w:t xml:space="preserve"> Assessment Act 1936 </w:t>
      </w:r>
      <w:r w:rsidR="006F1117" w:rsidRPr="002E6A8F">
        <w:t>(Cth)</w:t>
      </w:r>
      <w:r w:rsidR="006F1117">
        <w:t xml:space="preserve"> (</w:t>
      </w:r>
      <w:r w:rsidR="006F1117" w:rsidRPr="006F1117">
        <w:rPr>
          <w:b/>
          <w:bCs/>
        </w:rPr>
        <w:t>ITAA 19</w:t>
      </w:r>
      <w:r w:rsidR="008F0388">
        <w:rPr>
          <w:b/>
          <w:bCs/>
        </w:rPr>
        <w:t>3</w:t>
      </w:r>
      <w:r w:rsidR="006F1117" w:rsidRPr="006F1117">
        <w:rPr>
          <w:b/>
          <w:bCs/>
        </w:rPr>
        <w:t>6</w:t>
      </w:r>
      <w:r w:rsidR="006F1117">
        <w:t xml:space="preserve">), </w:t>
      </w:r>
      <w:r w:rsidR="00433746">
        <w:t xml:space="preserve">in turn </w:t>
      </w:r>
      <w:r w:rsidR="00A43F5F">
        <w:t xml:space="preserve">based </w:t>
      </w:r>
      <w:r w:rsidR="00383A6A">
        <w:t>upon a finding of fraud or evasion</w:t>
      </w:r>
      <w:r w:rsidR="00D5637D">
        <w:t xml:space="preserve">.  Mr and </w:t>
      </w:r>
      <w:r w:rsidR="00F371BA">
        <w:t>Mrs</w:t>
      </w:r>
      <w:r w:rsidR="00D5637D">
        <w:t xml:space="preserve"> Bu</w:t>
      </w:r>
      <w:r w:rsidR="0011177A">
        <w:t>z</w:t>
      </w:r>
      <w:r w:rsidR="00D5637D">
        <w:t xml:space="preserve">adzic </w:t>
      </w:r>
      <w:r w:rsidR="00C63CA2">
        <w:t>objected to those assessments.  The objections were disallowed</w:t>
      </w:r>
      <w:r w:rsidR="00E55E2C">
        <w:t xml:space="preserve"> by the Commissioner</w:t>
      </w:r>
      <w:r w:rsidR="00C63CA2">
        <w:t xml:space="preserve">.  </w:t>
      </w:r>
    </w:p>
    <w:p w14:paraId="4C8D7A5C" w14:textId="10CAD701" w:rsidR="0091451E" w:rsidRDefault="00F31FDE" w:rsidP="00D81747">
      <w:pPr>
        <w:pStyle w:val="ParaNumbering"/>
      </w:pPr>
      <w:r>
        <w:t>Mr and M</w:t>
      </w:r>
      <w:r w:rsidR="00F371BA">
        <w:t>r</w:t>
      </w:r>
      <w:r>
        <w:t>s Bu</w:t>
      </w:r>
      <w:r w:rsidR="0011177A">
        <w:t>z</w:t>
      </w:r>
      <w:r>
        <w:t xml:space="preserve">adzic </w:t>
      </w:r>
      <w:r w:rsidR="00E55E2C">
        <w:t xml:space="preserve">applied for a review of those objection decisions </w:t>
      </w:r>
      <w:r w:rsidR="00F128A5">
        <w:t>by</w:t>
      </w:r>
      <w:r w:rsidR="00E55E2C">
        <w:t xml:space="preserve"> </w:t>
      </w:r>
      <w:r w:rsidR="005C679A">
        <w:t xml:space="preserve">the Administrative Appeals Tribunal.  </w:t>
      </w:r>
      <w:r w:rsidR="003A5711">
        <w:t xml:space="preserve">The decision in respect of </w:t>
      </w:r>
      <w:r w:rsidR="00F371BA">
        <w:t>Mrs</w:t>
      </w:r>
      <w:r w:rsidR="00D10BDC">
        <w:t> </w:t>
      </w:r>
      <w:r w:rsidR="003A5711">
        <w:t>Bu</w:t>
      </w:r>
      <w:r w:rsidR="0011177A">
        <w:t>z</w:t>
      </w:r>
      <w:r w:rsidR="003A5711">
        <w:t>adzic was set aside by the Tribunal, but the decision in respect of Mr Bu</w:t>
      </w:r>
      <w:r w:rsidR="0011177A">
        <w:t>z</w:t>
      </w:r>
      <w:r w:rsidR="003A5711">
        <w:t>adzic</w:t>
      </w:r>
      <w:r w:rsidR="002F5622">
        <w:t xml:space="preserve"> </w:t>
      </w:r>
      <w:r w:rsidR="00093334">
        <w:t>was affirmed</w:t>
      </w:r>
      <w:r w:rsidR="006F1117">
        <w:t xml:space="preserve">: </w:t>
      </w:r>
      <w:r w:rsidR="0095759C" w:rsidRPr="002E6A8F">
        <w:rPr>
          <w:i/>
        </w:rPr>
        <w:t xml:space="preserve">Buzadzic and Commissioner of Taxation (Taxation) </w:t>
      </w:r>
      <w:r w:rsidR="0095759C" w:rsidRPr="002E6A8F">
        <w:t>[2021] AATA 4820</w:t>
      </w:r>
      <w:r w:rsidR="00093334">
        <w:t>.</w:t>
      </w:r>
      <w:r w:rsidR="00EC1336">
        <w:t xml:space="preserve">  The Tribunal’s reasons were detailed and comprehensive.</w:t>
      </w:r>
    </w:p>
    <w:p w14:paraId="0381505A" w14:textId="33F8315F" w:rsidR="00710DF6" w:rsidRDefault="00AE6092" w:rsidP="00D81747">
      <w:pPr>
        <w:pStyle w:val="ParaNumbering"/>
      </w:pPr>
      <w:r>
        <w:t>By an application</w:t>
      </w:r>
      <w:r w:rsidR="00C85878">
        <w:t xml:space="preserve"> </w:t>
      </w:r>
      <w:r w:rsidR="00E52997">
        <w:t xml:space="preserve">under </w:t>
      </w:r>
      <w:r w:rsidR="00E52997" w:rsidRPr="002E6A8F">
        <w:t xml:space="preserve">s 44(1) of the </w:t>
      </w:r>
      <w:r w:rsidR="00E52997" w:rsidRPr="002E6A8F">
        <w:rPr>
          <w:i/>
        </w:rPr>
        <w:t>Administrative Appeals Tribunal Act 1975</w:t>
      </w:r>
      <w:r w:rsidR="00E52997" w:rsidRPr="002E6A8F">
        <w:t xml:space="preserve"> (Cth)</w:t>
      </w:r>
      <w:r w:rsidR="00E52997" w:rsidRPr="00875B6B">
        <w:t xml:space="preserve"> (</w:t>
      </w:r>
      <w:r w:rsidR="00E52997" w:rsidRPr="00F31FDE">
        <w:rPr>
          <w:b/>
        </w:rPr>
        <w:t>AAT Act</w:t>
      </w:r>
      <w:r w:rsidR="00E52997" w:rsidRPr="00875B6B">
        <w:t>)</w:t>
      </w:r>
      <w:r w:rsidR="00412297">
        <w:t xml:space="preserve">, </w:t>
      </w:r>
      <w:r w:rsidRPr="006D2B69">
        <w:t>Mr Bu</w:t>
      </w:r>
      <w:r>
        <w:t>z</w:t>
      </w:r>
      <w:r w:rsidRPr="006D2B69">
        <w:t>adzic</w:t>
      </w:r>
      <w:r>
        <w:t xml:space="preserve"> appealed from the Tribunal’s decision</w:t>
      </w:r>
      <w:r w:rsidR="00511E20">
        <w:t>,</w:t>
      </w:r>
      <w:r>
        <w:t xml:space="preserve"> </w:t>
      </w:r>
      <w:r w:rsidR="001256A5">
        <w:t xml:space="preserve">that appeal being </w:t>
      </w:r>
      <w:r w:rsidR="00412297">
        <w:t>a proceeding confined to question</w:t>
      </w:r>
      <w:r w:rsidR="00987AF3">
        <w:t>s</w:t>
      </w:r>
      <w:r w:rsidR="00412297">
        <w:t xml:space="preserve"> of law</w:t>
      </w:r>
      <w:r w:rsidR="00E52997">
        <w:t xml:space="preserve">.  </w:t>
      </w:r>
      <w:r w:rsidR="002136B9">
        <w:t xml:space="preserve">That application was heard and dismissed by a judge of this Court: </w:t>
      </w:r>
      <w:r w:rsidR="00C60F85" w:rsidRPr="002E6A8F">
        <w:rPr>
          <w:i/>
          <w:iCs/>
        </w:rPr>
        <w:t>Buzadzic v Commissioner of Taxation</w:t>
      </w:r>
      <w:r w:rsidR="00C60F85" w:rsidRPr="002E6A8F">
        <w:t xml:space="preserve"> [2023] FCA 954</w:t>
      </w:r>
      <w:r w:rsidR="00C60F85">
        <w:t xml:space="preserve">.  </w:t>
      </w:r>
      <w:r w:rsidR="00274862">
        <w:t xml:space="preserve">His Honour’s reasons were </w:t>
      </w:r>
      <w:r w:rsidR="00433746">
        <w:t xml:space="preserve">detailed and </w:t>
      </w:r>
      <w:r w:rsidR="000E7CF8">
        <w:t>clear</w:t>
      </w:r>
      <w:r w:rsidR="00131041">
        <w:t>,</w:t>
      </w:r>
      <w:r w:rsidR="00D65CD8">
        <w:t xml:space="preserve"> giving considerable latitude to the </w:t>
      </w:r>
      <w:r w:rsidR="00FB2A5B">
        <w:t xml:space="preserve">case advanced by </w:t>
      </w:r>
      <w:r w:rsidR="00FB2A5B" w:rsidRPr="006D2B69">
        <w:t>Mr Bu</w:t>
      </w:r>
      <w:r w:rsidR="00FB2A5B">
        <w:t>z</w:t>
      </w:r>
      <w:r w:rsidR="00FB2A5B" w:rsidRPr="006D2B69">
        <w:t>adzic</w:t>
      </w:r>
      <w:r w:rsidR="00FB2A5B">
        <w:t xml:space="preserve">, and </w:t>
      </w:r>
      <w:r w:rsidR="002A689D">
        <w:t xml:space="preserve">are </w:t>
      </w:r>
      <w:r w:rsidR="00D65CD8">
        <w:t>without any obvious or apparent error</w:t>
      </w:r>
      <w:r w:rsidR="00131041">
        <w:t>.</w:t>
      </w:r>
    </w:p>
    <w:p w14:paraId="6513E26E" w14:textId="2AEBEFC9" w:rsidR="00CF76CD" w:rsidRDefault="00B867F3" w:rsidP="00D81747">
      <w:pPr>
        <w:pStyle w:val="ParaNumbering"/>
      </w:pPr>
      <w:r>
        <w:t xml:space="preserve">By an amended notice of appeal, </w:t>
      </w:r>
      <w:r w:rsidR="007D071E" w:rsidRPr="006D2B69">
        <w:t>Mr Bu</w:t>
      </w:r>
      <w:r w:rsidR="0011177A">
        <w:t>z</w:t>
      </w:r>
      <w:r w:rsidR="007D071E" w:rsidRPr="006D2B69">
        <w:t>adzic</w:t>
      </w:r>
      <w:r w:rsidR="007D071E">
        <w:t xml:space="preserve"> </w:t>
      </w:r>
      <w:r w:rsidR="00444033">
        <w:t>appeal</w:t>
      </w:r>
      <w:r w:rsidR="00662095">
        <w:t>s</w:t>
      </w:r>
      <w:r w:rsidR="00444033">
        <w:t xml:space="preserve"> </w:t>
      </w:r>
      <w:r w:rsidR="00710DF6">
        <w:t xml:space="preserve">the primary judge’s </w:t>
      </w:r>
      <w:r w:rsidR="00185F31">
        <w:t xml:space="preserve">orders dismissing </w:t>
      </w:r>
      <w:r w:rsidR="00F30327">
        <w:t xml:space="preserve">his originating </w:t>
      </w:r>
      <w:r w:rsidR="00185F31">
        <w:t xml:space="preserve">application.  </w:t>
      </w:r>
      <w:r w:rsidR="00CF76CD">
        <w:t xml:space="preserve">For the reasons that follow, </w:t>
      </w:r>
      <w:r w:rsidR="00710DF6">
        <w:t>the</w:t>
      </w:r>
      <w:r w:rsidR="00CF76CD">
        <w:t xml:space="preserve"> appeal must be dismissed</w:t>
      </w:r>
      <w:r w:rsidR="00BA12D3">
        <w:t xml:space="preserve"> with costs</w:t>
      </w:r>
      <w:r w:rsidR="00CF76CD">
        <w:t>.</w:t>
      </w:r>
    </w:p>
    <w:p w14:paraId="490052BD" w14:textId="2AFF7480" w:rsidR="00C70BDE" w:rsidRDefault="00C70BDE" w:rsidP="0077151D">
      <w:pPr>
        <w:pStyle w:val="Heading2"/>
      </w:pPr>
      <w:r>
        <w:t xml:space="preserve">The nature of the proceeding before the </w:t>
      </w:r>
      <w:r w:rsidR="009041C2">
        <w:t xml:space="preserve">Tribunal </w:t>
      </w:r>
      <w:r>
        <w:t xml:space="preserve"> </w:t>
      </w:r>
    </w:p>
    <w:p w14:paraId="195B0F91" w14:textId="7C4FC5B9" w:rsidR="00FB2A5B" w:rsidRDefault="008A59C1" w:rsidP="00C70BDE">
      <w:pPr>
        <w:pStyle w:val="ParaNumbering"/>
      </w:pPr>
      <w:r w:rsidRPr="002E6A8F">
        <w:t>Section 166 of the ITAA 1936</w:t>
      </w:r>
      <w:r>
        <w:t xml:space="preserve"> </w:t>
      </w:r>
      <w:r w:rsidR="00E81B36">
        <w:t>provides</w:t>
      </w:r>
      <w:r w:rsidR="00120B1A">
        <w:t xml:space="preserve"> that the Commissioner must ma</w:t>
      </w:r>
      <w:r w:rsidR="00EE6B95">
        <w:t>k</w:t>
      </w:r>
      <w:r w:rsidR="00120B1A">
        <w:t xml:space="preserve">e an assessment of </w:t>
      </w:r>
      <w:r w:rsidR="0012712F" w:rsidRPr="0012712F">
        <w:t>the taxpayer’s</w:t>
      </w:r>
      <w:r w:rsidR="0012712F">
        <w:t xml:space="preserve"> </w:t>
      </w:r>
      <w:r w:rsidR="00120B1A">
        <w:t xml:space="preserve">taxable income, tax payable on that taxable income and </w:t>
      </w:r>
      <w:r w:rsidR="00E81B36">
        <w:t>the total of any offset refunds</w:t>
      </w:r>
      <w:r w:rsidR="00B244D2">
        <w:t xml:space="preserve"> from income tax returns and any other information</w:t>
      </w:r>
      <w:r w:rsidR="001A5151">
        <w:t xml:space="preserve"> possessed, or from one or more of those sources.</w:t>
      </w:r>
      <w:r w:rsidR="008E19EE">
        <w:t xml:space="preserve">  </w:t>
      </w:r>
      <w:r w:rsidR="00EE6B95">
        <w:t xml:space="preserve">This is the standard way in which </w:t>
      </w:r>
      <w:r w:rsidR="002C2367">
        <w:t xml:space="preserve">income tax </w:t>
      </w:r>
      <w:r w:rsidR="00E45B36">
        <w:t xml:space="preserve">liability is </w:t>
      </w:r>
      <w:r w:rsidR="00426CE0">
        <w:t>determined and</w:t>
      </w:r>
      <w:r w:rsidR="002C2367">
        <w:t xml:space="preserve"> </w:t>
      </w:r>
      <w:r w:rsidR="000C24CB">
        <w:t xml:space="preserve">entails an assessment of the available evidence.  </w:t>
      </w:r>
    </w:p>
    <w:p w14:paraId="556842E7" w14:textId="3EF24D54" w:rsidR="004875AA" w:rsidRDefault="00326030" w:rsidP="00C70BDE">
      <w:pPr>
        <w:pStyle w:val="ParaNumbering"/>
      </w:pPr>
      <w:r>
        <w:t xml:space="preserve">In </w:t>
      </w:r>
      <w:r w:rsidR="00E1512E">
        <w:t>stipulated</w:t>
      </w:r>
      <w:r>
        <w:t xml:space="preserve"> circumstances, </w:t>
      </w:r>
      <w:r w:rsidR="008E19EE">
        <w:t xml:space="preserve">s 167 </w:t>
      </w:r>
      <w:r w:rsidR="002B1F57">
        <w:t xml:space="preserve">of the ITAA 1936 </w:t>
      </w:r>
      <w:r w:rsidR="008E19EE">
        <w:t xml:space="preserve">empowers the Commissioner </w:t>
      </w:r>
      <w:r w:rsidR="0060059E">
        <w:t xml:space="preserve">instead </w:t>
      </w:r>
      <w:r w:rsidR="008E19EE">
        <w:t xml:space="preserve">to make </w:t>
      </w:r>
      <w:r w:rsidR="006828E3">
        <w:t xml:space="preserve">default </w:t>
      </w:r>
      <w:r w:rsidR="008E19EE">
        <w:t>assessments</w:t>
      </w:r>
      <w:r w:rsidR="00E73B5F">
        <w:t xml:space="preserve">.  As relevant to this proceeding, </w:t>
      </w:r>
      <w:r w:rsidR="002742EE">
        <w:t xml:space="preserve">if </w:t>
      </w:r>
      <w:r w:rsidR="0050002F">
        <w:t>not satisfied</w:t>
      </w:r>
      <w:r w:rsidR="002742EE">
        <w:t xml:space="preserve"> </w:t>
      </w:r>
      <w:r w:rsidR="0050002F">
        <w:t xml:space="preserve">by a return that has </w:t>
      </w:r>
      <w:r w:rsidR="0050002F">
        <w:lastRenderedPageBreak/>
        <w:t>been furnished</w:t>
      </w:r>
      <w:r w:rsidR="00AE1BD9">
        <w:t>, the Commissioner may ma</w:t>
      </w:r>
      <w:r w:rsidR="00987418">
        <w:t>ke an assessment of the amount upon which, in his or her judg</w:t>
      </w:r>
      <w:r w:rsidR="00285BF4">
        <w:t>e</w:t>
      </w:r>
      <w:r w:rsidR="00987418">
        <w:t xml:space="preserve">ment, </w:t>
      </w:r>
      <w:r w:rsidR="009C0967">
        <w:t xml:space="preserve">income tax ought to be levied, and that amount shall be the </w:t>
      </w:r>
      <w:r w:rsidR="00C165C4">
        <w:t xml:space="preserve">taxpayer’s </w:t>
      </w:r>
      <w:r w:rsidR="009C0967">
        <w:t xml:space="preserve">taxable income for the purposes of </w:t>
      </w:r>
      <w:r w:rsidR="009C0967" w:rsidRPr="002E6A8F">
        <w:t>s 166.</w:t>
      </w:r>
      <w:r w:rsidR="0050002F" w:rsidRPr="002E6A8F">
        <w:t xml:space="preserve"> </w:t>
      </w:r>
      <w:r w:rsidR="0050002F">
        <w:t xml:space="preserve"> </w:t>
      </w:r>
    </w:p>
    <w:p w14:paraId="64B03B40" w14:textId="2C4C0445" w:rsidR="00A65B34" w:rsidRDefault="00B0461E" w:rsidP="00AB1BC8">
      <w:pPr>
        <w:pStyle w:val="ParaNumbering"/>
      </w:pPr>
      <w:r w:rsidRPr="00751EE4">
        <w:t>Mr Buzadzic</w:t>
      </w:r>
      <w:r>
        <w:t xml:space="preserve"> had </w:t>
      </w:r>
      <w:r w:rsidR="00E50502">
        <w:t xml:space="preserve">a right to object to an assessment under </w:t>
      </w:r>
      <w:r w:rsidR="00E50502" w:rsidRPr="002E6A8F">
        <w:t xml:space="preserve">Pt IVC of the </w:t>
      </w:r>
      <w:r w:rsidR="008A6169" w:rsidRPr="002E6A8F">
        <w:rPr>
          <w:i/>
          <w:iCs/>
        </w:rPr>
        <w:t>Taxation Administration Act 1953</w:t>
      </w:r>
      <w:r w:rsidR="008A6169" w:rsidRPr="002E6A8F">
        <w:t xml:space="preserve"> (Cth)</w:t>
      </w:r>
      <w:r w:rsidR="008A6169">
        <w:t xml:space="preserve"> (</w:t>
      </w:r>
      <w:r w:rsidR="00DC565E" w:rsidRPr="00D41E33">
        <w:rPr>
          <w:b/>
          <w:bCs/>
        </w:rPr>
        <w:t>Ad</w:t>
      </w:r>
      <w:r w:rsidR="00D41E33" w:rsidRPr="00D41E33">
        <w:rPr>
          <w:b/>
          <w:bCs/>
        </w:rPr>
        <w:t>ministration Act</w:t>
      </w:r>
      <w:r w:rsidR="00D41E33">
        <w:t xml:space="preserve"> or </w:t>
      </w:r>
      <w:r w:rsidR="008A6169" w:rsidRPr="008A6169">
        <w:rPr>
          <w:b/>
          <w:bCs/>
        </w:rPr>
        <w:t>TAA</w:t>
      </w:r>
      <w:r w:rsidR="008A6169">
        <w:t>)</w:t>
      </w:r>
      <w:r w:rsidR="007B520B">
        <w:t xml:space="preserve"> </w:t>
      </w:r>
      <w:r w:rsidR="008F7A03">
        <w:t xml:space="preserve">and, </w:t>
      </w:r>
      <w:r w:rsidR="004F29C4">
        <w:t>if</w:t>
      </w:r>
      <w:r w:rsidR="008F7A03">
        <w:t xml:space="preserve"> dissatisfied </w:t>
      </w:r>
      <w:r w:rsidR="00331873">
        <w:t xml:space="preserve">by </w:t>
      </w:r>
      <w:r w:rsidR="004F29C4">
        <w:t>an</w:t>
      </w:r>
      <w:r w:rsidR="008F7A03">
        <w:t xml:space="preserve"> adverse </w:t>
      </w:r>
      <w:r w:rsidR="003709F9">
        <w:t>objection decision</w:t>
      </w:r>
      <w:r w:rsidR="004F29C4" w:rsidRPr="004F29C4">
        <w:t xml:space="preserve"> </w:t>
      </w:r>
      <w:r w:rsidR="00331873">
        <w:t xml:space="preserve">by the </w:t>
      </w:r>
      <w:r w:rsidR="004F29C4">
        <w:t>Commissioner</w:t>
      </w:r>
      <w:r w:rsidR="003709F9">
        <w:t xml:space="preserve">, </w:t>
      </w:r>
      <w:r w:rsidR="00480C2A">
        <w:t xml:space="preserve">a </w:t>
      </w:r>
      <w:r w:rsidR="00B461A6">
        <w:t xml:space="preserve">right to </w:t>
      </w:r>
      <w:r w:rsidR="00480C2A">
        <w:t>apply to the Tribunal for a review of th</w:t>
      </w:r>
      <w:r w:rsidR="005D5EED">
        <w:t>at</w:t>
      </w:r>
      <w:r w:rsidR="00480C2A">
        <w:t xml:space="preserve"> decision</w:t>
      </w:r>
      <w:r w:rsidR="00B461A6">
        <w:t xml:space="preserve"> under</w:t>
      </w:r>
      <w:r w:rsidR="00471289">
        <w:t xml:space="preserve"> </w:t>
      </w:r>
      <w:r w:rsidR="00471289" w:rsidRPr="002E6A8F">
        <w:t>s 14ZZ</w:t>
      </w:r>
      <w:r w:rsidR="00C70A38">
        <w:t xml:space="preserve"> of that Act</w:t>
      </w:r>
      <w:r w:rsidR="00471289">
        <w:t xml:space="preserve">.  </w:t>
      </w:r>
      <w:r w:rsidR="00B461A6">
        <w:t xml:space="preserve">He exercised both rights.  </w:t>
      </w:r>
      <w:r w:rsidR="00AA6649">
        <w:t>O</w:t>
      </w:r>
      <w:r w:rsidR="000E15B7">
        <w:t xml:space="preserve">n the review </w:t>
      </w:r>
      <w:r w:rsidR="00C70A38">
        <w:t>before the Tribunal</w:t>
      </w:r>
      <w:r w:rsidR="009D47F5">
        <w:t>,</w:t>
      </w:r>
      <w:r w:rsidR="00C70A38">
        <w:t xml:space="preserve"> </w:t>
      </w:r>
      <w:r w:rsidR="00697918">
        <w:t>he was limited to the grounds in his objection</w:t>
      </w:r>
      <w:r w:rsidR="00896455">
        <w:t xml:space="preserve"> and had the burden of proving</w:t>
      </w:r>
      <w:r w:rsidR="00432C18">
        <w:t>, to the civil standard</w:t>
      </w:r>
      <w:r w:rsidR="009763E6">
        <w:t xml:space="preserve"> of the balance of probabilities,</w:t>
      </w:r>
      <w:r w:rsidR="00896455">
        <w:t xml:space="preserve"> that the assessment was excessive and what the assessment should have been</w:t>
      </w:r>
      <w:r w:rsidR="009763E6">
        <w:t xml:space="preserve">: </w:t>
      </w:r>
      <w:r w:rsidR="000F3C51">
        <w:t xml:space="preserve">see </w:t>
      </w:r>
      <w:r w:rsidR="00AF5D2A" w:rsidRPr="002E6A8F">
        <w:t>s 14ZZK(b)(</w:t>
      </w:r>
      <w:proofErr w:type="spellStart"/>
      <w:r w:rsidR="00AF5D2A" w:rsidRPr="002E6A8F">
        <w:t>i</w:t>
      </w:r>
      <w:proofErr w:type="spellEnd"/>
      <w:r w:rsidR="00AF5D2A" w:rsidRPr="002E6A8F">
        <w:t xml:space="preserve">) </w:t>
      </w:r>
      <w:r w:rsidR="00D22D80" w:rsidRPr="002E6A8F">
        <w:t xml:space="preserve">prior to </w:t>
      </w:r>
      <w:r w:rsidR="002B3DB6">
        <w:t>amendment by</w:t>
      </w:r>
      <w:r w:rsidR="002B3DB6" w:rsidRPr="002B3DB6">
        <w:t xml:space="preserve"> </w:t>
      </w:r>
      <w:r w:rsidR="002B3DB6">
        <w:t xml:space="preserve">the </w:t>
      </w:r>
      <w:r w:rsidR="002B3DB6" w:rsidRPr="00495089">
        <w:rPr>
          <w:i/>
          <w:iCs/>
        </w:rPr>
        <w:t>Australian Charities and Not‑for‑profits Commission (Consequential and Transitional) Act 2012</w:t>
      </w:r>
      <w:r w:rsidR="002B3DB6">
        <w:t xml:space="preserve"> (</w:t>
      </w:r>
      <w:proofErr w:type="spellStart"/>
      <w:r w:rsidR="002B3DB6">
        <w:t>Cth</w:t>
      </w:r>
      <w:proofErr w:type="spellEnd"/>
      <w:r w:rsidR="002B3DB6">
        <w:t>)</w:t>
      </w:r>
      <w:r w:rsidR="00D22D80">
        <w:t xml:space="preserve">; see also </w:t>
      </w:r>
      <w:r w:rsidR="009763E6" w:rsidRPr="002E6A8F">
        <w:rPr>
          <w:i/>
        </w:rPr>
        <w:t>Gashi v Commissioner of Taxation</w:t>
      </w:r>
      <w:r w:rsidR="009763E6" w:rsidRPr="002E6A8F">
        <w:t xml:space="preserve"> [2013] F</w:t>
      </w:r>
      <w:r w:rsidR="00706E66" w:rsidRPr="002E6A8F">
        <w:t xml:space="preserve">CAFC </w:t>
      </w:r>
      <w:r w:rsidR="00361B50" w:rsidRPr="002E6A8F">
        <w:t>30</w:t>
      </w:r>
      <w:r w:rsidR="00706E66" w:rsidRPr="002E6A8F">
        <w:t>;</w:t>
      </w:r>
      <w:r w:rsidR="009763E6" w:rsidRPr="002E6A8F">
        <w:t xml:space="preserve"> 209 FCR 301</w:t>
      </w:r>
      <w:r w:rsidR="009763E6">
        <w:t xml:space="preserve"> </w:t>
      </w:r>
      <w:r w:rsidR="00706E66">
        <w:t xml:space="preserve">at </w:t>
      </w:r>
      <w:r w:rsidR="009763E6">
        <w:t>[61]–[67]</w:t>
      </w:r>
      <w:r w:rsidR="00361B50">
        <w:t xml:space="preserve"> (Benne</w:t>
      </w:r>
      <w:r w:rsidR="006A0D34">
        <w:t>tt, Edmonds and Gordon JJ)</w:t>
      </w:r>
      <w:r w:rsidR="00706E66">
        <w:t>.</w:t>
      </w:r>
      <w:r w:rsidR="00B758C0">
        <w:t xml:space="preserve">  </w:t>
      </w:r>
    </w:p>
    <w:p w14:paraId="7837DD59" w14:textId="69460BE1" w:rsidR="009763E6" w:rsidRDefault="00ED7164" w:rsidP="00A74CF7">
      <w:pPr>
        <w:pStyle w:val="ParaNumbering"/>
        <w:tabs>
          <w:tab w:val="clear" w:pos="720"/>
        </w:tabs>
      </w:pPr>
      <w:r>
        <w:t>The reason why</w:t>
      </w:r>
      <w:r w:rsidR="004E29EF">
        <w:t xml:space="preserve">, to succeed in a </w:t>
      </w:r>
      <w:r w:rsidR="00760CBA">
        <w:t xml:space="preserve">review of an objection decision, </w:t>
      </w:r>
      <w:r w:rsidR="00AA6649">
        <w:t xml:space="preserve">a taxpayer </w:t>
      </w:r>
      <w:r w:rsidR="00EB5DAE">
        <w:t xml:space="preserve">has the dual onus </w:t>
      </w:r>
      <w:r w:rsidR="004A2030">
        <w:t xml:space="preserve">not just of showing </w:t>
      </w:r>
      <w:r w:rsidR="00705513" w:rsidRPr="009D47F5">
        <w:t xml:space="preserve">that the Commissioner’s assessment was excessive, but </w:t>
      </w:r>
      <w:r w:rsidR="00760CBA">
        <w:t xml:space="preserve">of </w:t>
      </w:r>
      <w:r w:rsidR="00705513" w:rsidRPr="009D47F5">
        <w:t>fill</w:t>
      </w:r>
      <w:r w:rsidR="00760CBA">
        <w:t>ing</w:t>
      </w:r>
      <w:r w:rsidR="00705513" w:rsidRPr="009D47F5">
        <w:t xml:space="preserve"> in the </w:t>
      </w:r>
      <w:r w:rsidR="00312667">
        <w:t>“</w:t>
      </w:r>
      <w:r w:rsidR="00705513" w:rsidRPr="00312667">
        <w:rPr>
          <w:i/>
          <w:iCs/>
        </w:rPr>
        <w:t>blank</w:t>
      </w:r>
      <w:r w:rsidR="009605BE">
        <w:t>”</w:t>
      </w:r>
      <w:r w:rsidR="00705513" w:rsidRPr="009D47F5">
        <w:t xml:space="preserve"> that </w:t>
      </w:r>
      <w:r w:rsidR="00705513">
        <w:t xml:space="preserve">demonstrating excessiveness </w:t>
      </w:r>
      <w:r w:rsidR="00705513" w:rsidRPr="009D47F5">
        <w:t xml:space="preserve">would create by showing what the assessment should have been, </w:t>
      </w:r>
      <w:r w:rsidR="004E29EF">
        <w:t xml:space="preserve">is that </w:t>
      </w:r>
      <w:r w:rsidR="00705513" w:rsidRPr="009D47F5">
        <w:t xml:space="preserve">the facts relating to </w:t>
      </w:r>
      <w:r w:rsidR="00211BC6">
        <w:t>the correct</w:t>
      </w:r>
      <w:r w:rsidR="00705513" w:rsidRPr="009D47F5">
        <w:t xml:space="preserve"> taxable income </w:t>
      </w:r>
      <w:r w:rsidR="002521ED">
        <w:t xml:space="preserve">are </w:t>
      </w:r>
      <w:r w:rsidR="00705513" w:rsidRPr="009D47F5">
        <w:t xml:space="preserve">peculiarly within </w:t>
      </w:r>
      <w:r w:rsidR="00A74CF7">
        <w:t>the taxpayer</w:t>
      </w:r>
      <w:r w:rsidR="00FE76F3">
        <w:t>’</w:t>
      </w:r>
      <w:r w:rsidR="00A74CF7">
        <w:t>s</w:t>
      </w:r>
      <w:r w:rsidR="00705513">
        <w:t xml:space="preserve"> </w:t>
      </w:r>
      <w:r w:rsidR="00705513" w:rsidRPr="009D47F5">
        <w:t>knowledge</w:t>
      </w:r>
      <w:r w:rsidR="00705513">
        <w:t xml:space="preserve">: </w:t>
      </w:r>
      <w:r w:rsidR="00705513" w:rsidRPr="002E6A8F">
        <w:rPr>
          <w:i/>
        </w:rPr>
        <w:t>Trautwein v Federal Commissioner of Taxation</w:t>
      </w:r>
      <w:r w:rsidR="00705513" w:rsidRPr="002E6A8F">
        <w:t xml:space="preserve"> (1936) 56 CLR 63</w:t>
      </w:r>
      <w:r w:rsidR="00705513">
        <w:t xml:space="preserve"> </w:t>
      </w:r>
      <w:r w:rsidR="00F1780A">
        <w:t>at</w:t>
      </w:r>
      <w:r w:rsidR="00495089">
        <w:t> </w:t>
      </w:r>
      <w:r w:rsidR="00F1780A">
        <w:t xml:space="preserve">87 </w:t>
      </w:r>
      <w:r w:rsidR="00705513">
        <w:t xml:space="preserve">per Latham CJ.  </w:t>
      </w:r>
      <w:r w:rsidR="008D62DF">
        <w:t xml:space="preserve">It is the second onus of proving what the seven assessments for </w:t>
      </w:r>
      <w:r w:rsidR="008D62DF" w:rsidRPr="00751EE4">
        <w:t>Mr Buzadzic</w:t>
      </w:r>
      <w:r w:rsidR="008D62DF">
        <w:t xml:space="preserve"> should have been that was at the heart of the case he brought before the primary judge and maintained on appeal.  </w:t>
      </w:r>
      <w:r w:rsidR="00AE2F63">
        <w:t xml:space="preserve">Contrary to an argument advanced </w:t>
      </w:r>
      <w:r w:rsidR="0003315F">
        <w:t xml:space="preserve">by </w:t>
      </w:r>
      <w:r w:rsidR="0003315F" w:rsidRPr="00751EE4">
        <w:t>Mr Buzadzic</w:t>
      </w:r>
      <w:r w:rsidR="0003315F">
        <w:t xml:space="preserve"> </w:t>
      </w:r>
      <w:r w:rsidR="00AE2F63">
        <w:t xml:space="preserve">in the course of the appeal, </w:t>
      </w:r>
      <w:r w:rsidR="007819F0">
        <w:t xml:space="preserve">which is </w:t>
      </w:r>
      <w:r w:rsidR="007A08EB">
        <w:t xml:space="preserve">addressed in more detail below, </w:t>
      </w:r>
      <w:r w:rsidR="00AE2F63">
        <w:t xml:space="preserve">there is no </w:t>
      </w:r>
      <w:r w:rsidR="002521ED">
        <w:t xml:space="preserve">basis </w:t>
      </w:r>
      <w:r w:rsidR="00AE2F63">
        <w:t xml:space="preserve">for inferring </w:t>
      </w:r>
      <w:r w:rsidR="005E48FE">
        <w:t xml:space="preserve">from </w:t>
      </w:r>
      <w:r w:rsidR="00AB07B9">
        <w:t xml:space="preserve">statutory </w:t>
      </w:r>
      <w:r w:rsidR="005E48FE">
        <w:t xml:space="preserve">record-keeping </w:t>
      </w:r>
      <w:r w:rsidR="00E04366">
        <w:t xml:space="preserve">and retention </w:t>
      </w:r>
      <w:r w:rsidR="005E48FE">
        <w:t>obligations</w:t>
      </w:r>
      <w:r w:rsidR="002521ED">
        <w:t>,</w:t>
      </w:r>
      <w:r w:rsidR="005E48FE">
        <w:t xml:space="preserve"> any lessening of the </w:t>
      </w:r>
      <w:r w:rsidR="0003315F">
        <w:t xml:space="preserve">quality of evidence required to discharge that </w:t>
      </w:r>
      <w:r w:rsidR="007A08EB">
        <w:t xml:space="preserve">dual </w:t>
      </w:r>
      <w:r w:rsidR="0003315F">
        <w:t>onus</w:t>
      </w:r>
      <w:r w:rsidR="00E04366">
        <w:t xml:space="preserve">, </w:t>
      </w:r>
      <w:r w:rsidR="00777421">
        <w:t>and especially the second onus</w:t>
      </w:r>
      <w:r w:rsidR="0043573C">
        <w:t xml:space="preserve"> as to what the assessment should have been</w:t>
      </w:r>
      <w:r w:rsidR="00777421">
        <w:t xml:space="preserve">, </w:t>
      </w:r>
      <w:r w:rsidR="00E04366">
        <w:t xml:space="preserve">even when the time for </w:t>
      </w:r>
      <w:r w:rsidR="00F54759">
        <w:t xml:space="preserve">compulsory </w:t>
      </w:r>
      <w:r w:rsidR="00E04366">
        <w:t xml:space="preserve">retention </w:t>
      </w:r>
      <w:r w:rsidR="00F54759">
        <w:t xml:space="preserve">of records </w:t>
      </w:r>
      <w:r w:rsidR="00E04366">
        <w:t>has passed</w:t>
      </w:r>
      <w:r w:rsidR="0003315F">
        <w:t>.</w:t>
      </w:r>
    </w:p>
    <w:p w14:paraId="5CB18B7A" w14:textId="675F857E" w:rsidR="00580BA3" w:rsidRDefault="00CD78E2" w:rsidP="00580BA3">
      <w:pPr>
        <w:pStyle w:val="Heading2"/>
      </w:pPr>
      <w:r>
        <w:t xml:space="preserve">The amended assessments </w:t>
      </w:r>
      <w:r w:rsidR="00F73F47">
        <w:t>and the Tribunal decision</w:t>
      </w:r>
    </w:p>
    <w:p w14:paraId="5B702E76" w14:textId="7FD7BFA3" w:rsidR="00580BA3" w:rsidRDefault="00A20BB7" w:rsidP="0021036B">
      <w:pPr>
        <w:pStyle w:val="ParaNumbering"/>
      </w:pPr>
      <w:r w:rsidRPr="00751EE4">
        <w:t>Mr Buzadzic</w:t>
      </w:r>
      <w:r>
        <w:t xml:space="preserve"> </w:t>
      </w:r>
      <w:r w:rsidR="002B773E">
        <w:t xml:space="preserve">operated a panel beating business and related </w:t>
      </w:r>
      <w:r w:rsidR="00616713">
        <w:t>businesses</w:t>
      </w:r>
      <w:r w:rsidR="000E1810">
        <w:t>,</w:t>
      </w:r>
      <w:r w:rsidR="00616713">
        <w:t xml:space="preserve"> including car towing and car rental businesses.  </w:t>
      </w:r>
      <w:r w:rsidR="00D711CC">
        <w:t xml:space="preserve">He and his wife were associated with </w:t>
      </w:r>
      <w:r w:rsidR="00215503">
        <w:t xml:space="preserve">a group of </w:t>
      </w:r>
      <w:r w:rsidR="00D711CC">
        <w:t>at least 16</w:t>
      </w:r>
      <w:r w:rsidR="00BD5EAB">
        <w:t> </w:t>
      </w:r>
      <w:r w:rsidR="00D711CC">
        <w:t>companies and three trusts.</w:t>
      </w:r>
      <w:r w:rsidR="000F4679">
        <w:t xml:space="preserve">  </w:t>
      </w:r>
      <w:r w:rsidR="00FB2A5B" w:rsidRPr="00751EE4">
        <w:t>Mr Buzadzic</w:t>
      </w:r>
      <w:r w:rsidR="00FB2A5B">
        <w:t xml:space="preserve"> </w:t>
      </w:r>
      <w:r w:rsidR="000F4679">
        <w:t>and his assistants directed all financial matters</w:t>
      </w:r>
      <w:r w:rsidR="00DA7CE7">
        <w:t xml:space="preserve"> concerning the group of entities</w:t>
      </w:r>
      <w:r w:rsidR="005313D9">
        <w:t>.  H</w:t>
      </w:r>
      <w:r w:rsidR="000F4679">
        <w:t xml:space="preserve">e controlled all bank accounts in his name </w:t>
      </w:r>
      <w:r w:rsidR="004E634D">
        <w:t>or his wife’s name</w:t>
      </w:r>
      <w:r w:rsidR="005C52D0">
        <w:t>.  He</w:t>
      </w:r>
      <w:r w:rsidR="004E634D">
        <w:t xml:space="preserve"> directed deposits to be made into those accounts and </w:t>
      </w:r>
      <w:r w:rsidR="00973868">
        <w:t xml:space="preserve">the funds to be transferred from those accounts to other </w:t>
      </w:r>
      <w:r w:rsidR="0055296A">
        <w:t>entities</w:t>
      </w:r>
      <w:r w:rsidR="00215503">
        <w:t xml:space="preserve"> </w:t>
      </w:r>
      <w:r w:rsidR="0055296A">
        <w:t>in the group.</w:t>
      </w:r>
    </w:p>
    <w:p w14:paraId="30739D9F" w14:textId="3CDD6B17" w:rsidR="00795F66" w:rsidRDefault="00AF3407" w:rsidP="00580BA3">
      <w:pPr>
        <w:pStyle w:val="ParaNumbering"/>
      </w:pPr>
      <w:r>
        <w:lastRenderedPageBreak/>
        <w:t xml:space="preserve">The Commissioner formed the view that there had been fraud and/or evasion </w:t>
      </w:r>
      <w:r w:rsidR="00DE07D0">
        <w:t xml:space="preserve">and </w:t>
      </w:r>
      <w:r w:rsidR="0032353B">
        <w:t xml:space="preserve">made the seven amended assessments </w:t>
      </w:r>
      <w:r w:rsidR="005F615B">
        <w:t>for</w:t>
      </w:r>
      <w:r w:rsidR="0032353B">
        <w:t xml:space="preserve"> </w:t>
      </w:r>
      <w:r w:rsidR="00DE07D0" w:rsidRPr="00751EE4">
        <w:t>Mr Buzadzic</w:t>
      </w:r>
      <w:r w:rsidR="00DE07D0">
        <w:t xml:space="preserve"> </w:t>
      </w:r>
      <w:r w:rsidR="006F67EC">
        <w:t xml:space="preserve">in relation to five categories of </w:t>
      </w:r>
      <w:r w:rsidR="0081165C">
        <w:t>transactions, being</w:t>
      </w:r>
      <w:r w:rsidR="00795F66">
        <w:t>:</w:t>
      </w:r>
    </w:p>
    <w:p w14:paraId="337414C2" w14:textId="0D6A86F5" w:rsidR="00795F66" w:rsidRDefault="0081165C" w:rsidP="00795F66">
      <w:pPr>
        <w:pStyle w:val="ListNo1alt"/>
      </w:pPr>
      <w:r>
        <w:t xml:space="preserve">unexplained deposits in excess of $1,000 into </w:t>
      </w:r>
      <w:r w:rsidR="00145219">
        <w:t xml:space="preserve">his </w:t>
      </w:r>
      <w:r>
        <w:t>bank accounts</w:t>
      </w:r>
      <w:r w:rsidR="00145219">
        <w:t xml:space="preserve"> or credit card accounts from group entities, </w:t>
      </w:r>
      <w:r w:rsidR="00472FA1">
        <w:t>third parties or unknown sources</w:t>
      </w:r>
      <w:r w:rsidR="00157C62">
        <w:t xml:space="preserve">, with a penalty imposed of </w:t>
      </w:r>
      <w:r w:rsidR="00612354">
        <w:t xml:space="preserve">75% </w:t>
      </w:r>
      <w:r w:rsidR="003F6E1D">
        <w:t xml:space="preserve">of the shortfall amount </w:t>
      </w:r>
      <w:r w:rsidR="00612354">
        <w:t>for intentional disregard</w:t>
      </w:r>
      <w:r w:rsidR="00A35433">
        <w:t xml:space="preserve"> of </w:t>
      </w:r>
      <w:r w:rsidR="007F077A">
        <w:t xml:space="preserve">a taxation </w:t>
      </w:r>
      <w:r w:rsidR="00A35433">
        <w:t>law</w:t>
      </w:r>
      <w:r w:rsidR="00472FA1">
        <w:t xml:space="preserve">; </w:t>
      </w:r>
    </w:p>
    <w:p w14:paraId="718825E7" w14:textId="7B45A99A" w:rsidR="008B7BC3" w:rsidRDefault="00472FA1" w:rsidP="00795F66">
      <w:pPr>
        <w:pStyle w:val="ListNo1alt"/>
      </w:pPr>
      <w:r>
        <w:t>un</w:t>
      </w:r>
      <w:r w:rsidR="00C70262">
        <w:t xml:space="preserve">explained or </w:t>
      </w:r>
      <w:r w:rsidR="005F615B">
        <w:t>un</w:t>
      </w:r>
      <w:r>
        <w:t>verified credit entries</w:t>
      </w:r>
      <w:r w:rsidR="005E4FD6">
        <w:t>, being credit entries to his loan accounts in excess of $1,000</w:t>
      </w:r>
      <w:r w:rsidR="00612354">
        <w:t xml:space="preserve">, with a penalty imposed of 75% </w:t>
      </w:r>
      <w:r w:rsidR="003F6E1D">
        <w:t xml:space="preserve">of the shortfall amount </w:t>
      </w:r>
      <w:r w:rsidR="00612354">
        <w:t>for intentional disregard</w:t>
      </w:r>
      <w:r w:rsidR="00A35433">
        <w:t xml:space="preserve"> of </w:t>
      </w:r>
      <w:r w:rsidR="007F077A">
        <w:t>a taxation</w:t>
      </w:r>
      <w:r w:rsidR="00A35433">
        <w:t xml:space="preserve"> law</w:t>
      </w:r>
      <w:r w:rsidR="00F166F2">
        <w:t xml:space="preserve">; </w:t>
      </w:r>
    </w:p>
    <w:p w14:paraId="07AE669E" w14:textId="69030BA4" w:rsidR="0093061A" w:rsidRDefault="00F166F2" w:rsidP="00A766A5">
      <w:pPr>
        <w:pStyle w:val="ListNo1alt"/>
      </w:pPr>
      <w:r>
        <w:t xml:space="preserve">interest paid on a term deposit in the </w:t>
      </w:r>
      <w:r w:rsidR="00614470">
        <w:t>2008 and 2009 financial year</w:t>
      </w:r>
      <w:r w:rsidR="00157C62">
        <w:t>s</w:t>
      </w:r>
      <w:r w:rsidR="00993269">
        <w:t xml:space="preserve">, with a penalty imposed of </w:t>
      </w:r>
      <w:r w:rsidR="0085613B">
        <w:t>2</w:t>
      </w:r>
      <w:r w:rsidR="00993269">
        <w:t xml:space="preserve">5% </w:t>
      </w:r>
      <w:r w:rsidR="003F6E1D">
        <w:t xml:space="preserve">of the shortfall amount </w:t>
      </w:r>
      <w:r w:rsidR="00993269">
        <w:t xml:space="preserve">for </w:t>
      </w:r>
      <w:r w:rsidR="0085613B">
        <w:t xml:space="preserve">failure </w:t>
      </w:r>
      <w:r w:rsidR="005B40D3">
        <w:t xml:space="preserve">to take </w:t>
      </w:r>
      <w:r w:rsidR="00DF2CF0">
        <w:t>reasonable care to comply with a taxation law</w:t>
      </w:r>
      <w:r w:rsidR="00AF7050">
        <w:t xml:space="preserve">; </w:t>
      </w:r>
    </w:p>
    <w:p w14:paraId="2876684C" w14:textId="27EAE257" w:rsidR="0093061A" w:rsidRDefault="00AF7050" w:rsidP="00A766A5">
      <w:pPr>
        <w:pStyle w:val="ListNo1alt"/>
      </w:pPr>
      <w:r>
        <w:t xml:space="preserve">a capital gain on a share </w:t>
      </w:r>
      <w:r w:rsidR="00523E6B">
        <w:t>investment in the 2010 financial year</w:t>
      </w:r>
      <w:r w:rsidR="00993269">
        <w:t xml:space="preserve">, with a penalty imposed of </w:t>
      </w:r>
      <w:r w:rsidR="008D78F3">
        <w:t>75</w:t>
      </w:r>
      <w:r w:rsidR="00993269">
        <w:t xml:space="preserve">% </w:t>
      </w:r>
      <w:r w:rsidR="003F6E1D">
        <w:t xml:space="preserve">of the shortfall amount </w:t>
      </w:r>
      <w:r w:rsidR="00993269">
        <w:t xml:space="preserve">for </w:t>
      </w:r>
      <w:r w:rsidR="00857678">
        <w:t>recklessness as to the operation of a taxation law</w:t>
      </w:r>
      <w:r w:rsidR="0004475F">
        <w:t>;</w:t>
      </w:r>
      <w:r w:rsidR="008F49BC">
        <w:t xml:space="preserve"> and </w:t>
      </w:r>
    </w:p>
    <w:p w14:paraId="3880D417" w14:textId="30B100CE" w:rsidR="009034C6" w:rsidRDefault="008F49BC" w:rsidP="00A766A5">
      <w:pPr>
        <w:pStyle w:val="ListNo1alt"/>
      </w:pPr>
      <w:r>
        <w:t>outstanding loan</w:t>
      </w:r>
      <w:r w:rsidR="00B5347B">
        <w:t>s</w:t>
      </w:r>
      <w:r>
        <w:t xml:space="preserve"> owed to other entities in the group</w:t>
      </w:r>
      <w:r w:rsidR="00A766A5" w:rsidRPr="00A766A5">
        <w:t xml:space="preserve"> </w:t>
      </w:r>
      <w:r w:rsidR="00A766A5">
        <w:t xml:space="preserve">giving rise to a deemed dividend under </w:t>
      </w:r>
      <w:r w:rsidR="00A766A5" w:rsidRPr="002E6A8F">
        <w:t xml:space="preserve">Div 7A of the </w:t>
      </w:r>
      <w:r w:rsidR="00A766A5" w:rsidRPr="002E6A8F">
        <w:rPr>
          <w:i/>
          <w:iCs/>
        </w:rPr>
        <w:t xml:space="preserve">Income Tax Assessment Act 1997 </w:t>
      </w:r>
      <w:r w:rsidR="00A766A5" w:rsidRPr="002E6A8F">
        <w:t>(Cth)</w:t>
      </w:r>
      <w:r w:rsidR="00A766A5">
        <w:t xml:space="preserve"> (</w:t>
      </w:r>
      <w:r w:rsidR="00A766A5" w:rsidRPr="006F1117">
        <w:rPr>
          <w:b/>
          <w:bCs/>
        </w:rPr>
        <w:t>ITAA 19</w:t>
      </w:r>
      <w:r w:rsidR="00A766A5">
        <w:rPr>
          <w:b/>
          <w:bCs/>
        </w:rPr>
        <w:t>97</w:t>
      </w:r>
      <w:r w:rsidR="00A766A5">
        <w:t>)</w:t>
      </w:r>
      <w:r w:rsidR="00342937">
        <w:t xml:space="preserve">, with a penalty imposed of 50% </w:t>
      </w:r>
      <w:r w:rsidR="003F6E1D">
        <w:t xml:space="preserve">of the shortfall amount </w:t>
      </w:r>
      <w:r w:rsidR="00342937">
        <w:t xml:space="preserve">for </w:t>
      </w:r>
      <w:r w:rsidR="00857678">
        <w:t>recklessness as to the operation of a taxation law</w:t>
      </w:r>
      <w:r w:rsidR="003A44E2">
        <w:t>.</w:t>
      </w:r>
    </w:p>
    <w:p w14:paraId="32C43FC5" w14:textId="6BBEB8CA" w:rsidR="0004475F" w:rsidRDefault="009034C6" w:rsidP="00EE389D">
      <w:pPr>
        <w:pStyle w:val="NoNum"/>
      </w:pPr>
      <w:r>
        <w:t xml:space="preserve">A 20% uplift </w:t>
      </w:r>
      <w:r w:rsidR="00296932">
        <w:t xml:space="preserve">of those penalties </w:t>
      </w:r>
      <w:r>
        <w:t xml:space="preserve">was </w:t>
      </w:r>
      <w:r w:rsidR="0010045B">
        <w:t xml:space="preserve">also </w:t>
      </w:r>
      <w:r>
        <w:t xml:space="preserve">applied for the </w:t>
      </w:r>
      <w:r w:rsidR="0010045B">
        <w:t xml:space="preserve">2008 to 2013 financial </w:t>
      </w:r>
      <w:r w:rsidR="0010045B" w:rsidRPr="009C1544">
        <w:t>years</w:t>
      </w:r>
      <w:r w:rsidR="00296932" w:rsidRPr="009C1544">
        <w:t xml:space="preserve"> because it had previously been applied in respect of the 2007 financial year</w:t>
      </w:r>
      <w:r w:rsidR="00EE389D">
        <w:t>.</w:t>
      </w:r>
    </w:p>
    <w:p w14:paraId="0F8C9C2E" w14:textId="3F42A6E8" w:rsidR="005313D9" w:rsidRDefault="005B3584" w:rsidP="00193CA9">
      <w:pPr>
        <w:pStyle w:val="ParaNumbering"/>
      </w:pPr>
      <w:r>
        <w:t xml:space="preserve">Before the Tribunal, </w:t>
      </w:r>
      <w:r w:rsidR="00AE0F8A">
        <w:t>t</w:t>
      </w:r>
      <w:r w:rsidR="00203284">
        <w:t xml:space="preserve">he Commissioner conceded </w:t>
      </w:r>
      <w:r w:rsidR="002C222C">
        <w:t xml:space="preserve">certain disputed </w:t>
      </w:r>
      <w:r w:rsidR="00DA31A0">
        <w:t>deposits and credit entries</w:t>
      </w:r>
      <w:r w:rsidR="002C222C">
        <w:t xml:space="preserve">, but maintained that the review application should be dismissed </w:t>
      </w:r>
      <w:r w:rsidR="007F5F98">
        <w:t xml:space="preserve">because </w:t>
      </w:r>
      <w:r w:rsidR="007F5F98" w:rsidRPr="00751EE4">
        <w:t>Mr Buzadzic</w:t>
      </w:r>
      <w:r w:rsidR="007F5F98">
        <w:t xml:space="preserve"> had failed to establish his taxable income</w:t>
      </w:r>
      <w:r w:rsidR="00465A73">
        <w:t>.</w:t>
      </w:r>
      <w:r w:rsidR="002D73C5">
        <w:t xml:space="preserve">  The Tribunal accepted the Commissioner’s submission</w:t>
      </w:r>
      <w:r w:rsidR="001A6515">
        <w:t xml:space="preserve">.  </w:t>
      </w:r>
    </w:p>
    <w:p w14:paraId="3C949580" w14:textId="0195775D" w:rsidR="00DA31A0" w:rsidRDefault="001A6515" w:rsidP="00193CA9">
      <w:pPr>
        <w:pStyle w:val="ParaNumbering"/>
      </w:pPr>
      <w:r>
        <w:t xml:space="preserve">The Tribunal </w:t>
      </w:r>
      <w:r w:rsidR="00DF0617">
        <w:t>referr</w:t>
      </w:r>
      <w:r>
        <w:t>ed</w:t>
      </w:r>
      <w:r w:rsidR="00DF0617">
        <w:t xml:space="preserve"> </w:t>
      </w:r>
      <w:r w:rsidR="00F85955">
        <w:t>to clear deficiencies in the records provided</w:t>
      </w:r>
      <w:r w:rsidR="005907C1">
        <w:t xml:space="preserve">.  The Tribunal </w:t>
      </w:r>
      <w:r w:rsidR="005C0B00">
        <w:t xml:space="preserve">found that, with the exception of a small number of instances, </w:t>
      </w:r>
      <w:r w:rsidR="005C0B00" w:rsidRPr="00751EE4">
        <w:t>Mr Buzadzic</w:t>
      </w:r>
      <w:r w:rsidR="005C0B00">
        <w:t xml:space="preserve"> had not </w:t>
      </w:r>
      <w:r w:rsidR="00F04995">
        <w:t xml:space="preserve">explained the provenance of the unexplained deposits and unverified credit </w:t>
      </w:r>
      <w:r w:rsidR="00ED0772">
        <w:t>entries</w:t>
      </w:r>
      <w:r w:rsidR="006775FE">
        <w:t xml:space="preserve"> and in particular that the amounts involved were not undeclared income</w:t>
      </w:r>
      <w:r w:rsidR="00C028DC">
        <w:t xml:space="preserve"> and </w:t>
      </w:r>
      <w:r w:rsidR="00174F84">
        <w:t xml:space="preserve">he </w:t>
      </w:r>
      <w:r w:rsidR="00C028DC">
        <w:t>had therefore not discharged his onus to establish his taxable income</w:t>
      </w:r>
      <w:r w:rsidR="00465A73">
        <w:t xml:space="preserve">.  </w:t>
      </w:r>
      <w:r w:rsidR="002F1CB6">
        <w:t xml:space="preserve">That is, </w:t>
      </w:r>
      <w:r w:rsidR="002F1CB6" w:rsidRPr="00751EE4">
        <w:t>Mr Buzadzic</w:t>
      </w:r>
      <w:r w:rsidR="002F1CB6">
        <w:t xml:space="preserve"> was found to have failed to discharge the second onus</w:t>
      </w:r>
      <w:r w:rsidR="000F1CCB">
        <w:t xml:space="preserve"> </w:t>
      </w:r>
      <w:r w:rsidR="000F1CCB" w:rsidRPr="00E26A6E">
        <w:t xml:space="preserve">to </w:t>
      </w:r>
      <w:r w:rsidR="000F1CCB" w:rsidRPr="00AF2AE4">
        <w:t>fill in the</w:t>
      </w:r>
      <w:r w:rsidR="000F1CCB" w:rsidRPr="00E26A6E">
        <w:rPr>
          <w:i/>
          <w:iCs/>
        </w:rPr>
        <w:t xml:space="preserve"> </w:t>
      </w:r>
      <w:r w:rsidR="00AF2AE4" w:rsidRPr="00E26A6E">
        <w:t>“</w:t>
      </w:r>
      <w:r w:rsidR="000F1CCB" w:rsidRPr="00E26A6E">
        <w:rPr>
          <w:i/>
          <w:iCs/>
        </w:rPr>
        <w:t>blank</w:t>
      </w:r>
      <w:r w:rsidR="000F1CCB" w:rsidRPr="00E26A6E">
        <w:t>”</w:t>
      </w:r>
      <w:r w:rsidR="00EA4D66" w:rsidRPr="00E26A6E">
        <w:t xml:space="preserve"> that would be left by </w:t>
      </w:r>
      <w:r w:rsidR="00AF2AE4">
        <w:t>making good</w:t>
      </w:r>
      <w:r w:rsidR="00F90B75">
        <w:t xml:space="preserve"> the</w:t>
      </w:r>
      <w:r w:rsidR="00EA4D66" w:rsidRPr="00E26A6E">
        <w:t xml:space="preserve"> assertion that the Commissioner’s assessment was excessive</w:t>
      </w:r>
      <w:r w:rsidR="00F90B75">
        <w:t xml:space="preserve"> to any degree</w:t>
      </w:r>
      <w:r w:rsidR="002F1CB6">
        <w:t>.</w:t>
      </w:r>
    </w:p>
    <w:p w14:paraId="2D33799C" w14:textId="4A93875D" w:rsidR="00FC5270" w:rsidRDefault="00EA1671" w:rsidP="00193CA9">
      <w:pPr>
        <w:pStyle w:val="ParaNumbering"/>
      </w:pPr>
      <w:r w:rsidRPr="004117BA">
        <w:lastRenderedPageBreak/>
        <w:t xml:space="preserve">The Tribunal </w:t>
      </w:r>
      <w:r w:rsidR="003E5F37" w:rsidRPr="004117BA">
        <w:t xml:space="preserve">also </w:t>
      </w:r>
      <w:r w:rsidR="00F51C5A" w:rsidRPr="004117BA">
        <w:t xml:space="preserve">found that the deemed dividends applied only to the amounts in the final </w:t>
      </w:r>
      <w:r w:rsidR="0094704D" w:rsidRPr="004117BA">
        <w:t>accounts for each of the entities: AAT[195]</w:t>
      </w:r>
      <w:r w:rsidR="007A30C3" w:rsidRPr="004117BA">
        <w:t xml:space="preserve">, </w:t>
      </w:r>
      <w:r w:rsidR="00074C81" w:rsidRPr="004117BA">
        <w:t xml:space="preserve">including table </w:t>
      </w:r>
      <w:r w:rsidR="00FC5270" w:rsidRPr="004117BA">
        <w:t xml:space="preserve">14 to that paragraph.  </w:t>
      </w:r>
    </w:p>
    <w:p w14:paraId="20F2CE24" w14:textId="5E10CA07" w:rsidR="004218FD" w:rsidRDefault="001E1F06" w:rsidP="00193CA9">
      <w:pPr>
        <w:pStyle w:val="ParaNumbering"/>
      </w:pPr>
      <w:r>
        <w:t>T</w:t>
      </w:r>
      <w:r w:rsidR="005A25B8">
        <w:t>o</w:t>
      </w:r>
      <w:r>
        <w:t xml:space="preserve"> capture the flavour of the case </w:t>
      </w:r>
      <w:r w:rsidR="005A25B8" w:rsidRPr="00751EE4">
        <w:t>Mr Buzadzic</w:t>
      </w:r>
      <w:r w:rsidR="005A25B8">
        <w:t xml:space="preserve"> </w:t>
      </w:r>
      <w:r>
        <w:t xml:space="preserve">brought before the Tribunal, </w:t>
      </w:r>
      <w:r w:rsidR="00AA3B08">
        <w:t>the Court notes that Mr Buzadzic</w:t>
      </w:r>
      <w:r w:rsidR="005A25B8">
        <w:t xml:space="preserve"> ended up </w:t>
      </w:r>
      <w:r w:rsidR="00354131">
        <w:t xml:space="preserve">substantially </w:t>
      </w:r>
      <w:r w:rsidR="004579D1">
        <w:t>aband</w:t>
      </w:r>
      <w:r w:rsidR="004D174B">
        <w:t>on</w:t>
      </w:r>
      <w:r w:rsidR="005A25B8">
        <w:t>ing</w:t>
      </w:r>
      <w:r w:rsidR="004D174B">
        <w:t xml:space="preserve"> reliance on his own forensic accounting evidence</w:t>
      </w:r>
      <w:r w:rsidR="00063ADF">
        <w:t xml:space="preserve">.  This left </w:t>
      </w:r>
      <w:r w:rsidR="004D174B">
        <w:t xml:space="preserve">the Tribunal with </w:t>
      </w:r>
      <w:r w:rsidR="00B854B4">
        <w:t xml:space="preserve">no explanation for </w:t>
      </w:r>
      <w:r w:rsidR="00ED3B91">
        <w:t>the lar</w:t>
      </w:r>
      <w:r w:rsidR="00174C49">
        <w:t xml:space="preserve">ge volume of accounting records </w:t>
      </w:r>
      <w:r w:rsidR="00B854B4">
        <w:t>that had been tendered by him</w:t>
      </w:r>
      <w:r w:rsidR="004B7779">
        <w:t xml:space="preserve">, </w:t>
      </w:r>
      <w:r w:rsidR="001F6B85">
        <w:t>including in particular MYOB files</w:t>
      </w:r>
      <w:r w:rsidR="003D000A">
        <w:t xml:space="preserve">.  This took place </w:t>
      </w:r>
      <w:r w:rsidR="004B7779">
        <w:t xml:space="preserve">despite </w:t>
      </w:r>
      <w:r w:rsidR="00A66CA2">
        <w:t>the Tribunal having indicated that it would be assisted by a</w:t>
      </w:r>
      <w:r w:rsidR="004218FD">
        <w:t xml:space="preserve">n expert </w:t>
      </w:r>
      <w:r w:rsidR="00A66CA2">
        <w:t>report</w:t>
      </w:r>
      <w:r w:rsidR="00C90530">
        <w:t xml:space="preserve"> </w:t>
      </w:r>
      <w:r w:rsidR="00020DC6">
        <w:t>to explain these records</w:t>
      </w:r>
      <w:r w:rsidR="00A66CA2">
        <w:t>.</w:t>
      </w:r>
      <w:r w:rsidR="00FD717D">
        <w:t xml:space="preserve">  </w:t>
      </w:r>
      <w:r w:rsidR="007E0D6B">
        <w:t xml:space="preserve">The Tribunal </w:t>
      </w:r>
      <w:r w:rsidR="00266647">
        <w:t xml:space="preserve">said it could not do this </w:t>
      </w:r>
      <w:r w:rsidR="004218FD">
        <w:t xml:space="preserve">exercise </w:t>
      </w:r>
      <w:r w:rsidR="00266647">
        <w:t xml:space="preserve">for </w:t>
      </w:r>
      <w:r w:rsidR="007E0D6B">
        <w:t>itself</w:t>
      </w:r>
      <w:r w:rsidR="0032124F">
        <w:t xml:space="preserve">, noting that </w:t>
      </w:r>
      <w:r w:rsidR="0032124F" w:rsidRPr="00751EE4">
        <w:t>Mr Buzadzic</w:t>
      </w:r>
      <w:r w:rsidR="0032124F">
        <w:t xml:space="preserve"> instead relied upon </w:t>
      </w:r>
      <w:r w:rsidR="00C45CBD">
        <w:t>external accountants and lawyers to attempt to do this</w:t>
      </w:r>
      <w:r w:rsidR="00020DC6">
        <w:t>, which was hardly the same and did not achieve th</w:t>
      </w:r>
      <w:r w:rsidR="00EF7B03">
        <w:t xml:space="preserve">e objective </w:t>
      </w:r>
      <w:r w:rsidR="00EF7B03" w:rsidRPr="00F90B75">
        <w:t>of assisting the Tribunal in any meaningful way</w:t>
      </w:r>
      <w:r w:rsidR="007E0D6B">
        <w:t xml:space="preserve">.  </w:t>
      </w:r>
    </w:p>
    <w:p w14:paraId="75853419" w14:textId="683CBDEC" w:rsidR="009E58B6" w:rsidRDefault="00493635" w:rsidP="00193CA9">
      <w:pPr>
        <w:pStyle w:val="ParaNumbering"/>
      </w:pPr>
      <w:r>
        <w:t xml:space="preserve">The Tribunal said that it could expect to have </w:t>
      </w:r>
      <w:r w:rsidR="006F3FCF">
        <w:t xml:space="preserve">explained to it the competing conclusions that should be reached based on the evidence led and to be directed to </w:t>
      </w:r>
      <w:r w:rsidR="00381465">
        <w:t xml:space="preserve">the specific </w:t>
      </w:r>
      <w:r w:rsidR="003935C0">
        <w:t>material relied upon by the parties</w:t>
      </w:r>
      <w:r w:rsidR="00D607B6">
        <w:t>: AAT</w:t>
      </w:r>
      <w:r w:rsidR="00554182">
        <w:t>[51]</w:t>
      </w:r>
      <w:r w:rsidR="003935C0">
        <w:t xml:space="preserve">.  </w:t>
      </w:r>
      <w:r w:rsidR="00020DC6">
        <w:t xml:space="preserve">Necessarily this observation was </w:t>
      </w:r>
      <w:r w:rsidR="004A2ABB">
        <w:t xml:space="preserve">more acutely focused upon </w:t>
      </w:r>
      <w:r w:rsidR="004A2ABB" w:rsidRPr="00751EE4">
        <w:t>Mr Buzadzic</w:t>
      </w:r>
      <w:r w:rsidR="004A2ABB">
        <w:t xml:space="preserve"> as the party bearing the onus.  </w:t>
      </w:r>
      <w:r w:rsidR="00291D1A">
        <w:t xml:space="preserve">By way of example, </w:t>
      </w:r>
      <w:r w:rsidR="004A2ABB" w:rsidRPr="00751EE4">
        <w:t>Mr Buzadzic</w:t>
      </w:r>
      <w:r w:rsidR="004A2ABB">
        <w:t xml:space="preserve"> relied upon </w:t>
      </w:r>
      <w:r w:rsidR="00D343C3">
        <w:t>evidence from Mr</w:t>
      </w:r>
      <w:r w:rsidR="00191755">
        <w:t> </w:t>
      </w:r>
      <w:proofErr w:type="spellStart"/>
      <w:r w:rsidR="00D343C3">
        <w:t>Hadd</w:t>
      </w:r>
      <w:r w:rsidR="004B6390">
        <w:t>e</w:t>
      </w:r>
      <w:r w:rsidR="00D343C3">
        <w:t>d</w:t>
      </w:r>
      <w:proofErr w:type="spellEnd"/>
      <w:r w:rsidR="00D343C3">
        <w:t xml:space="preserve">, a principal from </w:t>
      </w:r>
      <w:r w:rsidR="00CF2112">
        <w:t>a firm of accountants</w:t>
      </w:r>
      <w:r w:rsidR="00A26805">
        <w:t xml:space="preserve"> who had acted for </w:t>
      </w:r>
      <w:r w:rsidR="00A26805" w:rsidRPr="00751EE4">
        <w:t>Mr Buzadzic</w:t>
      </w:r>
      <w:r w:rsidR="00A26805">
        <w:t xml:space="preserve"> and his wife between 2008 and 2011 and from </w:t>
      </w:r>
      <w:r w:rsidR="00291D1A">
        <w:t xml:space="preserve">July 2013, </w:t>
      </w:r>
      <w:r w:rsidR="005C7DE2">
        <w:t>who</w:t>
      </w:r>
      <w:r w:rsidR="00CC3E63">
        <w:t xml:space="preserve"> deposed to </w:t>
      </w:r>
      <w:r w:rsidR="00BA4EE4">
        <w:t xml:space="preserve">a </w:t>
      </w:r>
      <w:r w:rsidR="00CC3E63">
        <w:t xml:space="preserve">belief he held about </w:t>
      </w:r>
      <w:r w:rsidR="00BA4EE4">
        <w:t xml:space="preserve">the accuracy of </w:t>
      </w:r>
      <w:r w:rsidR="007B5891">
        <w:t>accounting entries</w:t>
      </w:r>
      <w:r w:rsidR="008D2151">
        <w:t>.  T</w:t>
      </w:r>
      <w:r w:rsidR="007B5891">
        <w:t>he Tribunal found</w:t>
      </w:r>
      <w:r w:rsidR="008D2151">
        <w:t xml:space="preserve"> he had not provided </w:t>
      </w:r>
      <w:r w:rsidR="007B5891">
        <w:t>an</w:t>
      </w:r>
      <w:r w:rsidR="00CC3E63">
        <w:t xml:space="preserve"> </w:t>
      </w:r>
      <w:r w:rsidR="00BA4EE4">
        <w:t xml:space="preserve">explanation of the basis for </w:t>
      </w:r>
      <w:r w:rsidR="008D2151">
        <w:t xml:space="preserve">the </w:t>
      </w:r>
      <w:r w:rsidR="00BA4EE4">
        <w:t>belief</w:t>
      </w:r>
      <w:r w:rsidR="008D2151">
        <w:t xml:space="preserve"> that he held, effectively leaving </w:t>
      </w:r>
      <w:r w:rsidR="00191755">
        <w:t>that belief</w:t>
      </w:r>
      <w:r w:rsidR="009E58B6">
        <w:t xml:space="preserve"> without any proven foundation</w:t>
      </w:r>
      <w:r w:rsidR="00291D1A">
        <w:t xml:space="preserve">.  </w:t>
      </w:r>
    </w:p>
    <w:p w14:paraId="714D0CCD" w14:textId="11FDE925" w:rsidR="006E6E8F" w:rsidRDefault="009E58B6" w:rsidP="00193CA9">
      <w:pPr>
        <w:pStyle w:val="ParaNumbering"/>
      </w:pPr>
      <w:r>
        <w:t>T</w:t>
      </w:r>
      <w:r w:rsidR="005C7DE2">
        <w:t xml:space="preserve">he Tribunal </w:t>
      </w:r>
      <w:r>
        <w:t xml:space="preserve">also </w:t>
      </w:r>
      <w:r w:rsidR="0008625B">
        <w:t>noted that the use of double</w:t>
      </w:r>
      <w:r w:rsidR="00432AE3">
        <w:t xml:space="preserve"> </w:t>
      </w:r>
      <w:r w:rsidR="0008625B">
        <w:t>entry accounting</w:t>
      </w:r>
      <w:r w:rsidR="00613855">
        <w:t xml:space="preserve">, relied upon by </w:t>
      </w:r>
      <w:r w:rsidR="00613855" w:rsidRPr="00751EE4">
        <w:t>Mr Buzadzic</w:t>
      </w:r>
      <w:r w:rsidR="00613855">
        <w:t xml:space="preserve"> in the course of his appeal submissions as being somehow conclusive as to what they described,</w:t>
      </w:r>
      <w:r w:rsidR="00FD2EB4">
        <w:t xml:space="preserve"> did not </w:t>
      </w:r>
      <w:r w:rsidR="00C34BEB">
        <w:t xml:space="preserve">in each instance </w:t>
      </w:r>
      <w:r w:rsidR="00FD2EB4">
        <w:t>explain the underlying transaction</w:t>
      </w:r>
      <w:r w:rsidR="00241B77">
        <w:t xml:space="preserve">, nor why </w:t>
      </w:r>
      <w:r w:rsidR="00043084">
        <w:t>an entry</w:t>
      </w:r>
      <w:r w:rsidR="00241B77">
        <w:t xml:space="preserve"> did not reflect an amount that was sourced to a record.  </w:t>
      </w:r>
      <w:r w:rsidR="0020088F">
        <w:t xml:space="preserve">The Tribunal found that this </w:t>
      </w:r>
      <w:r w:rsidR="009E1114">
        <w:t xml:space="preserve">meant that there needed to be comprehensive forensic examination of </w:t>
      </w:r>
      <w:r w:rsidR="0003329E">
        <w:t xml:space="preserve">all of the accounts, </w:t>
      </w:r>
      <w:r w:rsidR="003E6FAD">
        <w:t xml:space="preserve">such forensic examination not being </w:t>
      </w:r>
      <w:r w:rsidR="00344E6D">
        <w:t>in</w:t>
      </w:r>
      <w:r w:rsidR="0003329E">
        <w:t xml:space="preserve"> </w:t>
      </w:r>
      <w:r w:rsidR="006E6E8F">
        <w:t xml:space="preserve">evidence </w:t>
      </w:r>
      <w:r w:rsidR="0003329E">
        <w:t xml:space="preserve">before the Tribunal.  </w:t>
      </w:r>
    </w:p>
    <w:p w14:paraId="2396EBCA" w14:textId="452364EE" w:rsidR="00DA31A0" w:rsidRDefault="00834D9C" w:rsidP="00193CA9">
      <w:pPr>
        <w:pStyle w:val="ParaNumbering"/>
      </w:pPr>
      <w:r>
        <w:t>T</w:t>
      </w:r>
      <w:r w:rsidR="002F3199">
        <w:t xml:space="preserve">he Tribunal was unable to rely upon the accounting records to reach the conclusions asserted by </w:t>
      </w:r>
      <w:r w:rsidR="002F3199" w:rsidRPr="00751EE4">
        <w:t>Mr Buzadzic</w:t>
      </w:r>
      <w:r w:rsidR="006E484E">
        <w:t xml:space="preserve"> about the transactions that remained in dispute</w:t>
      </w:r>
      <w:r w:rsidR="002F3199">
        <w:t xml:space="preserve">. </w:t>
      </w:r>
      <w:r w:rsidR="006E484E">
        <w:t xml:space="preserve"> </w:t>
      </w:r>
      <w:r w:rsidR="00933E5C">
        <w:t xml:space="preserve">In the absence of </w:t>
      </w:r>
      <w:r w:rsidR="00F92AAF">
        <w:t xml:space="preserve">contemporaneous records and </w:t>
      </w:r>
      <w:r w:rsidR="008C4660">
        <w:t>a</w:t>
      </w:r>
      <w:r w:rsidR="00F92AAF">
        <w:t xml:space="preserve"> forensic analysis of the ledger accounts relied upon, t</w:t>
      </w:r>
      <w:r w:rsidR="006E484E">
        <w:t xml:space="preserve">he evidence was simply not </w:t>
      </w:r>
      <w:r w:rsidR="007B216D">
        <w:t>sufficient</w:t>
      </w:r>
      <w:r w:rsidR="008F57CC">
        <w:t xml:space="preserve"> to discharge the onus</w:t>
      </w:r>
      <w:r w:rsidR="006E484E">
        <w:t xml:space="preserve">.  </w:t>
      </w:r>
      <w:r w:rsidR="00F92AAF">
        <w:t>The</w:t>
      </w:r>
      <w:r w:rsidR="00F17639">
        <w:t xml:space="preserve"> </w:t>
      </w:r>
      <w:r w:rsidR="00F92AAF">
        <w:t xml:space="preserve">assertions of </w:t>
      </w:r>
      <w:r w:rsidR="00F92AAF" w:rsidRPr="00751EE4">
        <w:t>Mr Buzadzic</w:t>
      </w:r>
      <w:r w:rsidR="00F92AAF">
        <w:t xml:space="preserve"> and his </w:t>
      </w:r>
      <w:r w:rsidR="00F92AAF" w:rsidRPr="00FA54D3">
        <w:t xml:space="preserve">advisers </w:t>
      </w:r>
      <w:r w:rsidR="00F83918" w:rsidRPr="00FA54D3">
        <w:t>relied upon</w:t>
      </w:r>
      <w:r w:rsidR="00F83918">
        <w:t xml:space="preserve"> </w:t>
      </w:r>
      <w:r w:rsidR="00F92AAF">
        <w:t>would not suffice</w:t>
      </w:r>
      <w:r w:rsidR="00015A95">
        <w:t>, especially to explain otherwise unexplained deposits and credit entries</w:t>
      </w:r>
      <w:r w:rsidR="00F92AAF">
        <w:t xml:space="preserve">.  </w:t>
      </w:r>
      <w:r w:rsidR="007C53A5" w:rsidRPr="00751EE4">
        <w:t>Mr Buzadzic</w:t>
      </w:r>
      <w:r w:rsidR="007C53A5">
        <w:t xml:space="preserve"> was unable, in the vast majority of </w:t>
      </w:r>
      <w:r w:rsidR="005E0130">
        <w:t>instances</w:t>
      </w:r>
      <w:r w:rsidR="00C96AC3">
        <w:t>, to produce supporting documentation for the reasons for depo</w:t>
      </w:r>
      <w:r w:rsidR="00A37539">
        <w:t>s</w:t>
      </w:r>
      <w:r w:rsidR="00C96AC3">
        <w:t xml:space="preserve">its </w:t>
      </w:r>
      <w:r w:rsidR="007857FD">
        <w:t xml:space="preserve">made many years ago, although he </w:t>
      </w:r>
      <w:r w:rsidR="007857FD">
        <w:lastRenderedPageBreak/>
        <w:t xml:space="preserve">sought to explain some deposits.  </w:t>
      </w:r>
      <w:r w:rsidR="00975CFB">
        <w:t>Those unsupported explanations were not accepted</w:t>
      </w:r>
      <w:r w:rsidR="009301F6">
        <w:t xml:space="preserve">, being found to be </w:t>
      </w:r>
      <w:r w:rsidR="008D0709">
        <w:t>speculative and unreliable</w:t>
      </w:r>
      <w:r w:rsidR="00864641">
        <w:t>,</w:t>
      </w:r>
      <w:r w:rsidR="00864641" w:rsidRPr="00864641">
        <w:t xml:space="preserve"> </w:t>
      </w:r>
      <w:r w:rsidR="00864641">
        <w:t>with only one exception</w:t>
      </w:r>
      <w:r w:rsidR="00975CFB">
        <w:t xml:space="preserve">.  </w:t>
      </w:r>
    </w:p>
    <w:p w14:paraId="2740EEEA" w14:textId="195750A0" w:rsidR="00A12D11" w:rsidRDefault="006E6E8F" w:rsidP="00193CA9">
      <w:pPr>
        <w:pStyle w:val="ParaNumbering"/>
      </w:pPr>
      <w:r>
        <w:t xml:space="preserve">The Tribunal made numerous adverse references to the poor and unpersuasive quality of the evidence before it.  The primary judge correctly praised the approach </w:t>
      </w:r>
      <w:r w:rsidR="0026295E">
        <w:t xml:space="preserve">taken </w:t>
      </w:r>
      <w:r>
        <w:t xml:space="preserve">by the Tribunal at multiple points in his Honour’s reasons.  </w:t>
      </w:r>
      <w:r w:rsidR="00B56010">
        <w:t xml:space="preserve">We agree with his Honour.  </w:t>
      </w:r>
      <w:r w:rsidR="00BA797E">
        <w:t>The approach of the Tribunal was impeccable</w:t>
      </w:r>
      <w:r w:rsidR="0026295E">
        <w:t xml:space="preserve"> in the circumstances</w:t>
      </w:r>
      <w:r w:rsidR="00BA797E">
        <w:t>.</w:t>
      </w:r>
      <w:r w:rsidR="00007AC2">
        <w:t xml:space="preserve">  </w:t>
      </w:r>
    </w:p>
    <w:p w14:paraId="1AFBA923" w14:textId="1BA00D68" w:rsidR="00A21BC8" w:rsidRDefault="0074067C" w:rsidP="0077151D">
      <w:pPr>
        <w:pStyle w:val="Heading2"/>
      </w:pPr>
      <w:r>
        <w:t>The grounds of appeal</w:t>
      </w:r>
    </w:p>
    <w:p w14:paraId="63163B46" w14:textId="682E25FD" w:rsidR="00A12D11" w:rsidRDefault="00A12D11" w:rsidP="00A12D11">
      <w:pPr>
        <w:pStyle w:val="ParaNumbering"/>
      </w:pPr>
      <w:r w:rsidRPr="007C442C">
        <w:t>Impeach</w:t>
      </w:r>
      <w:r>
        <w:t xml:space="preserve">ing the Tribunal’s conclusions before the primary judge was a daunting exercise, requiring a disciplined and focused identification of error.  It required much more than a mere disagreement with the outcome and an attempt to relitigate the case </w:t>
      </w:r>
      <w:r w:rsidR="00E96CB2">
        <w:t xml:space="preserve">that had been </w:t>
      </w:r>
      <w:r w:rsidR="004F41F2">
        <w:t xml:space="preserve">heard </w:t>
      </w:r>
      <w:r>
        <w:t xml:space="preserve">before the Tribunal.  Yet in substance, that was what was attempted before </w:t>
      </w:r>
      <w:r w:rsidR="000C6F96">
        <w:t>the primary</w:t>
      </w:r>
      <w:r w:rsidR="004F41F2">
        <w:t xml:space="preserve"> judge</w:t>
      </w:r>
      <w:r>
        <w:t>.</w:t>
      </w:r>
    </w:p>
    <w:p w14:paraId="4001DAFC" w14:textId="25CEE0EF" w:rsidR="002D3C6A" w:rsidRDefault="005806D0" w:rsidP="00193CA9">
      <w:pPr>
        <w:pStyle w:val="ParaNumbering"/>
      </w:pPr>
      <w:r>
        <w:t xml:space="preserve">The first appeal ground is a global assertion of error on the part of the primary judge in finding that none of the grounds of </w:t>
      </w:r>
      <w:r w:rsidR="00CE25D5">
        <w:t>appeal below</w:t>
      </w:r>
      <w:r>
        <w:t xml:space="preserve"> were made out</w:t>
      </w:r>
      <w:r w:rsidR="000557F4">
        <w:t xml:space="preserve">.  </w:t>
      </w:r>
      <w:r w:rsidR="00406239">
        <w:t>Success on ground 1</w:t>
      </w:r>
      <w:r w:rsidR="00F43E82">
        <w:t xml:space="preserve"> therefore necessarily</w:t>
      </w:r>
      <w:r w:rsidR="00406239">
        <w:t xml:space="preserve"> turns on success on one </w:t>
      </w:r>
      <w:r w:rsidR="00CD6D36">
        <w:t xml:space="preserve">or more </w:t>
      </w:r>
      <w:r w:rsidR="00406239">
        <w:t xml:space="preserve">of appeal grounds 2 to 9, which describe the particular </w:t>
      </w:r>
      <w:r w:rsidR="002F4C07">
        <w:t xml:space="preserve">asserted </w:t>
      </w:r>
      <w:r w:rsidR="00406239">
        <w:t>errors</w:t>
      </w:r>
      <w:r w:rsidR="0074067C">
        <w:t xml:space="preserve"> on the part of the Tribunal</w:t>
      </w:r>
      <w:r w:rsidR="00406239">
        <w:t xml:space="preserve"> relied upon.  </w:t>
      </w:r>
      <w:r w:rsidR="00FD68B3">
        <w:t>The primary judge</w:t>
      </w:r>
      <w:r w:rsidR="000557F4">
        <w:t xml:space="preserve"> </w:t>
      </w:r>
      <w:r w:rsidR="00380A40">
        <w:t>at PJ[3]</w:t>
      </w:r>
      <w:r w:rsidR="00363020">
        <w:t xml:space="preserve"> </w:t>
      </w:r>
      <w:r w:rsidR="0004717F">
        <w:t xml:space="preserve">succinctly and accurately </w:t>
      </w:r>
      <w:r w:rsidR="00363020">
        <w:t xml:space="preserve">summarised </w:t>
      </w:r>
      <w:r w:rsidR="0004717F">
        <w:t xml:space="preserve">the grounds of </w:t>
      </w:r>
      <w:r w:rsidR="00CE25D5">
        <w:t>appeal</w:t>
      </w:r>
      <w:r w:rsidR="0004717F">
        <w:t xml:space="preserve"> before his Honour, all of which are </w:t>
      </w:r>
      <w:r w:rsidR="000557F4">
        <w:t xml:space="preserve">specifically </w:t>
      </w:r>
      <w:r w:rsidR="0004717F">
        <w:t>maintained on appeal</w:t>
      </w:r>
      <w:r w:rsidR="002F4C07">
        <w:t xml:space="preserve"> in substantially the same form</w:t>
      </w:r>
      <w:r w:rsidR="0004717F">
        <w:t>, using the same grouping of grounds in the notice of appeal</w:t>
      </w:r>
      <w:r w:rsidR="00E3424F">
        <w:t xml:space="preserve"> </w:t>
      </w:r>
      <w:r w:rsidR="00E3424F" w:rsidRPr="00C16660">
        <w:t xml:space="preserve">before this </w:t>
      </w:r>
      <w:r w:rsidR="00606A0B">
        <w:t>C</w:t>
      </w:r>
      <w:r w:rsidR="00E3424F" w:rsidRPr="00C16660">
        <w:t>ourt as w</w:t>
      </w:r>
      <w:r w:rsidR="00C16660" w:rsidRPr="009A42B5">
        <w:t>ere</w:t>
      </w:r>
      <w:r w:rsidR="00E3424F" w:rsidRPr="00C16660">
        <w:t xml:space="preserve"> used in the one below</w:t>
      </w:r>
      <w:r w:rsidR="009378FF">
        <w:t xml:space="preserve">.  His Honour </w:t>
      </w:r>
      <w:r w:rsidR="00456483">
        <w:t xml:space="preserve">noted that </w:t>
      </w:r>
      <w:r w:rsidR="002D571A">
        <w:t xml:space="preserve">there was an issue as to whether all of the questions said to be raised </w:t>
      </w:r>
      <w:r w:rsidR="008C0D15">
        <w:t xml:space="preserve">in the notice of appeal </w:t>
      </w:r>
      <w:r w:rsidR="006738FA">
        <w:t>were properly characterised as questions of law as required</w:t>
      </w:r>
      <w:r w:rsidR="009378FF">
        <w:t>, a problem that recurred in th</w:t>
      </w:r>
      <w:r w:rsidR="005F1659">
        <w:t>is</w:t>
      </w:r>
      <w:r w:rsidR="009378FF">
        <w:t xml:space="preserve"> appeal</w:t>
      </w:r>
      <w:r w:rsidR="005D7140">
        <w:t xml:space="preserve">.  </w:t>
      </w:r>
    </w:p>
    <w:p w14:paraId="1FC043CC" w14:textId="30D179C4" w:rsidR="000D639E" w:rsidRDefault="005D7140" w:rsidP="00193CA9">
      <w:pPr>
        <w:pStyle w:val="ParaNumbering"/>
      </w:pPr>
      <w:r>
        <w:t>Th</w:t>
      </w:r>
      <w:r w:rsidR="003273C5">
        <w:t>e</w:t>
      </w:r>
      <w:r w:rsidR="002D3C6A">
        <w:t xml:space="preserve"> grounds of </w:t>
      </w:r>
      <w:r w:rsidR="00CE25D5">
        <w:t xml:space="preserve">appeal below </w:t>
      </w:r>
      <w:r>
        <w:t xml:space="preserve">were </w:t>
      </w:r>
      <w:r w:rsidR="009C7764">
        <w:t>summarised</w:t>
      </w:r>
      <w:r>
        <w:t xml:space="preserve"> by </w:t>
      </w:r>
      <w:r w:rsidR="002D3C6A">
        <w:t xml:space="preserve">the primary judge </w:t>
      </w:r>
      <w:r>
        <w:t xml:space="preserve">as follows, </w:t>
      </w:r>
      <w:r w:rsidR="008579A1">
        <w:t xml:space="preserve">inserting the corresponding </w:t>
      </w:r>
      <w:r w:rsidR="00CE25D5">
        <w:t xml:space="preserve">current </w:t>
      </w:r>
      <w:r w:rsidR="008579A1">
        <w:t xml:space="preserve">appeal ground numbers from </w:t>
      </w:r>
      <w:r w:rsidR="009A09DD">
        <w:t>[2] to [9]</w:t>
      </w:r>
      <w:r w:rsidR="006738FA">
        <w:t>:</w:t>
      </w:r>
    </w:p>
    <w:p w14:paraId="6D51588E" w14:textId="7F103E50" w:rsidR="00355BCB" w:rsidRDefault="009A09DD" w:rsidP="00406239">
      <w:pPr>
        <w:pStyle w:val="Quote1"/>
        <w:ind w:left="1440" w:hanging="703"/>
      </w:pPr>
      <w:r>
        <w:t>[2]</w:t>
      </w:r>
      <w:r>
        <w:tab/>
      </w:r>
      <w:r w:rsidR="00355BCB">
        <w:t xml:space="preserve">that the Tribunal applied the wrong test for burden of proof under </w:t>
      </w:r>
      <w:r w:rsidR="00355BCB" w:rsidRPr="002E6A8F">
        <w:t>s 14ZZK(b)(</w:t>
      </w:r>
      <w:proofErr w:type="spellStart"/>
      <w:r w:rsidR="00355BCB" w:rsidRPr="002E6A8F">
        <w:t>i</w:t>
      </w:r>
      <w:proofErr w:type="spellEnd"/>
      <w:r w:rsidR="00355BCB" w:rsidRPr="002E6A8F">
        <w:t xml:space="preserve">) of the </w:t>
      </w:r>
      <w:r w:rsidR="00355BCB" w:rsidRPr="002E6A8F">
        <w:rPr>
          <w:i/>
        </w:rPr>
        <w:t>Tax Administration Act 1953</w:t>
      </w:r>
      <w:r w:rsidR="00355BCB" w:rsidRPr="002E6A8F">
        <w:t xml:space="preserve"> (Cth)</w:t>
      </w:r>
      <w:r w:rsidR="00355BCB">
        <w:t xml:space="preserve"> (the </w:t>
      </w:r>
      <w:r w:rsidR="00355BCB" w:rsidRPr="00355BCB">
        <w:rPr>
          <w:b/>
        </w:rPr>
        <w:t>Administration Act</w:t>
      </w:r>
      <w:r w:rsidR="00355BCB">
        <w:t>) and/or that the Tribunal’s decision that Mr Buzadzic had not discharged the burden of proof was unreasonable (Grounds 1 and 2);</w:t>
      </w:r>
    </w:p>
    <w:p w14:paraId="64BF1EE5" w14:textId="292689D9" w:rsidR="00355BCB" w:rsidRDefault="009A09DD" w:rsidP="00406239">
      <w:pPr>
        <w:pStyle w:val="Quote1"/>
        <w:ind w:left="1440" w:hanging="703"/>
      </w:pPr>
      <w:r>
        <w:t>[3]</w:t>
      </w:r>
      <w:r>
        <w:tab/>
      </w:r>
      <w:r w:rsidR="00355BCB">
        <w:t xml:space="preserve">that the Tribunal misconstrued and/or misapplied s 6-5 of the </w:t>
      </w:r>
      <w:r w:rsidR="00355BCB" w:rsidRPr="002E6A8F">
        <w:rPr>
          <w:i/>
        </w:rPr>
        <w:t>Income Tax Assessment Act 1997</w:t>
      </w:r>
      <w:r w:rsidR="00355BCB" w:rsidRPr="002E6A8F">
        <w:t xml:space="preserve"> (Cth)</w:t>
      </w:r>
      <w:r w:rsidR="00355BCB">
        <w:t xml:space="preserve"> (the </w:t>
      </w:r>
      <w:r w:rsidR="00355BCB" w:rsidRPr="0035441F">
        <w:rPr>
          <w:b/>
        </w:rPr>
        <w:t>ITAA 1997</w:t>
      </w:r>
      <w:r w:rsidR="00355BCB">
        <w:t>) (Ground 3);</w:t>
      </w:r>
    </w:p>
    <w:p w14:paraId="131112D5" w14:textId="5B589087" w:rsidR="00355BCB" w:rsidRDefault="007E4BE0" w:rsidP="00406239">
      <w:pPr>
        <w:pStyle w:val="Quote1"/>
        <w:ind w:left="1440" w:hanging="703"/>
      </w:pPr>
      <w:r>
        <w:t>[4]</w:t>
      </w:r>
      <w:r>
        <w:tab/>
      </w:r>
      <w:r w:rsidR="00355BCB">
        <w:t>that the Tribunal erred by failing to exclude deposits, credit entries and other amounts that were explained or shown to be erroneous, from the assessments (Ground</w:t>
      </w:r>
      <w:r w:rsidR="00F50BAB">
        <w:t> </w:t>
      </w:r>
      <w:r w:rsidR="00355BCB">
        <w:t>4);</w:t>
      </w:r>
    </w:p>
    <w:p w14:paraId="110C2E7A" w14:textId="02C42C43" w:rsidR="00355BCB" w:rsidRDefault="007E4BE0" w:rsidP="00406239">
      <w:pPr>
        <w:pStyle w:val="Quote1"/>
        <w:ind w:left="1440" w:hanging="703"/>
      </w:pPr>
      <w:r>
        <w:t>[5]</w:t>
      </w:r>
      <w:r>
        <w:tab/>
      </w:r>
      <w:r w:rsidR="00355BCB">
        <w:t>that the Tribunal misconstrued and/or misapplied item 5 of s 170(1) of the</w:t>
      </w:r>
      <w:r w:rsidR="00355BCB" w:rsidRPr="00755275">
        <w:t xml:space="preserve"> ITAA 1936</w:t>
      </w:r>
      <w:r w:rsidR="00355BCB">
        <w:t xml:space="preserve"> (which relates to the amendment of an assessment if the </w:t>
      </w:r>
      <w:r w:rsidR="00355BCB">
        <w:lastRenderedPageBreak/>
        <w:t>Commissioner is of the opinion there has been fraud or evasion) and/or that the Tribunal applied the wrong test for burden of proof in connection with that provision and/or that the Tribunal made an unreasonable finding in relation to that provision (Grounds 5, 6 and 7);</w:t>
      </w:r>
    </w:p>
    <w:p w14:paraId="1B5FC189" w14:textId="2181A521" w:rsidR="00355BCB" w:rsidRDefault="007E4BE0" w:rsidP="00406239">
      <w:pPr>
        <w:pStyle w:val="Quote1"/>
        <w:ind w:left="1440" w:hanging="703"/>
      </w:pPr>
      <w:r>
        <w:t>[6]</w:t>
      </w:r>
      <w:r>
        <w:tab/>
      </w:r>
      <w:r w:rsidR="00355BCB">
        <w:t>that the Tribunal misconstrued and/or misapplied the penalty provisions and/or that the Tribunal made unreasonable findings in relation to penalties (Grounds 8, 9, 10, 11 and 12);</w:t>
      </w:r>
    </w:p>
    <w:p w14:paraId="4390559F" w14:textId="6B6F35CD" w:rsidR="00355BCB" w:rsidRDefault="007E4BE0" w:rsidP="00406239">
      <w:pPr>
        <w:pStyle w:val="Quote1"/>
        <w:ind w:left="1440" w:hanging="703"/>
      </w:pPr>
      <w:r>
        <w:t>[7]</w:t>
      </w:r>
      <w:r>
        <w:tab/>
      </w:r>
      <w:r w:rsidR="00355BCB">
        <w:t>that the Tribunal failed to consider certain grounds of objection and submissions (Ground 13);</w:t>
      </w:r>
    </w:p>
    <w:p w14:paraId="13319F17" w14:textId="3109D325" w:rsidR="00355BCB" w:rsidRDefault="007E4BE0" w:rsidP="00406239">
      <w:pPr>
        <w:pStyle w:val="Quote1"/>
        <w:ind w:left="1440" w:hanging="703"/>
      </w:pPr>
      <w:r>
        <w:t>[8]</w:t>
      </w:r>
      <w:r>
        <w:tab/>
      </w:r>
      <w:r w:rsidR="00355BCB">
        <w:t>that the Tribunal made certain unreasonable findings of fact and/or that there was no evidence or proper basis for certain findings (Grounds 14 and 15); and</w:t>
      </w:r>
    </w:p>
    <w:p w14:paraId="71B0DF2A" w14:textId="4187424E" w:rsidR="00355BCB" w:rsidRDefault="007E4BE0" w:rsidP="00406239">
      <w:pPr>
        <w:pStyle w:val="Quote1"/>
        <w:ind w:left="1440" w:hanging="703"/>
      </w:pPr>
      <w:r>
        <w:t>[</w:t>
      </w:r>
      <w:r w:rsidR="008900CD">
        <w:t>9]</w:t>
      </w:r>
      <w:r w:rsidR="008900CD">
        <w:tab/>
      </w:r>
      <w:r w:rsidR="00355BCB">
        <w:t>that the Tribunal failed to afford Mr Buzadzic procedural fairness in that it failed to properly consider the evidence tendered by Mr Buzadzic and/or to give it proper weight (Ground 16).</w:t>
      </w:r>
    </w:p>
    <w:p w14:paraId="193FFAC0" w14:textId="53D94458" w:rsidR="00AE0ACB" w:rsidRDefault="00AE0ACB" w:rsidP="004863E1">
      <w:pPr>
        <w:pStyle w:val="Heading2"/>
      </w:pPr>
      <w:r>
        <w:t xml:space="preserve">An additional </w:t>
      </w:r>
      <w:r w:rsidR="004863E1">
        <w:t xml:space="preserve">ground of appeal advanced in </w:t>
      </w:r>
      <w:r w:rsidR="004863E1" w:rsidRPr="00751EE4">
        <w:t>Mr </w:t>
      </w:r>
      <w:proofErr w:type="spellStart"/>
      <w:r w:rsidR="004863E1" w:rsidRPr="00751EE4">
        <w:t>Buzadzic</w:t>
      </w:r>
      <w:r w:rsidR="004863E1">
        <w:t>’s</w:t>
      </w:r>
      <w:proofErr w:type="spellEnd"/>
      <w:r w:rsidR="004863E1">
        <w:t xml:space="preserve"> submissions</w:t>
      </w:r>
    </w:p>
    <w:p w14:paraId="6E0FDA88" w14:textId="1A54B5C7" w:rsidR="00AE0ACB" w:rsidRDefault="00AE0ACB" w:rsidP="00AE0ACB">
      <w:pPr>
        <w:pStyle w:val="ParaNumbering"/>
      </w:pPr>
      <w:r w:rsidRPr="006D2B69">
        <w:t>Mr </w:t>
      </w:r>
      <w:proofErr w:type="spellStart"/>
      <w:r w:rsidRPr="006D2B69">
        <w:t>Bu</w:t>
      </w:r>
      <w:r w:rsidR="00771FAE">
        <w:t>z</w:t>
      </w:r>
      <w:r w:rsidRPr="006D2B69">
        <w:t>adzic</w:t>
      </w:r>
      <w:r>
        <w:t>’s</w:t>
      </w:r>
      <w:proofErr w:type="spellEnd"/>
      <w:r>
        <w:t xml:space="preserve"> submissions</w:t>
      </w:r>
      <w:r w:rsidR="00CF3C1A">
        <w:t xml:space="preserve"> before this Court</w:t>
      </w:r>
      <w:r>
        <w:t xml:space="preserve"> raised </w:t>
      </w:r>
      <w:r w:rsidR="00311818">
        <w:t xml:space="preserve">what amounts to </w:t>
      </w:r>
      <w:r>
        <w:t xml:space="preserve">a further ground of appeal, asserting that </w:t>
      </w:r>
      <w:r w:rsidR="005C6A32">
        <w:t xml:space="preserve">[213] of </w:t>
      </w:r>
      <w:r>
        <w:t>the Tribunal</w:t>
      </w:r>
      <w:r w:rsidR="00F200F0">
        <w:t xml:space="preserve">’s reasons </w:t>
      </w:r>
      <w:r>
        <w:t xml:space="preserve">fail to </w:t>
      </w:r>
      <w:r w:rsidR="00F200F0">
        <w:t xml:space="preserve">satisfy the requirement to </w:t>
      </w:r>
      <w:r>
        <w:t>give reasons</w:t>
      </w:r>
      <w:r w:rsidR="00F200F0">
        <w:t xml:space="preserve"> </w:t>
      </w:r>
      <w:r w:rsidR="00C52D14">
        <w:t>required by</w:t>
      </w:r>
      <w:r w:rsidR="00F200F0">
        <w:t xml:space="preserve"> s 43(2B) of the </w:t>
      </w:r>
      <w:r w:rsidR="0013727D" w:rsidRPr="0013727D">
        <w:rPr>
          <w:bCs/>
        </w:rPr>
        <w:t>AAT Act</w:t>
      </w:r>
      <w:r w:rsidR="00123EA9">
        <w:t>.</w:t>
      </w:r>
      <w:r w:rsidR="00E75720">
        <w:t xml:space="preserve"> </w:t>
      </w:r>
      <w:r w:rsidR="0013727D">
        <w:t xml:space="preserve"> </w:t>
      </w:r>
      <w:r w:rsidR="004E0C19">
        <w:t>In substance, h</w:t>
      </w:r>
      <w:r w:rsidRPr="004E0C19">
        <w:t>e submitted that there was no material distinction between the ground of appeal run before the primary judge</w:t>
      </w:r>
      <w:r w:rsidR="00C173E9" w:rsidRPr="004E0C19">
        <w:t xml:space="preserve">, </w:t>
      </w:r>
      <w:r w:rsidR="00E5207A">
        <w:t>(</w:t>
      </w:r>
      <w:r w:rsidR="00C173E9" w:rsidRPr="004E0C19">
        <w:t>and maintained on appeal</w:t>
      </w:r>
      <w:r w:rsidR="00E5207A">
        <w:t>)</w:t>
      </w:r>
      <w:r w:rsidR="00661BAE" w:rsidRPr="004E0C19">
        <w:t xml:space="preserve"> </w:t>
      </w:r>
      <w:r w:rsidRPr="004E0C19">
        <w:t xml:space="preserve">asserting </w:t>
      </w:r>
      <w:r w:rsidR="005D0595">
        <w:t xml:space="preserve">the Tribunal’s </w:t>
      </w:r>
      <w:r w:rsidRPr="004E0C19">
        <w:t xml:space="preserve">failure to consider aspects of his case, and </w:t>
      </w:r>
      <w:r w:rsidR="000D22DF">
        <w:t xml:space="preserve">the argument </w:t>
      </w:r>
      <w:r w:rsidR="005D0595">
        <w:t xml:space="preserve">now </w:t>
      </w:r>
      <w:r w:rsidR="00E26AA1">
        <w:t>raised before this Court that the Tribunal</w:t>
      </w:r>
      <w:r w:rsidR="002E50AC">
        <w:t xml:space="preserve"> </w:t>
      </w:r>
      <w:r w:rsidR="00E26AA1">
        <w:t>failed</w:t>
      </w:r>
      <w:r w:rsidRPr="004E0C19">
        <w:t xml:space="preserve"> to give reasons</w:t>
      </w:r>
      <w:r w:rsidR="00EC5DCE">
        <w:t xml:space="preserve"> in respect to those aspects</w:t>
      </w:r>
      <w:r w:rsidR="005D0595">
        <w:t xml:space="preserve">. </w:t>
      </w:r>
      <w:r w:rsidR="0013727D">
        <w:t xml:space="preserve"> </w:t>
      </w:r>
      <w:r w:rsidR="00BB2F7C">
        <w:t>It cannot be accepted that there is no distinction between the</w:t>
      </w:r>
      <w:r w:rsidR="0083227C">
        <w:t xml:space="preserve"> concept of</w:t>
      </w:r>
      <w:r w:rsidR="00BB2F7C">
        <w:t xml:space="preserve"> </w:t>
      </w:r>
      <w:r w:rsidR="00E5495F">
        <w:t>failure to give adequate consideration</w:t>
      </w:r>
      <w:r w:rsidR="00FB41B2">
        <w:t xml:space="preserve"> to a submission</w:t>
      </w:r>
      <w:r w:rsidR="00E5495F">
        <w:t xml:space="preserve"> </w:t>
      </w:r>
      <w:r w:rsidR="0083227C">
        <w:t>and the failure to give reasons</w:t>
      </w:r>
      <w:r w:rsidR="00BB2F7C">
        <w:t xml:space="preserve">, </w:t>
      </w:r>
      <w:r w:rsidR="00581462">
        <w:t xml:space="preserve">even though </w:t>
      </w:r>
      <w:r w:rsidR="00611151">
        <w:t xml:space="preserve">the argument </w:t>
      </w:r>
      <w:r w:rsidR="00581462">
        <w:t xml:space="preserve">entails </w:t>
      </w:r>
      <w:r w:rsidR="00B27DC7">
        <w:t>address</w:t>
      </w:r>
      <w:r w:rsidR="00CF3C1A">
        <w:t>ing</w:t>
      </w:r>
      <w:r w:rsidR="00B27DC7">
        <w:t xml:space="preserve"> the same part of the Tribunal’s reasons.  </w:t>
      </w:r>
      <w:r w:rsidR="0023138E">
        <w:t>If it w</w:t>
      </w:r>
      <w:r w:rsidR="00CF3C1A">
        <w:t>ere</w:t>
      </w:r>
      <w:r w:rsidR="0023138E">
        <w:t xml:space="preserve"> a point to be made in any serious way, it could have, and should have, been advanced before the primary judge. </w:t>
      </w:r>
      <w:r w:rsidR="00AC65D8">
        <w:t xml:space="preserve"> </w:t>
      </w:r>
      <w:r w:rsidR="00AE2530">
        <w:t xml:space="preserve">Counsel for </w:t>
      </w:r>
      <w:r w:rsidR="00AE2530" w:rsidRPr="00751EE4">
        <w:t>Mr Buzadzic</w:t>
      </w:r>
      <w:r w:rsidR="00AE2530">
        <w:t xml:space="preserve"> declined an opportunity to explain why this ground was not r</w:t>
      </w:r>
      <w:r w:rsidR="00DD16D8">
        <w:t xml:space="preserve">un </w:t>
      </w:r>
      <w:r>
        <w:t xml:space="preserve">below </w:t>
      </w:r>
      <w:r w:rsidR="00DD16D8">
        <w:t xml:space="preserve">and did not advance </w:t>
      </w:r>
      <w:r>
        <w:t>any compelling argument for the grant of leave to run it for the first time on appeal</w:t>
      </w:r>
      <w:r w:rsidR="00816393">
        <w:t>, n</w:t>
      </w:r>
      <w:r w:rsidR="00AF7ED5">
        <w:t>oting that counsel on appeal also appeared as counsel below</w:t>
      </w:r>
      <w:r w:rsidR="00B410F5">
        <w:t>.</w:t>
      </w:r>
      <w:r>
        <w:t xml:space="preserve"> </w:t>
      </w:r>
      <w:r w:rsidR="00816393">
        <w:t xml:space="preserve"> </w:t>
      </w:r>
      <w:r>
        <w:t>Leave to advance this discre</w:t>
      </w:r>
      <w:r w:rsidR="0025785B">
        <w:t>te</w:t>
      </w:r>
      <w:r>
        <w:t xml:space="preserve"> ground for the first time on appeal must therefore be refused.</w:t>
      </w:r>
    </w:p>
    <w:p w14:paraId="13CC9552" w14:textId="63E095C6" w:rsidR="006738FA" w:rsidRDefault="00F50BAB" w:rsidP="009C7764">
      <w:pPr>
        <w:pStyle w:val="Heading2"/>
      </w:pPr>
      <w:r>
        <w:t xml:space="preserve">Appeal ground 2 (grounds </w:t>
      </w:r>
      <w:r w:rsidR="00403F9A">
        <w:t>1 and 2</w:t>
      </w:r>
      <w:r w:rsidR="005F3C2C">
        <w:t xml:space="preserve"> below</w:t>
      </w:r>
      <w:r w:rsidR="00403F9A">
        <w:t>)</w:t>
      </w:r>
      <w:r w:rsidR="006019A8">
        <w:t xml:space="preserve"> </w:t>
      </w:r>
      <w:r w:rsidR="00B928AA">
        <w:t>–</w:t>
      </w:r>
      <w:r w:rsidR="006019A8">
        <w:t xml:space="preserve"> </w:t>
      </w:r>
      <w:r w:rsidR="00B928AA">
        <w:t>burden of proof</w:t>
      </w:r>
    </w:p>
    <w:p w14:paraId="08360C3B" w14:textId="5B662A71" w:rsidR="00D51202" w:rsidRDefault="00EA769B" w:rsidP="004F60EC">
      <w:pPr>
        <w:pStyle w:val="ParaNumbering"/>
      </w:pPr>
      <w:r>
        <w:t xml:space="preserve">After the primary judge summarised </w:t>
      </w:r>
      <w:r w:rsidR="00617622">
        <w:t xml:space="preserve">Mr </w:t>
      </w:r>
      <w:proofErr w:type="spellStart"/>
      <w:r w:rsidR="00617622">
        <w:t>Buzadzic’s</w:t>
      </w:r>
      <w:proofErr w:type="spellEnd"/>
      <w:r>
        <w:t xml:space="preserve"> submissions </w:t>
      </w:r>
      <w:r w:rsidR="000676B4">
        <w:t xml:space="preserve">before him </w:t>
      </w:r>
      <w:r w:rsidR="004C60F6">
        <w:t xml:space="preserve">in some detail </w:t>
      </w:r>
      <w:r w:rsidR="00A122A0">
        <w:t>at PJ</w:t>
      </w:r>
      <w:r w:rsidR="004C60F6">
        <w:t>[91]</w:t>
      </w:r>
      <w:r w:rsidR="00826312">
        <w:t xml:space="preserve">, his Honour </w:t>
      </w:r>
      <w:r w:rsidR="004C60F6">
        <w:t>at PJ[</w:t>
      </w:r>
      <w:r w:rsidR="009A0B56">
        <w:t xml:space="preserve">93] </w:t>
      </w:r>
      <w:r w:rsidR="00826312">
        <w:t xml:space="preserve">characterised the </w:t>
      </w:r>
      <w:r w:rsidR="005F1FBF">
        <w:t xml:space="preserve">thrust of grounds 1 and 2 </w:t>
      </w:r>
      <w:r w:rsidR="00FA6DB2">
        <w:t xml:space="preserve">below </w:t>
      </w:r>
      <w:r w:rsidR="005F1FBF">
        <w:t xml:space="preserve">as being a contention that </w:t>
      </w:r>
      <w:r w:rsidR="007502A3">
        <w:t xml:space="preserve">the Tribunal applied too high a standard of proof.  It became apparent on the appeal submissions that </w:t>
      </w:r>
      <w:r w:rsidR="0001078E">
        <w:t xml:space="preserve">the point being raised could more precisely be understood to be </w:t>
      </w:r>
      <w:r w:rsidR="009A0B56">
        <w:t xml:space="preserve">the flip side of that argument, being </w:t>
      </w:r>
      <w:r w:rsidR="0001078E">
        <w:t xml:space="preserve">an assertion that a </w:t>
      </w:r>
      <w:r w:rsidR="0001078E" w:rsidRPr="009A0B56">
        <w:rPr>
          <w:i/>
          <w:iCs/>
        </w:rPr>
        <w:t>lower quality</w:t>
      </w:r>
      <w:r w:rsidR="0001078E">
        <w:t xml:space="preserve"> of evidence </w:t>
      </w:r>
      <w:r w:rsidR="002929F0">
        <w:t xml:space="preserve">adduced by </w:t>
      </w:r>
      <w:r w:rsidR="002929F0" w:rsidRPr="00751EE4">
        <w:t>Mr Buzadzic</w:t>
      </w:r>
      <w:r w:rsidR="002929F0">
        <w:t xml:space="preserve"> </w:t>
      </w:r>
      <w:r w:rsidR="00806962">
        <w:t xml:space="preserve">should have been accepted as discharging the necessary civil onus of the balance </w:t>
      </w:r>
      <w:r w:rsidR="00806962">
        <w:lastRenderedPageBreak/>
        <w:t>of probabilities</w:t>
      </w:r>
      <w:r w:rsidR="00A30320">
        <w:t xml:space="preserve">.  This was </w:t>
      </w:r>
      <w:r w:rsidR="008C7789">
        <w:t xml:space="preserve">advanced </w:t>
      </w:r>
      <w:r w:rsidR="00432376">
        <w:t xml:space="preserve">in argument </w:t>
      </w:r>
      <w:r w:rsidR="00790B83">
        <w:t xml:space="preserve">as amounting </w:t>
      </w:r>
      <w:r w:rsidR="00432376">
        <w:t xml:space="preserve">in substance </w:t>
      </w:r>
      <w:r w:rsidR="00790B83">
        <w:t xml:space="preserve">to the existence of some lower standard of proof, itself an untenable proposition: see </w:t>
      </w:r>
      <w:r w:rsidR="00F1652C" w:rsidRPr="002E6A8F">
        <w:rPr>
          <w:i/>
        </w:rPr>
        <w:t>Neat Holdings Pty Ltd v Karajan Holdings Pty Ltd</w:t>
      </w:r>
      <w:r w:rsidR="00F1652C" w:rsidRPr="002E6A8F">
        <w:t xml:space="preserve"> [1992] HCA 66; 67 ALJR 170</w:t>
      </w:r>
      <w:r w:rsidR="00F1652C">
        <w:t xml:space="preserve"> at</w:t>
      </w:r>
      <w:r w:rsidR="00D901D1">
        <w:t xml:space="preserve"> 170-1</w:t>
      </w:r>
      <w:r w:rsidR="00790B83">
        <w:t xml:space="preserve">.  </w:t>
      </w:r>
    </w:p>
    <w:p w14:paraId="2461E96D" w14:textId="114E7244" w:rsidR="00962392" w:rsidRDefault="00C672FB" w:rsidP="004F60EC">
      <w:pPr>
        <w:pStyle w:val="ParaNumbering"/>
      </w:pPr>
      <w:r w:rsidRPr="00751EE4">
        <w:t>Mr </w:t>
      </w:r>
      <w:proofErr w:type="spellStart"/>
      <w:r w:rsidRPr="00751EE4">
        <w:t>Buzadzic</w:t>
      </w:r>
      <w:r>
        <w:t>’s</w:t>
      </w:r>
      <w:proofErr w:type="spellEnd"/>
      <w:r w:rsidR="00283DD3">
        <w:t xml:space="preserve"> submissions </w:t>
      </w:r>
      <w:r w:rsidR="007C63ED">
        <w:t xml:space="preserve">that a lower quality of evidence was necessary </w:t>
      </w:r>
      <w:r w:rsidR="00512800">
        <w:t xml:space="preserve">was </w:t>
      </w:r>
      <w:r w:rsidR="003A541B">
        <w:t xml:space="preserve">based </w:t>
      </w:r>
      <w:r w:rsidR="00512800">
        <w:t xml:space="preserve">on </w:t>
      </w:r>
      <w:r w:rsidR="00283DD3">
        <w:t>t</w:t>
      </w:r>
      <w:r w:rsidR="004F01C5">
        <w:t>he propos</w:t>
      </w:r>
      <w:r w:rsidR="00B064D5">
        <w:t>i</w:t>
      </w:r>
      <w:r w:rsidR="004F01C5">
        <w:t xml:space="preserve">tion </w:t>
      </w:r>
      <w:r w:rsidR="00B064D5">
        <w:t xml:space="preserve">that </w:t>
      </w:r>
      <w:r w:rsidR="00B4251F">
        <w:t xml:space="preserve">the point at which the onus was required to be discharged by </w:t>
      </w:r>
      <w:r w:rsidR="001F5B2C">
        <w:t>him</w:t>
      </w:r>
      <w:r w:rsidR="00B4251F">
        <w:t xml:space="preserve"> was after the time at which he was required to retain records to meet the substantiation </w:t>
      </w:r>
      <w:r w:rsidR="00730A2F">
        <w:t>requirements</w:t>
      </w:r>
      <w:r w:rsidR="00695644">
        <w:t xml:space="preserve"> for expense deduction claims</w:t>
      </w:r>
      <w:r w:rsidR="00730A2F">
        <w:t>, if called upon</w:t>
      </w:r>
      <w:r w:rsidR="00C41FBF">
        <w:t xml:space="preserve"> </w:t>
      </w:r>
      <w:r w:rsidR="002B12EC">
        <w:t xml:space="preserve">to do so </w:t>
      </w:r>
      <w:r w:rsidR="00C41FBF">
        <w:t>by the Commissioner</w:t>
      </w:r>
      <w:r w:rsidR="00AE2911">
        <w:t xml:space="preserve">. </w:t>
      </w:r>
      <w:r w:rsidR="00AE2911" w:rsidRPr="00AE2911">
        <w:t xml:space="preserve"> </w:t>
      </w:r>
      <w:r w:rsidR="008C3463">
        <w:t xml:space="preserve">There are a number of answers to this argument.  The first is </w:t>
      </w:r>
      <w:r w:rsidR="00962392">
        <w:t>provided by the Tribunal itself:</w:t>
      </w:r>
    </w:p>
    <w:p w14:paraId="604D8CA5" w14:textId="77777777" w:rsidR="00075D99" w:rsidRPr="00DE4486" w:rsidRDefault="00075D99" w:rsidP="00DE4486">
      <w:pPr>
        <w:pStyle w:val="Quote1"/>
        <w:rPr>
          <w:i/>
          <w:iCs/>
        </w:rPr>
      </w:pPr>
      <w:r w:rsidRPr="00DE4486">
        <w:rPr>
          <w:i/>
          <w:iCs/>
        </w:rPr>
        <w:t>Reasonableness of</w:t>
      </w:r>
      <w:r w:rsidRPr="00DE4486">
        <w:rPr>
          <w:i/>
          <w:iCs/>
          <w:spacing w:val="-1"/>
        </w:rPr>
        <w:t xml:space="preserve"> </w:t>
      </w:r>
      <w:r w:rsidRPr="00DE4486">
        <w:rPr>
          <w:i/>
          <w:iCs/>
        </w:rPr>
        <w:t>proof required/lack of</w:t>
      </w:r>
      <w:r w:rsidRPr="00DE4486">
        <w:rPr>
          <w:i/>
          <w:iCs/>
          <w:spacing w:val="2"/>
        </w:rPr>
        <w:t xml:space="preserve"> </w:t>
      </w:r>
      <w:r w:rsidRPr="00DE4486">
        <w:rPr>
          <w:i/>
          <w:iCs/>
          <w:spacing w:val="-2"/>
        </w:rPr>
        <w:t>documents</w:t>
      </w:r>
    </w:p>
    <w:p w14:paraId="3D83947D" w14:textId="14C11126" w:rsidR="00DE4486" w:rsidRDefault="00075D99" w:rsidP="00DE4486">
      <w:pPr>
        <w:pStyle w:val="Quote1"/>
      </w:pPr>
      <w:r>
        <w:rPr>
          <w:color w:val="212121"/>
        </w:rPr>
        <w:t>[108]</w:t>
      </w:r>
      <w:r>
        <w:rPr>
          <w:color w:val="212121"/>
        </w:rPr>
        <w:tab/>
        <w:t>The second general consideration concerns the reasonableness of the proofs required in the circumstances and an inability to produce documents.</w:t>
      </w:r>
      <w:r>
        <w:rPr>
          <w:color w:val="212121"/>
          <w:spacing w:val="40"/>
        </w:rPr>
        <w:t xml:space="preserve"> </w:t>
      </w:r>
      <w:r>
        <w:t>It was contended on behalf of the</w:t>
      </w:r>
      <w:r>
        <w:rPr>
          <w:spacing w:val="-4"/>
        </w:rPr>
        <w:t xml:space="preserve"> </w:t>
      </w:r>
      <w:r>
        <w:t>Applicants</w:t>
      </w:r>
      <w:r>
        <w:rPr>
          <w:spacing w:val="-8"/>
        </w:rPr>
        <w:t xml:space="preserve"> </w:t>
      </w:r>
      <w:r>
        <w:t>that</w:t>
      </w:r>
      <w:r>
        <w:rPr>
          <w:spacing w:val="-5"/>
        </w:rPr>
        <w:t xml:space="preserve"> </w:t>
      </w:r>
      <w:r>
        <w:t>no</w:t>
      </w:r>
      <w:r>
        <w:rPr>
          <w:spacing w:val="-7"/>
        </w:rPr>
        <w:t xml:space="preserve"> </w:t>
      </w:r>
      <w:r>
        <w:t>adverse</w:t>
      </w:r>
      <w:r>
        <w:rPr>
          <w:spacing w:val="-6"/>
        </w:rPr>
        <w:t xml:space="preserve"> </w:t>
      </w:r>
      <w:r>
        <w:t>finding</w:t>
      </w:r>
      <w:r>
        <w:rPr>
          <w:spacing w:val="-4"/>
        </w:rPr>
        <w:t xml:space="preserve"> </w:t>
      </w:r>
      <w:r>
        <w:t>should</w:t>
      </w:r>
      <w:r>
        <w:rPr>
          <w:spacing w:val="-4"/>
        </w:rPr>
        <w:t xml:space="preserve"> </w:t>
      </w:r>
      <w:r>
        <w:t>be</w:t>
      </w:r>
      <w:r>
        <w:rPr>
          <w:spacing w:val="-9"/>
        </w:rPr>
        <w:t xml:space="preserve"> </w:t>
      </w:r>
      <w:r>
        <w:t>made</w:t>
      </w:r>
      <w:r>
        <w:rPr>
          <w:spacing w:val="-7"/>
        </w:rPr>
        <w:t xml:space="preserve"> </w:t>
      </w:r>
      <w:r>
        <w:t>merely</w:t>
      </w:r>
      <w:r>
        <w:rPr>
          <w:spacing w:val="-6"/>
        </w:rPr>
        <w:t xml:space="preserve"> </w:t>
      </w:r>
      <w:r>
        <w:t>because</w:t>
      </w:r>
      <w:r>
        <w:rPr>
          <w:spacing w:val="-7"/>
        </w:rPr>
        <w:t xml:space="preserve"> </w:t>
      </w:r>
      <w:r>
        <w:t>the</w:t>
      </w:r>
      <w:r>
        <w:rPr>
          <w:spacing w:val="-4"/>
        </w:rPr>
        <w:t xml:space="preserve"> </w:t>
      </w:r>
      <w:r>
        <w:t>Applicants</w:t>
      </w:r>
      <w:r>
        <w:rPr>
          <w:spacing w:val="-6"/>
        </w:rPr>
        <w:t xml:space="preserve"> </w:t>
      </w:r>
      <w:r>
        <w:t>were unable</w:t>
      </w:r>
      <w:r>
        <w:rPr>
          <w:spacing w:val="67"/>
        </w:rPr>
        <w:t xml:space="preserve"> </w:t>
      </w:r>
      <w:r>
        <w:t>to</w:t>
      </w:r>
      <w:r>
        <w:rPr>
          <w:spacing w:val="67"/>
        </w:rPr>
        <w:t xml:space="preserve"> </w:t>
      </w:r>
      <w:r>
        <w:t>produce</w:t>
      </w:r>
      <w:r>
        <w:rPr>
          <w:spacing w:val="64"/>
        </w:rPr>
        <w:t xml:space="preserve"> </w:t>
      </w:r>
      <w:r>
        <w:t>contemporaneous</w:t>
      </w:r>
      <w:r>
        <w:rPr>
          <w:spacing w:val="64"/>
        </w:rPr>
        <w:t xml:space="preserve"> </w:t>
      </w:r>
      <w:r>
        <w:t>records.</w:t>
      </w:r>
      <w:r>
        <w:rPr>
          <w:spacing w:val="68"/>
        </w:rPr>
        <w:t xml:space="preserve"> </w:t>
      </w:r>
      <w:r>
        <w:rPr>
          <w:color w:val="212121"/>
        </w:rPr>
        <w:t>The</w:t>
      </w:r>
      <w:r>
        <w:rPr>
          <w:color w:val="212121"/>
          <w:spacing w:val="64"/>
        </w:rPr>
        <w:t xml:space="preserve"> </w:t>
      </w:r>
      <w:r>
        <w:rPr>
          <w:color w:val="212121"/>
        </w:rPr>
        <w:t>submission</w:t>
      </w:r>
      <w:r>
        <w:rPr>
          <w:color w:val="212121"/>
          <w:spacing w:val="67"/>
        </w:rPr>
        <w:t xml:space="preserve"> </w:t>
      </w:r>
      <w:r>
        <w:rPr>
          <w:color w:val="212121"/>
        </w:rPr>
        <w:t>was</w:t>
      </w:r>
      <w:r>
        <w:rPr>
          <w:color w:val="212121"/>
          <w:spacing w:val="67"/>
        </w:rPr>
        <w:t xml:space="preserve"> </w:t>
      </w:r>
      <w:r>
        <w:rPr>
          <w:color w:val="212121"/>
        </w:rPr>
        <w:t>that</w:t>
      </w:r>
      <w:r>
        <w:rPr>
          <w:color w:val="212121"/>
          <w:spacing w:val="68"/>
        </w:rPr>
        <w:t xml:space="preserve"> </w:t>
      </w:r>
      <w:r>
        <w:rPr>
          <w:color w:val="212121"/>
        </w:rPr>
        <w:t>it</w:t>
      </w:r>
      <w:r>
        <w:rPr>
          <w:color w:val="212121"/>
          <w:spacing w:val="68"/>
        </w:rPr>
        <w:t xml:space="preserve"> </w:t>
      </w:r>
      <w:r>
        <w:rPr>
          <w:color w:val="212121"/>
        </w:rPr>
        <w:t>was</w:t>
      </w:r>
      <w:r>
        <w:rPr>
          <w:color w:val="212121"/>
          <w:spacing w:val="67"/>
        </w:rPr>
        <w:t xml:space="preserve"> </w:t>
      </w:r>
      <w:r>
        <w:rPr>
          <w:color w:val="212121"/>
        </w:rPr>
        <w:t>not</w:t>
      </w:r>
      <w:r w:rsidR="00DE4486">
        <w:rPr>
          <w:color w:val="212121"/>
        </w:rPr>
        <w:t xml:space="preserve"> reasonable to expect a person to</w:t>
      </w:r>
      <w:r w:rsidR="00DE4486">
        <w:rPr>
          <w:color w:val="212121"/>
          <w:spacing w:val="-2"/>
        </w:rPr>
        <w:t xml:space="preserve"> </w:t>
      </w:r>
      <w:r w:rsidR="00DE4486">
        <w:rPr>
          <w:color w:val="212121"/>
        </w:rPr>
        <w:t>retain records of personal transactions</w:t>
      </w:r>
      <w:r w:rsidR="00DE4486">
        <w:rPr>
          <w:color w:val="212121"/>
          <w:spacing w:val="-2"/>
        </w:rPr>
        <w:t xml:space="preserve"> </w:t>
      </w:r>
      <w:r w:rsidR="00DE4486">
        <w:rPr>
          <w:color w:val="212121"/>
        </w:rPr>
        <w:t>(such as a private sale</w:t>
      </w:r>
      <w:r w:rsidR="00DE4486">
        <w:rPr>
          <w:color w:val="212121"/>
          <w:spacing w:val="-5"/>
        </w:rPr>
        <w:t xml:space="preserve"> </w:t>
      </w:r>
      <w:r w:rsidR="00DE4486">
        <w:rPr>
          <w:color w:val="212121"/>
        </w:rPr>
        <w:t>of</w:t>
      </w:r>
      <w:r w:rsidR="00DE4486">
        <w:rPr>
          <w:color w:val="212121"/>
          <w:spacing w:val="-4"/>
        </w:rPr>
        <w:t xml:space="preserve"> </w:t>
      </w:r>
      <w:r w:rsidR="00DE4486">
        <w:rPr>
          <w:color w:val="212121"/>
        </w:rPr>
        <w:t>furniture)</w:t>
      </w:r>
      <w:r w:rsidR="00DE4486">
        <w:rPr>
          <w:color w:val="212121"/>
          <w:spacing w:val="-9"/>
        </w:rPr>
        <w:t xml:space="preserve"> </w:t>
      </w:r>
      <w:r w:rsidR="00DE4486">
        <w:rPr>
          <w:color w:val="212121"/>
        </w:rPr>
        <w:t>for</w:t>
      </w:r>
      <w:r w:rsidR="00DE4486">
        <w:rPr>
          <w:color w:val="212121"/>
          <w:spacing w:val="-4"/>
        </w:rPr>
        <w:t xml:space="preserve"> </w:t>
      </w:r>
      <w:r w:rsidR="00DE4486">
        <w:rPr>
          <w:color w:val="212121"/>
        </w:rPr>
        <w:t>an</w:t>
      </w:r>
      <w:r w:rsidR="00DE4486">
        <w:rPr>
          <w:color w:val="212121"/>
          <w:spacing w:val="-8"/>
        </w:rPr>
        <w:t xml:space="preserve"> </w:t>
      </w:r>
      <w:r w:rsidR="00DE4486">
        <w:rPr>
          <w:color w:val="212121"/>
        </w:rPr>
        <w:t>indefinite</w:t>
      </w:r>
      <w:r w:rsidR="00DE4486">
        <w:rPr>
          <w:color w:val="212121"/>
          <w:spacing w:val="-5"/>
        </w:rPr>
        <w:t xml:space="preserve"> </w:t>
      </w:r>
      <w:r w:rsidR="00DE4486">
        <w:rPr>
          <w:color w:val="212121"/>
        </w:rPr>
        <w:t>period</w:t>
      </w:r>
      <w:r w:rsidR="00DE4486">
        <w:rPr>
          <w:color w:val="212121"/>
          <w:spacing w:val="-1"/>
        </w:rPr>
        <w:t xml:space="preserve"> </w:t>
      </w:r>
      <w:r w:rsidR="00DE4486">
        <w:rPr>
          <w:color w:val="212121"/>
        </w:rPr>
        <w:t>and</w:t>
      </w:r>
      <w:r w:rsidR="00DE4486">
        <w:rPr>
          <w:color w:val="212121"/>
          <w:spacing w:val="-7"/>
        </w:rPr>
        <w:t xml:space="preserve"> </w:t>
      </w:r>
      <w:r w:rsidR="00DE4486">
        <w:t>that</w:t>
      </w:r>
      <w:r w:rsidR="00DE4486">
        <w:rPr>
          <w:spacing w:val="-4"/>
        </w:rPr>
        <w:t xml:space="preserve"> </w:t>
      </w:r>
      <w:r w:rsidR="00DE4486">
        <w:t>no</w:t>
      </w:r>
      <w:r w:rsidR="00DE4486">
        <w:rPr>
          <w:spacing w:val="-5"/>
        </w:rPr>
        <w:t xml:space="preserve"> </w:t>
      </w:r>
      <w:r w:rsidR="00DE4486">
        <w:t>adverse</w:t>
      </w:r>
      <w:r w:rsidR="00DE4486">
        <w:rPr>
          <w:spacing w:val="-7"/>
        </w:rPr>
        <w:t xml:space="preserve"> </w:t>
      </w:r>
      <w:r w:rsidR="00DE4486">
        <w:t>finding</w:t>
      </w:r>
      <w:r w:rsidR="00DE4486">
        <w:rPr>
          <w:spacing w:val="-2"/>
        </w:rPr>
        <w:t xml:space="preserve"> </w:t>
      </w:r>
      <w:r w:rsidR="00DE4486">
        <w:t>should</w:t>
      </w:r>
      <w:r w:rsidR="00DE4486">
        <w:rPr>
          <w:spacing w:val="-8"/>
        </w:rPr>
        <w:t xml:space="preserve"> </w:t>
      </w:r>
      <w:r w:rsidR="00DE4486">
        <w:t>be</w:t>
      </w:r>
      <w:r w:rsidR="00DE4486">
        <w:rPr>
          <w:spacing w:val="-5"/>
        </w:rPr>
        <w:t xml:space="preserve"> </w:t>
      </w:r>
      <w:r w:rsidR="00DE4486">
        <w:t>made</w:t>
      </w:r>
      <w:r w:rsidR="00DE4486">
        <w:rPr>
          <w:spacing w:val="-8"/>
        </w:rPr>
        <w:t xml:space="preserve"> </w:t>
      </w:r>
      <w:r w:rsidR="00DE4486">
        <w:t>merely because the Applicants were unable to produce contemporaneous records.</w:t>
      </w:r>
    </w:p>
    <w:p w14:paraId="214179EF" w14:textId="00128D5F" w:rsidR="00075D99" w:rsidRDefault="00DE4486" w:rsidP="00DE4486">
      <w:pPr>
        <w:pStyle w:val="Quote1"/>
      </w:pPr>
      <w:r>
        <w:rPr>
          <w:color w:val="212121"/>
        </w:rPr>
        <w:t>[109]</w:t>
      </w:r>
      <w:r>
        <w:rPr>
          <w:color w:val="212121"/>
        </w:rPr>
        <w:tab/>
        <w:t>While that proposition might be of some influence in some cases, the obligation and expectation</w:t>
      </w:r>
      <w:r>
        <w:rPr>
          <w:color w:val="212121"/>
          <w:spacing w:val="-3"/>
        </w:rPr>
        <w:t xml:space="preserve"> </w:t>
      </w:r>
      <w:r>
        <w:rPr>
          <w:color w:val="212121"/>
        </w:rPr>
        <w:t>to</w:t>
      </w:r>
      <w:r>
        <w:rPr>
          <w:color w:val="212121"/>
          <w:spacing w:val="-3"/>
        </w:rPr>
        <w:t xml:space="preserve"> </w:t>
      </w:r>
      <w:r>
        <w:rPr>
          <w:color w:val="212121"/>
        </w:rPr>
        <w:t>retain</w:t>
      </w:r>
      <w:r>
        <w:rPr>
          <w:color w:val="212121"/>
          <w:spacing w:val="-1"/>
        </w:rPr>
        <w:t xml:space="preserve"> </w:t>
      </w:r>
      <w:r>
        <w:rPr>
          <w:color w:val="212121"/>
        </w:rPr>
        <w:t>a</w:t>
      </w:r>
      <w:r>
        <w:rPr>
          <w:color w:val="212121"/>
          <w:spacing w:val="-3"/>
        </w:rPr>
        <w:t xml:space="preserve"> </w:t>
      </w:r>
      <w:r>
        <w:rPr>
          <w:color w:val="212121"/>
        </w:rPr>
        <w:t>document</w:t>
      </w:r>
      <w:r>
        <w:rPr>
          <w:color w:val="212121"/>
          <w:spacing w:val="-1"/>
        </w:rPr>
        <w:t xml:space="preserve"> </w:t>
      </w:r>
      <w:r>
        <w:rPr>
          <w:color w:val="212121"/>
        </w:rPr>
        <w:t>does not</w:t>
      </w:r>
      <w:r>
        <w:rPr>
          <w:color w:val="212121"/>
          <w:spacing w:val="-2"/>
        </w:rPr>
        <w:t xml:space="preserve"> </w:t>
      </w:r>
      <w:r>
        <w:rPr>
          <w:color w:val="212121"/>
        </w:rPr>
        <w:t>exist in</w:t>
      </w:r>
      <w:r>
        <w:rPr>
          <w:color w:val="212121"/>
          <w:spacing w:val="-1"/>
        </w:rPr>
        <w:t xml:space="preserve"> </w:t>
      </w:r>
      <w:r>
        <w:rPr>
          <w:color w:val="212121"/>
        </w:rPr>
        <w:t>a</w:t>
      </w:r>
      <w:r>
        <w:rPr>
          <w:color w:val="212121"/>
          <w:spacing w:val="-3"/>
        </w:rPr>
        <w:t xml:space="preserve"> </w:t>
      </w:r>
      <w:r>
        <w:rPr>
          <w:color w:val="212121"/>
        </w:rPr>
        <w:t>vacuum.</w:t>
      </w:r>
      <w:r>
        <w:rPr>
          <w:color w:val="212121"/>
          <w:spacing w:val="40"/>
        </w:rPr>
        <w:t xml:space="preserve"> </w:t>
      </w:r>
      <w:r>
        <w:rPr>
          <w:color w:val="212121"/>
        </w:rPr>
        <w:t>Much</w:t>
      </w:r>
      <w:r>
        <w:rPr>
          <w:color w:val="212121"/>
          <w:spacing w:val="-1"/>
        </w:rPr>
        <w:t xml:space="preserve"> </w:t>
      </w:r>
      <w:r>
        <w:rPr>
          <w:color w:val="212121"/>
        </w:rPr>
        <w:t>depends on</w:t>
      </w:r>
      <w:r>
        <w:rPr>
          <w:color w:val="212121"/>
          <w:spacing w:val="-5"/>
        </w:rPr>
        <w:t xml:space="preserve"> </w:t>
      </w:r>
      <w:r>
        <w:rPr>
          <w:color w:val="212121"/>
        </w:rPr>
        <w:t>the</w:t>
      </w:r>
      <w:r>
        <w:rPr>
          <w:color w:val="212121"/>
          <w:spacing w:val="-3"/>
        </w:rPr>
        <w:t xml:space="preserve"> </w:t>
      </w:r>
      <w:r>
        <w:rPr>
          <w:color w:val="212121"/>
        </w:rPr>
        <w:t>nature of the transaction and whether it is of a kind that would result in retention of documents in the circumstances.</w:t>
      </w:r>
      <w:r>
        <w:rPr>
          <w:color w:val="212121"/>
          <w:spacing w:val="40"/>
        </w:rPr>
        <w:t xml:space="preserve"> </w:t>
      </w:r>
      <w:r>
        <w:rPr>
          <w:color w:val="212121"/>
        </w:rPr>
        <w:t>This is not a case where a taxpayer has been assessed because they have failed to produce a supporting record in respect of a single isolated deposit which might have been explained by private transactions some time ago for which records are inherently unlikely to have been retained, and are potentially unobtainable when the time comes to establish their character and provenance some years after the event.</w:t>
      </w:r>
      <w:r>
        <w:rPr>
          <w:color w:val="212121"/>
          <w:spacing w:val="40"/>
        </w:rPr>
        <w:t xml:space="preserve"> </w:t>
      </w:r>
      <w:r>
        <w:rPr>
          <w:color w:val="212121"/>
        </w:rPr>
        <w:t>The evidence, or lack of it, in the present matter needs to be seen in the context of the pattern of conduct, the manner in which Mr Buzadzic conducted his affairs, the number of discrepancies,</w:t>
      </w:r>
      <w:r>
        <w:rPr>
          <w:color w:val="212121"/>
          <w:spacing w:val="-5"/>
        </w:rPr>
        <w:t xml:space="preserve"> </w:t>
      </w:r>
      <w:r>
        <w:rPr>
          <w:color w:val="212121"/>
        </w:rPr>
        <w:t>the</w:t>
      </w:r>
      <w:r>
        <w:rPr>
          <w:color w:val="212121"/>
          <w:spacing w:val="-4"/>
        </w:rPr>
        <w:t xml:space="preserve"> </w:t>
      </w:r>
      <w:r>
        <w:rPr>
          <w:color w:val="212121"/>
        </w:rPr>
        <w:t>size</w:t>
      </w:r>
      <w:r>
        <w:rPr>
          <w:color w:val="212121"/>
          <w:spacing w:val="-2"/>
        </w:rPr>
        <w:t xml:space="preserve"> </w:t>
      </w:r>
      <w:r>
        <w:rPr>
          <w:color w:val="212121"/>
        </w:rPr>
        <w:t>of</w:t>
      </w:r>
      <w:r>
        <w:rPr>
          <w:color w:val="212121"/>
          <w:spacing w:val="-3"/>
        </w:rPr>
        <w:t xml:space="preserve"> </w:t>
      </w:r>
      <w:r>
        <w:rPr>
          <w:color w:val="212121"/>
        </w:rPr>
        <w:t>the</w:t>
      </w:r>
      <w:r>
        <w:rPr>
          <w:color w:val="212121"/>
          <w:spacing w:val="-4"/>
        </w:rPr>
        <w:t xml:space="preserve"> </w:t>
      </w:r>
      <w:r>
        <w:rPr>
          <w:color w:val="212121"/>
        </w:rPr>
        <w:t>discrepancies</w:t>
      </w:r>
      <w:r>
        <w:rPr>
          <w:color w:val="212121"/>
          <w:spacing w:val="-7"/>
        </w:rPr>
        <w:t xml:space="preserve"> </w:t>
      </w:r>
      <w:r>
        <w:rPr>
          <w:color w:val="212121"/>
        </w:rPr>
        <w:t>(bearing</w:t>
      </w:r>
      <w:r>
        <w:rPr>
          <w:color w:val="212121"/>
          <w:spacing w:val="-2"/>
        </w:rPr>
        <w:t xml:space="preserve"> </w:t>
      </w:r>
      <w:r>
        <w:rPr>
          <w:color w:val="212121"/>
        </w:rPr>
        <w:t>in</w:t>
      </w:r>
      <w:r>
        <w:rPr>
          <w:color w:val="212121"/>
          <w:spacing w:val="-4"/>
        </w:rPr>
        <w:t xml:space="preserve"> </w:t>
      </w:r>
      <w:r>
        <w:rPr>
          <w:color w:val="212121"/>
        </w:rPr>
        <w:t>mind</w:t>
      </w:r>
      <w:r>
        <w:rPr>
          <w:color w:val="212121"/>
          <w:spacing w:val="-7"/>
        </w:rPr>
        <w:t xml:space="preserve"> </w:t>
      </w:r>
      <w:r>
        <w:rPr>
          <w:color w:val="212121"/>
        </w:rPr>
        <w:t>that</w:t>
      </w:r>
      <w:r>
        <w:rPr>
          <w:color w:val="212121"/>
          <w:spacing w:val="-5"/>
        </w:rPr>
        <w:t xml:space="preserve"> </w:t>
      </w:r>
      <w:r>
        <w:rPr>
          <w:color w:val="212121"/>
        </w:rPr>
        <w:t>the</w:t>
      </w:r>
      <w:r>
        <w:rPr>
          <w:color w:val="212121"/>
          <w:spacing w:val="-4"/>
        </w:rPr>
        <w:t xml:space="preserve"> </w:t>
      </w:r>
      <w:r>
        <w:rPr>
          <w:color w:val="212121"/>
        </w:rPr>
        <w:t>Commissioner</w:t>
      </w:r>
      <w:r>
        <w:rPr>
          <w:color w:val="212121"/>
          <w:spacing w:val="-3"/>
        </w:rPr>
        <w:t xml:space="preserve"> </w:t>
      </w:r>
      <w:r>
        <w:rPr>
          <w:color w:val="212121"/>
        </w:rPr>
        <w:t>did</w:t>
      </w:r>
      <w:r>
        <w:rPr>
          <w:color w:val="212121"/>
          <w:spacing w:val="-2"/>
        </w:rPr>
        <w:t xml:space="preserve"> </w:t>
      </w:r>
      <w:r>
        <w:rPr>
          <w:color w:val="212121"/>
        </w:rPr>
        <w:t>not seek explanations</w:t>
      </w:r>
      <w:r>
        <w:rPr>
          <w:color w:val="212121"/>
          <w:spacing w:val="-2"/>
        </w:rPr>
        <w:t xml:space="preserve"> </w:t>
      </w:r>
      <w:r>
        <w:rPr>
          <w:color w:val="212121"/>
        </w:rPr>
        <w:t>for</w:t>
      </w:r>
      <w:r>
        <w:rPr>
          <w:color w:val="212121"/>
          <w:spacing w:val="-1"/>
        </w:rPr>
        <w:t xml:space="preserve"> </w:t>
      </w:r>
      <w:r>
        <w:rPr>
          <w:color w:val="212121"/>
        </w:rPr>
        <w:t>and did not</w:t>
      </w:r>
      <w:r>
        <w:rPr>
          <w:color w:val="212121"/>
          <w:spacing w:val="-3"/>
        </w:rPr>
        <w:t xml:space="preserve"> </w:t>
      </w:r>
      <w:r>
        <w:rPr>
          <w:color w:val="212121"/>
        </w:rPr>
        <w:t>question</w:t>
      </w:r>
      <w:r>
        <w:rPr>
          <w:color w:val="212121"/>
          <w:spacing w:val="-2"/>
        </w:rPr>
        <w:t xml:space="preserve"> </w:t>
      </w:r>
      <w:r>
        <w:rPr>
          <w:color w:val="212121"/>
        </w:rPr>
        <w:t>transactions of less</w:t>
      </w:r>
      <w:r>
        <w:rPr>
          <w:color w:val="212121"/>
          <w:spacing w:val="-1"/>
        </w:rPr>
        <w:t xml:space="preserve"> </w:t>
      </w:r>
      <w:r>
        <w:rPr>
          <w:color w:val="212121"/>
        </w:rPr>
        <w:t>than</w:t>
      </w:r>
      <w:r>
        <w:rPr>
          <w:color w:val="212121"/>
          <w:spacing w:val="-2"/>
        </w:rPr>
        <w:t xml:space="preserve"> </w:t>
      </w:r>
      <w:r>
        <w:rPr>
          <w:color w:val="212121"/>
        </w:rPr>
        <w:t>$1,000) and</w:t>
      </w:r>
      <w:r>
        <w:rPr>
          <w:color w:val="212121"/>
          <w:spacing w:val="-4"/>
        </w:rPr>
        <w:t xml:space="preserve"> </w:t>
      </w:r>
      <w:r>
        <w:rPr>
          <w:color w:val="212121"/>
        </w:rPr>
        <w:t>the period over which the discrepancies were identified.</w:t>
      </w:r>
      <w:r>
        <w:rPr>
          <w:color w:val="212121"/>
          <w:spacing w:val="40"/>
        </w:rPr>
        <w:t xml:space="preserve"> </w:t>
      </w:r>
      <w:r>
        <w:rPr>
          <w:color w:val="212121"/>
        </w:rPr>
        <w:t>The present circumstances include three trusts</w:t>
      </w:r>
      <w:r>
        <w:rPr>
          <w:color w:val="212121"/>
          <w:spacing w:val="-4"/>
        </w:rPr>
        <w:t xml:space="preserve"> </w:t>
      </w:r>
      <w:r>
        <w:rPr>
          <w:color w:val="212121"/>
        </w:rPr>
        <w:t>and</w:t>
      </w:r>
      <w:r>
        <w:rPr>
          <w:color w:val="212121"/>
          <w:spacing w:val="-4"/>
        </w:rPr>
        <w:t xml:space="preserve"> </w:t>
      </w:r>
      <w:r>
        <w:rPr>
          <w:color w:val="212121"/>
        </w:rPr>
        <w:t>16</w:t>
      </w:r>
      <w:r>
        <w:rPr>
          <w:color w:val="212121"/>
          <w:spacing w:val="-4"/>
        </w:rPr>
        <w:t xml:space="preserve"> </w:t>
      </w:r>
      <w:r>
        <w:rPr>
          <w:color w:val="212121"/>
        </w:rPr>
        <w:t>companies</w:t>
      </w:r>
      <w:r>
        <w:rPr>
          <w:color w:val="212121"/>
          <w:spacing w:val="-7"/>
        </w:rPr>
        <w:t xml:space="preserve"> </w:t>
      </w:r>
      <w:r>
        <w:rPr>
          <w:color w:val="212121"/>
        </w:rPr>
        <w:t>with</w:t>
      </w:r>
      <w:r>
        <w:rPr>
          <w:color w:val="212121"/>
          <w:spacing w:val="-2"/>
        </w:rPr>
        <w:t xml:space="preserve"> </w:t>
      </w:r>
      <w:r>
        <w:rPr>
          <w:color w:val="212121"/>
        </w:rPr>
        <w:t>which</w:t>
      </w:r>
      <w:r>
        <w:rPr>
          <w:color w:val="212121"/>
          <w:spacing w:val="-2"/>
        </w:rPr>
        <w:t xml:space="preserve"> </w:t>
      </w:r>
      <w:r>
        <w:rPr>
          <w:color w:val="212121"/>
        </w:rPr>
        <w:t>Mr</w:t>
      </w:r>
      <w:r>
        <w:rPr>
          <w:color w:val="212121"/>
          <w:spacing w:val="-1"/>
        </w:rPr>
        <w:t xml:space="preserve"> </w:t>
      </w:r>
      <w:r>
        <w:rPr>
          <w:color w:val="212121"/>
        </w:rPr>
        <w:t>Buzadzic</w:t>
      </w:r>
      <w:r>
        <w:rPr>
          <w:color w:val="212121"/>
          <w:spacing w:val="-1"/>
        </w:rPr>
        <w:t xml:space="preserve"> </w:t>
      </w:r>
      <w:r>
        <w:rPr>
          <w:color w:val="212121"/>
        </w:rPr>
        <w:t>was</w:t>
      </w:r>
      <w:r>
        <w:rPr>
          <w:color w:val="212121"/>
          <w:spacing w:val="-2"/>
        </w:rPr>
        <w:t xml:space="preserve"> </w:t>
      </w:r>
      <w:r>
        <w:rPr>
          <w:color w:val="212121"/>
        </w:rPr>
        <w:t>associated,</w:t>
      </w:r>
      <w:r>
        <w:rPr>
          <w:color w:val="212121"/>
          <w:spacing w:val="-3"/>
        </w:rPr>
        <w:t xml:space="preserve"> </w:t>
      </w:r>
      <w:r>
        <w:rPr>
          <w:color w:val="212121"/>
        </w:rPr>
        <w:t>repeated</w:t>
      </w:r>
      <w:r>
        <w:rPr>
          <w:color w:val="212121"/>
          <w:spacing w:val="-2"/>
        </w:rPr>
        <w:t xml:space="preserve"> </w:t>
      </w:r>
      <w:r>
        <w:rPr>
          <w:color w:val="212121"/>
        </w:rPr>
        <w:t>intermingling</w:t>
      </w:r>
      <w:r>
        <w:rPr>
          <w:color w:val="212121"/>
          <w:spacing w:val="-2"/>
        </w:rPr>
        <w:t xml:space="preserve"> </w:t>
      </w:r>
      <w:r>
        <w:rPr>
          <w:color w:val="212121"/>
        </w:rPr>
        <w:t>of substantial</w:t>
      </w:r>
      <w:r>
        <w:rPr>
          <w:color w:val="212121"/>
          <w:spacing w:val="-3"/>
        </w:rPr>
        <w:t xml:space="preserve"> </w:t>
      </w:r>
      <w:r>
        <w:rPr>
          <w:color w:val="212121"/>
        </w:rPr>
        <w:t>volume</w:t>
      </w:r>
      <w:r>
        <w:rPr>
          <w:color w:val="212121"/>
          <w:spacing w:val="-4"/>
        </w:rPr>
        <w:t xml:space="preserve"> </w:t>
      </w:r>
      <w:r>
        <w:rPr>
          <w:color w:val="212121"/>
        </w:rPr>
        <w:t>and</w:t>
      </w:r>
      <w:r>
        <w:rPr>
          <w:color w:val="212121"/>
          <w:spacing w:val="-4"/>
        </w:rPr>
        <w:t xml:space="preserve"> </w:t>
      </w:r>
      <w:r>
        <w:rPr>
          <w:color w:val="212121"/>
        </w:rPr>
        <w:t>value</w:t>
      </w:r>
      <w:r>
        <w:rPr>
          <w:color w:val="212121"/>
          <w:spacing w:val="-2"/>
        </w:rPr>
        <w:t xml:space="preserve"> </w:t>
      </w:r>
      <w:r>
        <w:rPr>
          <w:color w:val="212121"/>
        </w:rPr>
        <w:t>of</w:t>
      </w:r>
      <w:r>
        <w:rPr>
          <w:color w:val="212121"/>
          <w:spacing w:val="-1"/>
        </w:rPr>
        <w:t xml:space="preserve"> </w:t>
      </w:r>
      <w:r>
        <w:rPr>
          <w:color w:val="212121"/>
        </w:rPr>
        <w:t>business</w:t>
      </w:r>
      <w:r>
        <w:rPr>
          <w:color w:val="212121"/>
          <w:spacing w:val="-4"/>
        </w:rPr>
        <w:t xml:space="preserve"> </w:t>
      </w:r>
      <w:r>
        <w:rPr>
          <w:color w:val="212121"/>
        </w:rPr>
        <w:t>transactions</w:t>
      </w:r>
      <w:r>
        <w:rPr>
          <w:color w:val="212121"/>
          <w:spacing w:val="-1"/>
        </w:rPr>
        <w:t xml:space="preserve"> </w:t>
      </w:r>
      <w:r>
        <w:rPr>
          <w:color w:val="212121"/>
        </w:rPr>
        <w:t>with</w:t>
      </w:r>
      <w:r>
        <w:rPr>
          <w:color w:val="212121"/>
          <w:spacing w:val="-2"/>
        </w:rPr>
        <w:t xml:space="preserve"> </w:t>
      </w:r>
      <w:r>
        <w:rPr>
          <w:color w:val="212121"/>
        </w:rPr>
        <w:t>private</w:t>
      </w:r>
      <w:r>
        <w:rPr>
          <w:color w:val="212121"/>
          <w:spacing w:val="-1"/>
        </w:rPr>
        <w:t xml:space="preserve"> </w:t>
      </w:r>
      <w:r>
        <w:rPr>
          <w:color w:val="212121"/>
        </w:rPr>
        <w:t>arrangements,</w:t>
      </w:r>
      <w:r>
        <w:rPr>
          <w:color w:val="212121"/>
          <w:spacing w:val="-3"/>
        </w:rPr>
        <w:t xml:space="preserve"> </w:t>
      </w:r>
      <w:r>
        <w:rPr>
          <w:color w:val="212121"/>
        </w:rPr>
        <w:t>repeated intermingling</w:t>
      </w:r>
      <w:r>
        <w:rPr>
          <w:color w:val="212121"/>
          <w:spacing w:val="-1"/>
        </w:rPr>
        <w:t xml:space="preserve"> </w:t>
      </w:r>
      <w:r>
        <w:rPr>
          <w:color w:val="212121"/>
        </w:rPr>
        <w:t>of</w:t>
      </w:r>
      <w:r>
        <w:rPr>
          <w:color w:val="212121"/>
          <w:spacing w:val="-2"/>
        </w:rPr>
        <w:t xml:space="preserve"> </w:t>
      </w:r>
      <w:r>
        <w:rPr>
          <w:color w:val="212121"/>
        </w:rPr>
        <w:t>funds</w:t>
      </w:r>
      <w:r>
        <w:rPr>
          <w:color w:val="212121"/>
          <w:spacing w:val="-3"/>
        </w:rPr>
        <w:t xml:space="preserve"> </w:t>
      </w:r>
      <w:r>
        <w:rPr>
          <w:color w:val="212121"/>
        </w:rPr>
        <w:t>of</w:t>
      </w:r>
      <w:r>
        <w:rPr>
          <w:color w:val="212121"/>
          <w:spacing w:val="-2"/>
        </w:rPr>
        <w:t xml:space="preserve"> </w:t>
      </w:r>
      <w:r>
        <w:rPr>
          <w:color w:val="212121"/>
        </w:rPr>
        <w:t>separate</w:t>
      </w:r>
      <w:r>
        <w:rPr>
          <w:color w:val="212121"/>
          <w:spacing w:val="-3"/>
        </w:rPr>
        <w:t xml:space="preserve"> </w:t>
      </w:r>
      <w:r>
        <w:rPr>
          <w:color w:val="212121"/>
        </w:rPr>
        <w:t>businesses</w:t>
      </w:r>
      <w:r>
        <w:rPr>
          <w:color w:val="212121"/>
          <w:spacing w:val="-1"/>
        </w:rPr>
        <w:t xml:space="preserve"> </w:t>
      </w:r>
      <w:r>
        <w:rPr>
          <w:color w:val="212121"/>
        </w:rPr>
        <w:t>and</w:t>
      </w:r>
      <w:r>
        <w:rPr>
          <w:color w:val="212121"/>
          <w:spacing w:val="-3"/>
        </w:rPr>
        <w:t xml:space="preserve"> </w:t>
      </w:r>
      <w:r>
        <w:rPr>
          <w:color w:val="212121"/>
        </w:rPr>
        <w:t>their</w:t>
      </w:r>
      <w:r>
        <w:rPr>
          <w:color w:val="212121"/>
          <w:spacing w:val="-2"/>
        </w:rPr>
        <w:t xml:space="preserve"> </w:t>
      </w:r>
      <w:r>
        <w:rPr>
          <w:color w:val="212121"/>
        </w:rPr>
        <w:t>owners and</w:t>
      </w:r>
      <w:r>
        <w:rPr>
          <w:color w:val="212121"/>
          <w:spacing w:val="-1"/>
        </w:rPr>
        <w:t xml:space="preserve"> </w:t>
      </w:r>
      <w:r>
        <w:rPr>
          <w:color w:val="212121"/>
        </w:rPr>
        <w:t>an</w:t>
      </w:r>
      <w:r>
        <w:rPr>
          <w:color w:val="212121"/>
          <w:spacing w:val="-1"/>
        </w:rPr>
        <w:t xml:space="preserve"> </w:t>
      </w:r>
      <w:r>
        <w:rPr>
          <w:color w:val="212121"/>
        </w:rPr>
        <w:t>apparent</w:t>
      </w:r>
      <w:r>
        <w:rPr>
          <w:color w:val="212121"/>
          <w:spacing w:val="-2"/>
        </w:rPr>
        <w:t xml:space="preserve"> </w:t>
      </w:r>
      <w:r>
        <w:rPr>
          <w:color w:val="212121"/>
        </w:rPr>
        <w:t>reluctance to do what the group’s external accountants usually ask of their clients.</w:t>
      </w:r>
      <w:r>
        <w:rPr>
          <w:color w:val="212121"/>
          <w:spacing w:val="40"/>
        </w:rPr>
        <w:t xml:space="preserve"> </w:t>
      </w:r>
      <w:r>
        <w:rPr>
          <w:color w:val="212121"/>
        </w:rPr>
        <w:t>The deposits and credits to</w:t>
      </w:r>
      <w:r>
        <w:rPr>
          <w:color w:val="212121"/>
          <w:spacing w:val="-1"/>
        </w:rPr>
        <w:t xml:space="preserve"> </w:t>
      </w:r>
      <w:r>
        <w:rPr>
          <w:color w:val="212121"/>
        </w:rPr>
        <w:t>loan accounts that have been</w:t>
      </w:r>
      <w:r>
        <w:rPr>
          <w:color w:val="212121"/>
          <w:spacing w:val="-1"/>
        </w:rPr>
        <w:t xml:space="preserve"> </w:t>
      </w:r>
      <w:r>
        <w:rPr>
          <w:color w:val="212121"/>
        </w:rPr>
        <w:t>the</w:t>
      </w:r>
      <w:r>
        <w:rPr>
          <w:color w:val="212121"/>
          <w:spacing w:val="-1"/>
        </w:rPr>
        <w:t xml:space="preserve"> </w:t>
      </w:r>
      <w:r>
        <w:rPr>
          <w:color w:val="212121"/>
        </w:rPr>
        <w:t>subject of scrutiny</w:t>
      </w:r>
      <w:r>
        <w:rPr>
          <w:color w:val="212121"/>
          <w:spacing w:val="-1"/>
        </w:rPr>
        <w:t xml:space="preserve"> </w:t>
      </w:r>
      <w:r>
        <w:rPr>
          <w:color w:val="212121"/>
        </w:rPr>
        <w:t>were all in</w:t>
      </w:r>
      <w:r>
        <w:rPr>
          <w:color w:val="212121"/>
          <w:spacing w:val="-1"/>
        </w:rPr>
        <w:t xml:space="preserve"> </w:t>
      </w:r>
      <w:r>
        <w:rPr>
          <w:color w:val="212121"/>
        </w:rPr>
        <w:t>excess of $1,000 and were all unexplained.</w:t>
      </w:r>
      <w:r>
        <w:rPr>
          <w:color w:val="212121"/>
          <w:spacing w:val="40"/>
        </w:rPr>
        <w:t xml:space="preserve"> </w:t>
      </w:r>
      <w:r>
        <w:rPr>
          <w:color w:val="212121"/>
        </w:rPr>
        <w:t>Most of the credits and deposits had their origins in entities that Mr Buzadzic controlled or was significantly associated with which carried on businesses. That of itself suggests that the transactions might not be explained away as private transactions</w:t>
      </w:r>
      <w:r>
        <w:rPr>
          <w:color w:val="212121"/>
          <w:spacing w:val="-11"/>
        </w:rPr>
        <w:t xml:space="preserve"> </w:t>
      </w:r>
      <w:r>
        <w:rPr>
          <w:color w:val="212121"/>
        </w:rPr>
        <w:t>for</w:t>
      </w:r>
      <w:r>
        <w:rPr>
          <w:color w:val="212121"/>
          <w:spacing w:val="-8"/>
        </w:rPr>
        <w:t xml:space="preserve"> </w:t>
      </w:r>
      <w:r>
        <w:rPr>
          <w:color w:val="212121"/>
        </w:rPr>
        <w:t>which</w:t>
      </w:r>
      <w:r>
        <w:rPr>
          <w:color w:val="212121"/>
          <w:spacing w:val="-9"/>
        </w:rPr>
        <w:t xml:space="preserve"> </w:t>
      </w:r>
      <w:r>
        <w:rPr>
          <w:color w:val="212121"/>
        </w:rPr>
        <w:t>records</w:t>
      </w:r>
      <w:r>
        <w:rPr>
          <w:color w:val="212121"/>
          <w:spacing w:val="-11"/>
        </w:rPr>
        <w:t xml:space="preserve"> </w:t>
      </w:r>
      <w:r>
        <w:rPr>
          <w:color w:val="212121"/>
        </w:rPr>
        <w:t>ought</w:t>
      </w:r>
      <w:r>
        <w:rPr>
          <w:color w:val="212121"/>
          <w:spacing w:val="-10"/>
        </w:rPr>
        <w:t xml:space="preserve"> </w:t>
      </w:r>
      <w:r>
        <w:rPr>
          <w:color w:val="212121"/>
        </w:rPr>
        <w:t>not</w:t>
      </w:r>
      <w:r>
        <w:rPr>
          <w:color w:val="212121"/>
          <w:spacing w:val="-10"/>
        </w:rPr>
        <w:t xml:space="preserve"> </w:t>
      </w:r>
      <w:r>
        <w:rPr>
          <w:color w:val="212121"/>
        </w:rPr>
        <w:t>be</w:t>
      </w:r>
      <w:r>
        <w:rPr>
          <w:color w:val="212121"/>
          <w:spacing w:val="-11"/>
        </w:rPr>
        <w:t xml:space="preserve"> </w:t>
      </w:r>
      <w:r>
        <w:rPr>
          <w:color w:val="212121"/>
        </w:rPr>
        <w:t>expected.</w:t>
      </w:r>
      <w:r>
        <w:rPr>
          <w:color w:val="212121"/>
          <w:spacing w:val="37"/>
        </w:rPr>
        <w:t xml:space="preserve"> </w:t>
      </w:r>
      <w:r>
        <w:rPr>
          <w:color w:val="212121"/>
        </w:rPr>
        <w:t>To</w:t>
      </w:r>
      <w:r>
        <w:rPr>
          <w:color w:val="212121"/>
          <w:spacing w:val="-11"/>
        </w:rPr>
        <w:t xml:space="preserve"> </w:t>
      </w:r>
      <w:r>
        <w:rPr>
          <w:color w:val="212121"/>
        </w:rPr>
        <w:t>the</w:t>
      </w:r>
      <w:r>
        <w:rPr>
          <w:color w:val="212121"/>
          <w:spacing w:val="-11"/>
        </w:rPr>
        <w:t xml:space="preserve"> </w:t>
      </w:r>
      <w:r>
        <w:rPr>
          <w:color w:val="212121"/>
        </w:rPr>
        <w:t>contrary,</w:t>
      </w:r>
      <w:r>
        <w:rPr>
          <w:color w:val="212121"/>
          <w:spacing w:val="-10"/>
        </w:rPr>
        <w:t xml:space="preserve"> </w:t>
      </w:r>
      <w:r>
        <w:rPr>
          <w:color w:val="212121"/>
        </w:rPr>
        <w:t>those</w:t>
      </w:r>
      <w:r>
        <w:rPr>
          <w:color w:val="212121"/>
          <w:spacing w:val="-9"/>
        </w:rPr>
        <w:t xml:space="preserve"> </w:t>
      </w:r>
      <w:r>
        <w:rPr>
          <w:color w:val="212121"/>
        </w:rPr>
        <w:t>circumstances suggest that there might be expected to be a business record or trail that sets out the provenance of the deposits and credits and thus throw light on whether the deposits and credits reveal, or are the produce of, an undisclosed source of income.</w:t>
      </w:r>
    </w:p>
    <w:p w14:paraId="49FBFF8C" w14:textId="1F5850AD" w:rsidR="007C5752" w:rsidRDefault="00EA41F6" w:rsidP="00A66BC5">
      <w:pPr>
        <w:pStyle w:val="ParaNumbering"/>
      </w:pPr>
      <w:r>
        <w:lastRenderedPageBreak/>
        <w:t xml:space="preserve">Secondly, the record keeping and retention </w:t>
      </w:r>
      <w:r w:rsidR="00AE2911">
        <w:t xml:space="preserve">requirements </w:t>
      </w:r>
      <w:r w:rsidR="003E432E">
        <w:t xml:space="preserve">imposed upon taxpayers </w:t>
      </w:r>
      <w:r w:rsidR="00AE2911">
        <w:t>accompanied the move to self-assessment of income tax many decades ago</w:t>
      </w:r>
      <w:r w:rsidR="00D949D8">
        <w:t>, such that receipts no longer had to be provided with income tax returns</w:t>
      </w:r>
      <w:r w:rsidR="00AE2911">
        <w:t xml:space="preserve">.  </w:t>
      </w:r>
      <w:r w:rsidRPr="00751EE4">
        <w:t>Mr </w:t>
      </w:r>
      <w:proofErr w:type="spellStart"/>
      <w:r w:rsidRPr="00751EE4">
        <w:t>Buzadzic</w:t>
      </w:r>
      <w:r>
        <w:t>’s</w:t>
      </w:r>
      <w:proofErr w:type="spellEnd"/>
      <w:r w:rsidR="00AE2911">
        <w:t xml:space="preserve"> argument</w:t>
      </w:r>
      <w:r w:rsidR="00AF55DC">
        <w:t xml:space="preserve">, especially orally, </w:t>
      </w:r>
      <w:r w:rsidR="00D949D8">
        <w:t>was</w:t>
      </w:r>
      <w:r w:rsidR="00AF55DC">
        <w:t xml:space="preserve"> to the effect </w:t>
      </w:r>
      <w:r w:rsidR="00B064D5">
        <w:t>that</w:t>
      </w:r>
      <w:r w:rsidR="00FE65F6">
        <w:t>,</w:t>
      </w:r>
      <w:r w:rsidR="004A13F6">
        <w:t xml:space="preserve"> where the Commissioner is </w:t>
      </w:r>
      <w:r w:rsidR="00DE4CC2">
        <w:t xml:space="preserve">making an assessment relating to tax for </w:t>
      </w:r>
      <w:r w:rsidR="00B6323C">
        <w:t xml:space="preserve">an earlier period, and the person is no longer required under </w:t>
      </w:r>
      <w:r w:rsidR="009355A4">
        <w:t xml:space="preserve">the tax legislation to </w:t>
      </w:r>
      <w:r w:rsidR="00453EC6">
        <w:t>retain records for that period,</w:t>
      </w:r>
      <w:r w:rsidR="00C866F1">
        <w:t xml:space="preserve"> “</w:t>
      </w:r>
      <w:r w:rsidR="00C866F1" w:rsidRPr="00806AAA">
        <w:rPr>
          <w:i/>
          <w:iCs/>
        </w:rPr>
        <w:t xml:space="preserve">the burden of proof on the balance of probabilities needs to be adjusted to take into account </w:t>
      </w:r>
      <w:r w:rsidR="00845AB2" w:rsidRPr="00806AAA">
        <w:rPr>
          <w:i/>
          <w:iCs/>
        </w:rPr>
        <w:t>that that record does not exist</w:t>
      </w:r>
      <w:r w:rsidR="00845AB2">
        <w:t>”.</w:t>
      </w:r>
      <w:r w:rsidR="00B064D5">
        <w:t xml:space="preserve"> </w:t>
      </w:r>
      <w:r w:rsidR="0057510A">
        <w:t xml:space="preserve"> </w:t>
      </w:r>
      <w:r w:rsidR="007C0188">
        <w:t xml:space="preserve">Mr </w:t>
      </w:r>
      <w:proofErr w:type="spellStart"/>
      <w:r w:rsidR="007C0188">
        <w:t>Buzadzic’s</w:t>
      </w:r>
      <w:proofErr w:type="spellEnd"/>
      <w:r w:rsidR="007C0188">
        <w:t xml:space="preserve"> oral submissions seemed to argue that </w:t>
      </w:r>
      <w:r w:rsidR="00B064D5">
        <w:t>it was somehow not fair</w:t>
      </w:r>
      <w:r w:rsidR="00CA6798">
        <w:t>, or inconsistent with the retention periods in the relevant legislation,</w:t>
      </w:r>
      <w:r w:rsidR="00B064D5">
        <w:t xml:space="preserve"> to require him to produce records</w:t>
      </w:r>
      <w:r w:rsidR="0039097E">
        <w:t xml:space="preserve"> for a period outside </w:t>
      </w:r>
      <w:r w:rsidR="009C14EB">
        <w:t>th</w:t>
      </w:r>
      <w:r w:rsidR="00D53B00">
        <w:t>ose</w:t>
      </w:r>
      <w:r w:rsidR="0039097E">
        <w:t xml:space="preserve"> </w:t>
      </w:r>
      <w:r w:rsidR="009F51AB">
        <w:t xml:space="preserve">retention </w:t>
      </w:r>
      <w:r w:rsidR="0039097E">
        <w:t>period</w:t>
      </w:r>
      <w:r w:rsidR="00D53B00">
        <w:t>s</w:t>
      </w:r>
      <w:r w:rsidR="00CA6798">
        <w:t xml:space="preserve"> </w:t>
      </w:r>
      <w:r w:rsidR="00AF55DC">
        <w:t xml:space="preserve">in order to discharge the onus </w:t>
      </w:r>
      <w:r w:rsidR="008664B2">
        <w:t>by</w:t>
      </w:r>
      <w:r w:rsidR="008B6B69">
        <w:t xml:space="preserve"> </w:t>
      </w:r>
      <w:r w:rsidR="001F5B2C">
        <w:t xml:space="preserve">establishing </w:t>
      </w:r>
      <w:r w:rsidR="00AF55DC">
        <w:t xml:space="preserve">that </w:t>
      </w:r>
      <w:r w:rsidR="008B6B69">
        <w:t xml:space="preserve">certain </w:t>
      </w:r>
      <w:r w:rsidR="00AF55DC">
        <w:t xml:space="preserve">impugned sums of money were </w:t>
      </w:r>
      <w:r w:rsidR="00D51202">
        <w:t>not income</w:t>
      </w:r>
      <w:r w:rsidR="00695644">
        <w:t xml:space="preserve">.  </w:t>
      </w:r>
      <w:r w:rsidR="00835361">
        <w:t>N</w:t>
      </w:r>
      <w:r w:rsidR="00730A2F">
        <w:t xml:space="preserve">o proper basis was </w:t>
      </w:r>
      <w:r w:rsidR="00835361">
        <w:t xml:space="preserve">identified </w:t>
      </w:r>
      <w:r w:rsidR="00730A2F">
        <w:t xml:space="preserve">for </w:t>
      </w:r>
      <w:r w:rsidR="005202B3">
        <w:t xml:space="preserve">why </w:t>
      </w:r>
      <w:r w:rsidR="00730A2F">
        <w:t xml:space="preserve">the </w:t>
      </w:r>
      <w:r w:rsidR="00695644">
        <w:t xml:space="preserve">requirement to </w:t>
      </w:r>
      <w:r w:rsidR="00C41FBF">
        <w:t xml:space="preserve">retain such records for </w:t>
      </w:r>
      <w:r w:rsidR="00695644">
        <w:t xml:space="preserve">substantiation </w:t>
      </w:r>
      <w:r w:rsidR="00C41FBF">
        <w:t xml:space="preserve">purposes </w:t>
      </w:r>
      <w:r w:rsidR="005202B3">
        <w:t>would</w:t>
      </w:r>
      <w:r w:rsidR="007A53A0">
        <w:t xml:space="preserve"> give rise to a relaxation of the quality of evidence </w:t>
      </w:r>
      <w:r w:rsidR="00784B32">
        <w:t xml:space="preserve">necessary </w:t>
      </w:r>
      <w:r w:rsidR="007A53A0">
        <w:t xml:space="preserve">to discharge the onus of proving </w:t>
      </w:r>
      <w:r w:rsidR="00565A76">
        <w:t xml:space="preserve">that an assessment is excessive, and what the correct assessed sum should be.  </w:t>
      </w:r>
    </w:p>
    <w:p w14:paraId="2678613B" w14:textId="5416F00E" w:rsidR="00A122A0" w:rsidRDefault="00565A76" w:rsidP="004F60EC">
      <w:pPr>
        <w:pStyle w:val="ParaNumbering"/>
      </w:pPr>
      <w:r>
        <w:t xml:space="preserve">Of course, if </w:t>
      </w:r>
      <w:r w:rsidR="00BE2B08">
        <w:t xml:space="preserve">a taxpayer </w:t>
      </w:r>
      <w:r w:rsidR="007C5752">
        <w:t>w</w:t>
      </w:r>
      <w:r w:rsidR="009A5A8D">
        <w:t>ere</w:t>
      </w:r>
      <w:r w:rsidR="00BE2B08">
        <w:t xml:space="preserve"> able to prove that </w:t>
      </w:r>
      <w:r>
        <w:t xml:space="preserve">records had been kept, </w:t>
      </w:r>
      <w:r w:rsidR="00BE2B08">
        <w:t xml:space="preserve">but </w:t>
      </w:r>
      <w:r>
        <w:t>not retained after a retention period</w:t>
      </w:r>
      <w:r w:rsidR="00BE2B08">
        <w:t xml:space="preserve">, so were not available to </w:t>
      </w:r>
      <w:r w:rsidR="007C5752">
        <w:t xml:space="preserve">support </w:t>
      </w:r>
      <w:r w:rsidR="006A5797">
        <w:t xml:space="preserve">the argument </w:t>
      </w:r>
      <w:r w:rsidR="00BE2B08">
        <w:t xml:space="preserve">that a particular expense had been incurred, that might, in some cases, be a reason for the Tribunal to accept </w:t>
      </w:r>
      <w:r w:rsidR="00436EC3">
        <w:t>other evidence to the same effect</w:t>
      </w:r>
      <w:r w:rsidR="00385493">
        <w:t xml:space="preserve"> in order to discharge the onus</w:t>
      </w:r>
      <w:r w:rsidR="00643332">
        <w:t>, as the Tribunal’s reasons reproduced above tend to indicate</w:t>
      </w:r>
      <w:r w:rsidR="00436EC3">
        <w:t xml:space="preserve">.  But </w:t>
      </w:r>
      <w:r w:rsidR="00385493">
        <w:t xml:space="preserve">that would be </w:t>
      </w:r>
      <w:r w:rsidR="00436EC3">
        <w:t>a matter for ordinary fact finding</w:t>
      </w:r>
      <w:r w:rsidR="00BC2A8D">
        <w:t>, bearing</w:t>
      </w:r>
      <w:r w:rsidR="00436EC3">
        <w:t xml:space="preserve"> no resemblance to this case</w:t>
      </w:r>
      <w:r w:rsidR="00A122A0">
        <w:t xml:space="preserve">. </w:t>
      </w:r>
      <w:r w:rsidR="003F38CD">
        <w:t>That is simply a reflection of the fact that whether the onus is satisfied will depend o</w:t>
      </w:r>
      <w:r w:rsidR="008E72C4">
        <w:t xml:space="preserve">n the circumstances of the case. </w:t>
      </w:r>
      <w:r w:rsidR="00A122A0">
        <w:t xml:space="preserve"> </w:t>
      </w:r>
      <w:r w:rsidR="00BC2A8D">
        <w:t xml:space="preserve">Rather, </w:t>
      </w:r>
      <w:r w:rsidR="00BC2A8D" w:rsidRPr="00751EE4">
        <w:t>Mr </w:t>
      </w:r>
      <w:proofErr w:type="spellStart"/>
      <w:r w:rsidR="00BC2A8D" w:rsidRPr="00751EE4">
        <w:t>Buzadzic</w:t>
      </w:r>
      <w:r w:rsidR="00BC2A8D">
        <w:t>’s</w:t>
      </w:r>
      <w:proofErr w:type="spellEnd"/>
      <w:r w:rsidR="00BC2A8D">
        <w:t xml:space="preserve"> argument seemed to be no </w:t>
      </w:r>
      <w:r w:rsidR="001F7DDB">
        <w:t>more</w:t>
      </w:r>
      <w:r w:rsidR="00BC2A8D">
        <w:t xml:space="preserve"> than that </w:t>
      </w:r>
      <w:r w:rsidR="00723C63">
        <w:t>the passing of the point of time at which records were required to be retained meant that secondary accounting records should be accepted at face value</w:t>
      </w:r>
      <w:r w:rsidR="001F7DDB">
        <w:t>.</w:t>
      </w:r>
      <w:r w:rsidR="007F7512">
        <w:t xml:space="preserve">  That </w:t>
      </w:r>
      <w:r w:rsidR="00C37C54">
        <w:t xml:space="preserve">proposition </w:t>
      </w:r>
      <w:r w:rsidR="007F7512">
        <w:t>cannot be accepted</w:t>
      </w:r>
      <w:r w:rsidR="00BD43BB">
        <w:t>, especially in light of the Tribunal’s reasoning on this topic</w:t>
      </w:r>
      <w:r w:rsidR="007F7512">
        <w:t>.</w:t>
      </w:r>
    </w:p>
    <w:p w14:paraId="07F8CA11" w14:textId="0DD9822D" w:rsidR="00EF0120" w:rsidRDefault="00D04221" w:rsidP="004F60EC">
      <w:pPr>
        <w:pStyle w:val="ParaNumbering"/>
      </w:pPr>
      <w:r>
        <w:t xml:space="preserve">The primary judge was correct in concluding that there had been no error in the application of the onus of proof.  </w:t>
      </w:r>
      <w:r w:rsidR="00353AC4">
        <w:t xml:space="preserve">His Honour described how the </w:t>
      </w:r>
      <w:r w:rsidR="0013236D">
        <w:t>Tribunal carefully, thoroughly and explicitly explain</w:t>
      </w:r>
      <w:r w:rsidR="006C0967">
        <w:t>ed</w:t>
      </w:r>
      <w:r w:rsidR="0013236D">
        <w:t xml:space="preserve"> what </w:t>
      </w:r>
      <w:r w:rsidR="00A76678">
        <w:t>the onus was, and what was necessary to discharge it</w:t>
      </w:r>
      <w:r w:rsidR="00353AC4">
        <w:t xml:space="preserve">, highlighting key aspects of the authority </w:t>
      </w:r>
      <w:r w:rsidR="00DE264B">
        <w:t xml:space="preserve">his Honour </w:t>
      </w:r>
      <w:r w:rsidR="0085557B">
        <w:t>quoted</w:t>
      </w:r>
      <w:r w:rsidR="00770EEB">
        <w:t xml:space="preserve">.  This included </w:t>
      </w:r>
      <w:r w:rsidR="00E25BD5">
        <w:t xml:space="preserve">reference to </w:t>
      </w:r>
      <w:r w:rsidR="00EF0120">
        <w:t xml:space="preserve">the </w:t>
      </w:r>
      <w:r w:rsidR="00071A18">
        <w:t xml:space="preserve">helpful summary </w:t>
      </w:r>
      <w:r w:rsidR="00931E73">
        <w:t xml:space="preserve">of the relevant principles </w:t>
      </w:r>
      <w:r w:rsidR="00071A18">
        <w:t xml:space="preserve">by Derrington J in </w:t>
      </w:r>
      <w:r w:rsidR="00E22900" w:rsidRPr="002E6A8F">
        <w:rPr>
          <w:i/>
        </w:rPr>
        <w:t xml:space="preserve">Federal Commissioner of Taxation v </w:t>
      </w:r>
      <w:r w:rsidR="00E22900" w:rsidRPr="002E6A8F">
        <w:rPr>
          <w:b/>
          <w:bCs/>
          <w:i/>
        </w:rPr>
        <w:t>Ross</w:t>
      </w:r>
      <w:r w:rsidR="00E22900" w:rsidRPr="002E6A8F">
        <w:t xml:space="preserve"> [2021] FCA 766; 174 ALD 77</w:t>
      </w:r>
      <w:r w:rsidR="00E22900">
        <w:t xml:space="preserve"> at [46]-[48] and the </w:t>
      </w:r>
      <w:r w:rsidR="00EF0120">
        <w:t xml:space="preserve">decision of Nettle J in </w:t>
      </w:r>
      <w:r w:rsidR="00931CCD" w:rsidRPr="002E6A8F">
        <w:rPr>
          <w:b/>
          <w:bCs/>
          <w:i/>
        </w:rPr>
        <w:t>Bosanac</w:t>
      </w:r>
      <w:r w:rsidR="00931CCD" w:rsidRPr="002E6A8F">
        <w:rPr>
          <w:i/>
        </w:rPr>
        <w:t xml:space="preserve"> v Federal Commissioner of Taxation</w:t>
      </w:r>
      <w:r w:rsidR="00931CCD" w:rsidRPr="002E6A8F">
        <w:t xml:space="preserve"> [2019] HCA 41; 374 ALR 425</w:t>
      </w:r>
      <w:r w:rsidR="00931CCD">
        <w:t xml:space="preserve"> at </w:t>
      </w:r>
      <w:r w:rsidR="0071510C">
        <w:t>[29]-[30]</w:t>
      </w:r>
      <w:r w:rsidR="0099615F">
        <w:t xml:space="preserve">, </w:t>
      </w:r>
      <w:r w:rsidR="005072D0">
        <w:t xml:space="preserve">with </w:t>
      </w:r>
      <w:r w:rsidR="00931E73">
        <w:t xml:space="preserve">the primary judge </w:t>
      </w:r>
      <w:r w:rsidR="0085557B">
        <w:t xml:space="preserve">emphasising </w:t>
      </w:r>
      <w:r w:rsidR="00EF0120">
        <w:t xml:space="preserve">passages </w:t>
      </w:r>
      <w:r w:rsidR="0099615F">
        <w:t xml:space="preserve">in the latter </w:t>
      </w:r>
      <w:r w:rsidR="00EF0120">
        <w:t xml:space="preserve">that made the point abundantly clear.  </w:t>
      </w:r>
    </w:p>
    <w:p w14:paraId="27EE97CB" w14:textId="15413589" w:rsidR="005A6748" w:rsidRDefault="005A6748" w:rsidP="004F60EC">
      <w:pPr>
        <w:pStyle w:val="ParaNumbering"/>
      </w:pPr>
      <w:r>
        <w:lastRenderedPageBreak/>
        <w:t xml:space="preserve">The primary judge </w:t>
      </w:r>
      <w:r w:rsidR="00A5248E">
        <w:t xml:space="preserve">correctly found that the Tribunal had provided clear and logical reasons for concluding that </w:t>
      </w:r>
      <w:r w:rsidR="00A5248E" w:rsidRPr="00751EE4">
        <w:t>Mr Buzadzic</w:t>
      </w:r>
      <w:r w:rsidR="00A5248E">
        <w:t xml:space="preserve"> had not discharged the onus of </w:t>
      </w:r>
      <w:r w:rsidR="004C3836">
        <w:t>proving what his taxable income was and had therefore not shown that the challenged assessments were excessive</w:t>
      </w:r>
      <w:r w:rsidR="009160CD">
        <w:t>: PJ[98]</w:t>
      </w:r>
      <w:r w:rsidR="004C3836">
        <w:t xml:space="preserve">.  </w:t>
      </w:r>
      <w:r w:rsidR="009160CD">
        <w:t>In that paragraph, h</w:t>
      </w:r>
      <w:r w:rsidR="004C3836">
        <w:t xml:space="preserve">is Honour </w:t>
      </w:r>
      <w:r w:rsidR="001E452E">
        <w:t>g</w:t>
      </w:r>
      <w:r w:rsidR="004C3836">
        <w:t xml:space="preserve">ave the </w:t>
      </w:r>
      <w:r w:rsidR="004C3836" w:rsidRPr="0015394C">
        <w:t xml:space="preserve">following </w:t>
      </w:r>
      <w:r w:rsidR="009160CD">
        <w:t xml:space="preserve">summary of key failings </w:t>
      </w:r>
      <w:r w:rsidR="001E452E">
        <w:t xml:space="preserve">in </w:t>
      </w:r>
      <w:r w:rsidR="009160CD" w:rsidRPr="00751EE4">
        <w:t>Mr </w:t>
      </w:r>
      <w:proofErr w:type="spellStart"/>
      <w:r w:rsidR="009160CD" w:rsidRPr="00751EE4">
        <w:t>Buzadzic</w:t>
      </w:r>
      <w:r w:rsidR="009160CD">
        <w:t>’s</w:t>
      </w:r>
      <w:proofErr w:type="spellEnd"/>
      <w:r w:rsidR="009160CD">
        <w:t xml:space="preserve"> case before the Tribunal</w:t>
      </w:r>
      <w:r w:rsidR="00351BAB">
        <w:t>, identifying the paragraphs in the Tribunal’s reasons</w:t>
      </w:r>
      <w:r w:rsidR="009160CD">
        <w:t>:</w:t>
      </w:r>
    </w:p>
    <w:p w14:paraId="6FBED474" w14:textId="23594C83" w:rsidR="00351BAB" w:rsidRDefault="00351BAB" w:rsidP="00351BAB">
      <w:pPr>
        <w:pStyle w:val="Quote1"/>
        <w:ind w:left="1440" w:hanging="703"/>
      </w:pPr>
      <w:r>
        <w:t>(a)</w:t>
      </w:r>
      <w:r>
        <w:tab/>
      </w:r>
      <w:r w:rsidRPr="0036576A">
        <w:t>there were clear deficiencies in the records provided to the Tribunal</w:t>
      </w:r>
      <w:r>
        <w:t>; th</w:t>
      </w:r>
      <w:r w:rsidRPr="0036576A">
        <w:t>e basis for accounting entries remained unexplained</w:t>
      </w:r>
      <w:r>
        <w:t>; t</w:t>
      </w:r>
      <w:r w:rsidRPr="0036576A">
        <w:t>he manner in which funds flowed between the entities was not explained except</w:t>
      </w:r>
      <w:r>
        <w:t xml:space="preserve"> in the form of generalisations (at </w:t>
      </w:r>
      <w:r w:rsidR="00CF6763">
        <w:t>[AAT]</w:t>
      </w:r>
      <w:r>
        <w:t>[125]);</w:t>
      </w:r>
    </w:p>
    <w:p w14:paraId="06E951AB" w14:textId="69C86EAA" w:rsidR="00351BAB" w:rsidRDefault="00351BAB" w:rsidP="00351BAB">
      <w:pPr>
        <w:pStyle w:val="Quote1"/>
        <w:ind w:left="1440" w:hanging="703"/>
      </w:pPr>
      <w:r>
        <w:t>(b)</w:t>
      </w:r>
      <w:r>
        <w:tab/>
        <w:t>t</w:t>
      </w:r>
      <w:r w:rsidRPr="0036576A">
        <w:t>he source and provenance of identified deposits and credit entries (and</w:t>
      </w:r>
      <w:r>
        <w:t>,</w:t>
      </w:r>
      <w:r w:rsidRPr="0036576A">
        <w:t xml:space="preserve"> in particular</w:t>
      </w:r>
      <w:r>
        <w:t>,</w:t>
      </w:r>
      <w:r w:rsidRPr="0036576A">
        <w:t xml:space="preserve"> the transactions </w:t>
      </w:r>
      <w:r>
        <w:t>that</w:t>
      </w:r>
      <w:r w:rsidRPr="0036576A">
        <w:t xml:space="preserve"> had given rise to the deposits or credit entries) r</w:t>
      </w:r>
      <w:r>
        <w:t xml:space="preserve">emained unexplained (at </w:t>
      </w:r>
      <w:r w:rsidR="00CF6763">
        <w:t>[AAT]</w:t>
      </w:r>
      <w:r>
        <w:t>[125]);</w:t>
      </w:r>
    </w:p>
    <w:p w14:paraId="3FEEB369" w14:textId="31C16B7A" w:rsidR="00351BAB" w:rsidRDefault="00351BAB" w:rsidP="00351BAB">
      <w:pPr>
        <w:pStyle w:val="Quote1"/>
        <w:ind w:left="1440" w:hanging="703"/>
      </w:pPr>
      <w:r>
        <w:t>(c)</w:t>
      </w:r>
      <w:r>
        <w:tab/>
        <w:t xml:space="preserve">the Tribunal was not satisfied that Mr Buzadzic had shown what the source or sources of money reflected in the disputed deposits and credits (including credits to eliminate apparent opening and closing loan account balance mismatches) was or were, and as a consequence had not shown that: the deposits from the Associated Entities </w:t>
      </w:r>
      <w:r w:rsidR="009340A3">
        <w:t xml:space="preserve">[(being the </w:t>
      </w:r>
      <w:r w:rsidR="001F16CC">
        <w:t xml:space="preserve">16 companies and three trusts associated with Mr Buzadzic)] </w:t>
      </w:r>
      <w:r>
        <w:t xml:space="preserve">and the unexplained credits were not attributable to amounts of undeclared income derived by Mr Buzadzic; and the deposits from the non-associated entities and unknown persons were not attributable to amounts of undeclared income derived by Mr Buzadzic from an unidentified source (at </w:t>
      </w:r>
      <w:r w:rsidR="00F81D1A">
        <w:t xml:space="preserve">[AAT] </w:t>
      </w:r>
      <w:r>
        <w:t>[127]); and</w:t>
      </w:r>
    </w:p>
    <w:p w14:paraId="43659604" w14:textId="17281D61" w:rsidR="00351BAB" w:rsidRDefault="00351BAB" w:rsidP="00351BAB">
      <w:pPr>
        <w:pStyle w:val="Quote1"/>
        <w:ind w:left="1440" w:hanging="703"/>
      </w:pPr>
      <w:r>
        <w:t>(d)</w:t>
      </w:r>
      <w:r>
        <w:tab/>
        <w:t>t</w:t>
      </w:r>
      <w:r w:rsidRPr="00D6270D">
        <w:t>he Tribunal d</w:t>
      </w:r>
      <w:r>
        <w:t>id</w:t>
      </w:r>
      <w:r w:rsidRPr="00D6270D">
        <w:t xml:space="preserve"> not accept the unsupported explanations for the deposits proffered by Mr</w:t>
      </w:r>
      <w:r>
        <w:t> </w:t>
      </w:r>
      <w:r w:rsidRPr="00D6270D">
        <w:t>Buzadzic</w:t>
      </w:r>
      <w:r>
        <w:t>;</w:t>
      </w:r>
      <w:r w:rsidRPr="00D6270D">
        <w:t xml:space="preserve"> </w:t>
      </w:r>
      <w:r>
        <w:t>the Tribunal considered Mr </w:t>
      </w:r>
      <w:proofErr w:type="spellStart"/>
      <w:r w:rsidRPr="00D6270D">
        <w:t>Buzadzic’s</w:t>
      </w:r>
      <w:proofErr w:type="spellEnd"/>
      <w:r w:rsidRPr="00D6270D">
        <w:t xml:space="preserve"> oral evidence concerning the deposits t</w:t>
      </w:r>
      <w:r>
        <w:t xml:space="preserve">o be speculative and unreliable (at </w:t>
      </w:r>
      <w:r w:rsidR="00F81D1A">
        <w:t xml:space="preserve">[AAT] </w:t>
      </w:r>
      <w:r>
        <w:t>[150]).</w:t>
      </w:r>
    </w:p>
    <w:p w14:paraId="7352DAB8" w14:textId="15169F6C" w:rsidR="00AE1C2B" w:rsidRDefault="00815859" w:rsidP="004F60EC">
      <w:pPr>
        <w:pStyle w:val="ParaNumbering"/>
      </w:pPr>
      <w:r>
        <w:t xml:space="preserve">The primary judge </w:t>
      </w:r>
      <w:r w:rsidR="00AE1C2B">
        <w:t xml:space="preserve">provided similarly </w:t>
      </w:r>
      <w:r w:rsidR="009D493F">
        <w:t xml:space="preserve">compelling summaries of the Tribunal’s </w:t>
      </w:r>
      <w:r w:rsidR="005A64BB">
        <w:t>reasons for</w:t>
      </w:r>
      <w:r w:rsidR="009D493F">
        <w:t xml:space="preserve"> </w:t>
      </w:r>
      <w:r w:rsidR="007A7F7B">
        <w:t xml:space="preserve">not accepting </w:t>
      </w:r>
      <w:r w:rsidR="007A7F7B" w:rsidRPr="00751EE4">
        <w:t>Mr </w:t>
      </w:r>
      <w:proofErr w:type="spellStart"/>
      <w:r w:rsidR="007A7F7B" w:rsidRPr="00751EE4">
        <w:t>Buzadzic</w:t>
      </w:r>
      <w:r w:rsidR="007A7F7B">
        <w:t>’s</w:t>
      </w:r>
      <w:proofErr w:type="spellEnd"/>
      <w:r w:rsidR="007A7F7B">
        <w:t xml:space="preserve"> explanations for </w:t>
      </w:r>
      <w:r w:rsidR="00537DB3">
        <w:t xml:space="preserve">otherwise unexplained </w:t>
      </w:r>
      <w:r w:rsidR="007A7F7B">
        <w:t>deposits into his bank accounts</w:t>
      </w:r>
      <w:r w:rsidR="00C32F4B">
        <w:t xml:space="preserve"> and</w:t>
      </w:r>
      <w:r w:rsidR="007A7F7B">
        <w:t xml:space="preserve"> </w:t>
      </w:r>
      <w:r w:rsidR="00537DB3">
        <w:t xml:space="preserve">unverified credit entries, </w:t>
      </w:r>
      <w:r w:rsidR="00FF390D">
        <w:t xml:space="preserve">why submissions seeking to explain away </w:t>
      </w:r>
      <w:r w:rsidR="00A649B4">
        <w:t xml:space="preserve">the Commissioner’s conclusion as to fraud or evasion </w:t>
      </w:r>
      <w:r w:rsidR="00D73E57">
        <w:t xml:space="preserve">were not accepted, and the approach to there being no primary records produced to verify </w:t>
      </w:r>
      <w:r w:rsidR="008658AA">
        <w:t>claimed deductions.  His Hono</w:t>
      </w:r>
      <w:r w:rsidR="00971730">
        <w:t xml:space="preserve">ur correctly found no inconsistency between the approach outlined by Steward J </w:t>
      </w:r>
      <w:r w:rsidR="009629FA">
        <w:t xml:space="preserve">when a member of this Court </w:t>
      </w:r>
      <w:r w:rsidR="00971730">
        <w:t xml:space="preserve">in </w:t>
      </w:r>
      <w:r w:rsidR="00DF6CB1" w:rsidRPr="002E6A8F">
        <w:rPr>
          <w:i/>
        </w:rPr>
        <w:t>Federal Commissioner of Taxation v Cassaniti</w:t>
      </w:r>
      <w:r w:rsidR="00DF6CB1" w:rsidRPr="002E6A8F">
        <w:t xml:space="preserve"> [2018] FCAFC 212; 266 FCR 385</w:t>
      </w:r>
      <w:r w:rsidR="009629FA">
        <w:t xml:space="preserve"> </w:t>
      </w:r>
      <w:r w:rsidR="00E870C0">
        <w:t>at [87]-[88] and the approach taken by the Tribunal.</w:t>
      </w:r>
    </w:p>
    <w:p w14:paraId="7182FF9F" w14:textId="55E7B495" w:rsidR="009629FA" w:rsidRDefault="009629FA" w:rsidP="004F60EC">
      <w:pPr>
        <w:pStyle w:val="ParaNumbering"/>
      </w:pPr>
      <w:r>
        <w:t xml:space="preserve">To the extent that the arguments advanced by </w:t>
      </w:r>
      <w:r w:rsidR="006113F7" w:rsidRPr="00751EE4">
        <w:t>Mr Buzadzic</w:t>
      </w:r>
      <w:r w:rsidR="006113F7">
        <w:t xml:space="preserve"> could be characterised as seeking merits review of the Tribunal’s decision</w:t>
      </w:r>
      <w:r w:rsidR="004A092E">
        <w:t xml:space="preserve"> rather than raising a question of law</w:t>
      </w:r>
      <w:r w:rsidR="006113F7">
        <w:t xml:space="preserve">, </w:t>
      </w:r>
      <w:r w:rsidR="007D1659">
        <w:t>and</w:t>
      </w:r>
      <w:r w:rsidR="006113F7">
        <w:t xml:space="preserve"> they certainly had that character as described by the primary judge </w:t>
      </w:r>
      <w:r w:rsidR="006F00FA">
        <w:t xml:space="preserve">(as did </w:t>
      </w:r>
      <w:r w:rsidR="006113F7">
        <w:t>in the arguments advanced on appeal</w:t>
      </w:r>
      <w:r w:rsidR="006F00FA">
        <w:t>)</w:t>
      </w:r>
      <w:r w:rsidR="006113F7">
        <w:t xml:space="preserve">, his Honour took </w:t>
      </w:r>
      <w:r w:rsidR="00636DFB">
        <w:t>a</w:t>
      </w:r>
      <w:r w:rsidR="006113F7">
        <w:t xml:space="preserve"> </w:t>
      </w:r>
      <w:r w:rsidR="004A4E6B">
        <w:t xml:space="preserve">generously </w:t>
      </w:r>
      <w:r w:rsidR="006113F7">
        <w:t>beneficial approach</w:t>
      </w:r>
      <w:r w:rsidR="00636DFB">
        <w:t xml:space="preserve">.  His Honour </w:t>
      </w:r>
      <w:r w:rsidR="004A4E6B">
        <w:t>refram</w:t>
      </w:r>
      <w:r w:rsidR="00636DFB">
        <w:t>ed</w:t>
      </w:r>
      <w:r w:rsidR="004A4E6B">
        <w:t xml:space="preserve"> the references to what </w:t>
      </w:r>
      <w:r w:rsidR="00370CFB" w:rsidRPr="00751EE4">
        <w:t>Mr Buzadzic</w:t>
      </w:r>
      <w:r w:rsidR="00370CFB">
        <w:t xml:space="preserve"> </w:t>
      </w:r>
      <w:r w:rsidR="004A4E6B">
        <w:t xml:space="preserve">said the Tribunal should have made of the evidence before it </w:t>
      </w:r>
      <w:r w:rsidR="004A4E6B">
        <w:lastRenderedPageBreak/>
        <w:t xml:space="preserve">as </w:t>
      </w:r>
      <w:r w:rsidR="00EF65BF">
        <w:t>raising an issue of legal unreasonableness</w:t>
      </w:r>
      <w:r w:rsidR="00471572">
        <w:t xml:space="preserve">, citing </w:t>
      </w:r>
      <w:r w:rsidR="00BE79E7" w:rsidRPr="002E6A8F">
        <w:rPr>
          <w:i/>
        </w:rPr>
        <w:t>Minister for Immigration and Citizenship v Li</w:t>
      </w:r>
      <w:r w:rsidR="00BE79E7" w:rsidRPr="002E6A8F">
        <w:t xml:space="preserve"> [2013] HCA 18; 249 CLR 332</w:t>
      </w:r>
      <w:r w:rsidR="00BE79E7">
        <w:t>;</w:t>
      </w:r>
      <w:r w:rsidR="00BE79E7" w:rsidRPr="002C4629">
        <w:t xml:space="preserve"> and </w:t>
      </w:r>
      <w:r w:rsidR="00BE79E7">
        <w:t xml:space="preserve">more specifically </w:t>
      </w:r>
      <w:r w:rsidR="00BE79E7" w:rsidRPr="002E6A8F">
        <w:rPr>
          <w:i/>
        </w:rPr>
        <w:t xml:space="preserve">Minister for Immigration and Border Protection v </w:t>
      </w:r>
      <w:r w:rsidR="00BE79E7" w:rsidRPr="00227AAF">
        <w:rPr>
          <w:b/>
          <w:bCs/>
          <w:i/>
        </w:rPr>
        <w:t>SZVFW</w:t>
      </w:r>
      <w:r w:rsidR="00BE79E7" w:rsidRPr="002E6A8F">
        <w:t xml:space="preserve"> [2018] HCA 30; 264 CLR 541</w:t>
      </w:r>
      <w:r w:rsidR="00BE79E7">
        <w:t xml:space="preserve">, quoting Kiefel CJ at [10]-[11].  </w:t>
      </w:r>
      <w:r w:rsidR="000D26F4">
        <w:t xml:space="preserve">His Honour was not satisfied that any of the findings or conclusions of the Tribunal under challenge </w:t>
      </w:r>
      <w:r w:rsidR="00466003">
        <w:t xml:space="preserve">were unreasonable in that sense.  His Honour was correct to conclude that the </w:t>
      </w:r>
      <w:r w:rsidR="007611D9">
        <w:t>findings and conclusions of the Tribunal were clear, logical and open on the evidence.</w:t>
      </w:r>
    </w:p>
    <w:p w14:paraId="7281BD30" w14:textId="3DAA8EBA" w:rsidR="004F60EC" w:rsidRPr="004F60EC" w:rsidRDefault="008664B2" w:rsidP="004F60EC">
      <w:pPr>
        <w:pStyle w:val="ParaNumbering"/>
      </w:pPr>
      <w:r>
        <w:t xml:space="preserve">The primary judge was entirely correct to dismiss these grounds of </w:t>
      </w:r>
      <w:r w:rsidR="00FA6DB2">
        <w:t>appeal</w:t>
      </w:r>
      <w:r>
        <w:t xml:space="preserve">.  It follows that </w:t>
      </w:r>
      <w:r w:rsidR="00152099">
        <w:t>no error on the part of his Honour has been identified, much less established.  Appeal ground 2 must fail</w:t>
      </w:r>
      <w:r w:rsidR="00353AC4">
        <w:t>.</w:t>
      </w:r>
      <w:r w:rsidR="00436EC3">
        <w:t xml:space="preserve"> </w:t>
      </w:r>
    </w:p>
    <w:p w14:paraId="150992F7" w14:textId="3DC3028A" w:rsidR="00403F9A" w:rsidRDefault="00403F9A" w:rsidP="009C7764">
      <w:pPr>
        <w:pStyle w:val="Heading2"/>
      </w:pPr>
      <w:r>
        <w:t>Appeal ground 3 (ground</w:t>
      </w:r>
      <w:r w:rsidR="00F127FB">
        <w:t xml:space="preserve"> 3</w:t>
      </w:r>
      <w:r w:rsidR="005F3C2C">
        <w:t xml:space="preserve"> below</w:t>
      </w:r>
      <w:r>
        <w:t>)</w:t>
      </w:r>
      <w:r w:rsidR="00B97860">
        <w:t xml:space="preserve"> – income</w:t>
      </w:r>
    </w:p>
    <w:p w14:paraId="1FE62844" w14:textId="2A05F15C" w:rsidR="004F60EC" w:rsidRPr="004F60EC" w:rsidRDefault="005D2259" w:rsidP="004F60EC">
      <w:pPr>
        <w:pStyle w:val="ParaNumbering"/>
      </w:pPr>
      <w:r>
        <w:t xml:space="preserve">This ground of appeal </w:t>
      </w:r>
      <w:r w:rsidR="002D6CA3">
        <w:t xml:space="preserve">constitutes an attempt to </w:t>
      </w:r>
      <w:r w:rsidR="00F94184">
        <w:t xml:space="preserve">sidestep the basis by which </w:t>
      </w:r>
      <w:r w:rsidR="00F94184" w:rsidRPr="00751EE4">
        <w:t>Mr Buzadzic</w:t>
      </w:r>
      <w:r w:rsidR="00F94184">
        <w:t xml:space="preserve"> was required to </w:t>
      </w:r>
      <w:r w:rsidR="00022E42">
        <w:t xml:space="preserve">impugn the amended assessments.  The proposition, rejected by the primary judge, is that </w:t>
      </w:r>
      <w:r w:rsidR="00E82C79">
        <w:t xml:space="preserve">the Commissioner had to show that items </w:t>
      </w:r>
      <w:r w:rsidR="00F004D0">
        <w:t xml:space="preserve">included in </w:t>
      </w:r>
      <w:r w:rsidR="00F004D0" w:rsidRPr="00751EE4">
        <w:t>Mr </w:t>
      </w:r>
      <w:proofErr w:type="spellStart"/>
      <w:r w:rsidR="00F004D0" w:rsidRPr="00751EE4">
        <w:t>Buzadzic</w:t>
      </w:r>
      <w:r w:rsidR="00F004D0">
        <w:t>’s</w:t>
      </w:r>
      <w:proofErr w:type="spellEnd"/>
      <w:r w:rsidR="00F004D0">
        <w:t xml:space="preserve"> taxable income </w:t>
      </w:r>
      <w:r w:rsidR="00212205">
        <w:t xml:space="preserve">via the amended assessments </w:t>
      </w:r>
      <w:r w:rsidR="00F004D0">
        <w:t xml:space="preserve">were </w:t>
      </w:r>
      <w:r w:rsidR="00212205">
        <w:t xml:space="preserve">in fact </w:t>
      </w:r>
      <w:r w:rsidR="005E0274">
        <w:t xml:space="preserve">capable of being </w:t>
      </w:r>
      <w:r w:rsidR="00F004D0">
        <w:t xml:space="preserve">income </w:t>
      </w:r>
      <w:r w:rsidR="00212205">
        <w:t xml:space="preserve">before </w:t>
      </w:r>
      <w:r w:rsidR="00D05D58">
        <w:t>Mr Buzadzic</w:t>
      </w:r>
      <w:r w:rsidR="00212205">
        <w:t xml:space="preserve"> was required to prove </w:t>
      </w:r>
      <w:r w:rsidR="005E0274">
        <w:t>that they were not</w:t>
      </w:r>
      <w:r w:rsidR="00212205">
        <w:t xml:space="preserve">.  </w:t>
      </w:r>
      <w:r w:rsidR="00CF4356">
        <w:t xml:space="preserve">This proposition was correctly rejected by his Honour.  </w:t>
      </w:r>
      <w:r w:rsidR="003F7646">
        <w:t>As the authorit</w:t>
      </w:r>
      <w:r w:rsidR="00E0376C">
        <w:t>ies</w:t>
      </w:r>
      <w:r w:rsidR="003F7646">
        <w:t xml:space="preserve"> cited earl</w:t>
      </w:r>
      <w:r w:rsidR="00E0376C">
        <w:t>ier</w:t>
      </w:r>
      <w:r w:rsidR="003F7646">
        <w:t xml:space="preserve"> in these reasons make abundantly clear</w:t>
      </w:r>
      <w:r w:rsidR="00700753">
        <w:t xml:space="preserve">, once the default assessments were raised, </w:t>
      </w:r>
      <w:r w:rsidR="00700753" w:rsidRPr="00751EE4">
        <w:t>Mr Buzadzic</w:t>
      </w:r>
      <w:r w:rsidR="00700753">
        <w:t xml:space="preserve"> </w:t>
      </w:r>
      <w:r w:rsidR="00B656F0">
        <w:t>had to pro</w:t>
      </w:r>
      <w:r w:rsidR="00B25936">
        <w:t>ve</w:t>
      </w:r>
      <w:r w:rsidR="00B656F0">
        <w:t xml:space="preserve"> that the </w:t>
      </w:r>
      <w:r w:rsidR="002C41A3">
        <w:t xml:space="preserve">amounts in the amended assessments were excessive, </w:t>
      </w:r>
      <w:r w:rsidR="00423830">
        <w:t>and to prove</w:t>
      </w:r>
      <w:r w:rsidR="003B5709">
        <w:t>, on the balance of probabilities, what his income in fact was.</w:t>
      </w:r>
      <w:r w:rsidR="002F59D2">
        <w:t xml:space="preserve">  His Honour was correct to dismiss the suggestion that the Tribunal should have inferred that </w:t>
      </w:r>
      <w:r w:rsidR="00967143">
        <w:t>certain deposits of money were not income according to ordinary concepts</w:t>
      </w:r>
      <w:r w:rsidR="001A70B2">
        <w:t xml:space="preserve">.  This untenable </w:t>
      </w:r>
      <w:r w:rsidR="00D42429">
        <w:t>suggestion</w:t>
      </w:r>
      <w:r w:rsidR="008038CF">
        <w:t xml:space="preserve"> </w:t>
      </w:r>
      <w:r w:rsidR="00D42429">
        <w:t>amount</w:t>
      </w:r>
      <w:r w:rsidR="001A70B2">
        <w:t>ed</w:t>
      </w:r>
      <w:r w:rsidR="00D42429">
        <w:t xml:space="preserve"> to</w:t>
      </w:r>
      <w:r w:rsidR="00967143">
        <w:t xml:space="preserve"> </w:t>
      </w:r>
      <w:r w:rsidR="008038CF">
        <w:t xml:space="preserve">seeking </w:t>
      </w:r>
      <w:r w:rsidR="00967143">
        <w:t xml:space="preserve">impermissible merits review.  </w:t>
      </w:r>
      <w:r w:rsidR="00B864C4">
        <w:t>This ground of appeal must fail.</w:t>
      </w:r>
    </w:p>
    <w:p w14:paraId="6A300723" w14:textId="0E29F7D3" w:rsidR="00403F9A" w:rsidRDefault="00403F9A" w:rsidP="009C7764">
      <w:pPr>
        <w:pStyle w:val="Heading2"/>
      </w:pPr>
      <w:r>
        <w:t>Appeal ground 4 (ground</w:t>
      </w:r>
      <w:r w:rsidR="00F127FB">
        <w:t xml:space="preserve"> 4</w:t>
      </w:r>
      <w:r w:rsidR="005F3C2C">
        <w:t xml:space="preserve"> below</w:t>
      </w:r>
      <w:r>
        <w:t>)</w:t>
      </w:r>
      <w:r w:rsidR="002D20B5">
        <w:t xml:space="preserve"> – allowing an objection in part </w:t>
      </w:r>
    </w:p>
    <w:p w14:paraId="01F89EC4" w14:textId="40975B29" w:rsidR="0028224F" w:rsidRDefault="009C54D8" w:rsidP="004F60EC">
      <w:pPr>
        <w:pStyle w:val="ParaNumbering"/>
      </w:pPr>
      <w:r>
        <w:t>This ground of appeal asserts that</w:t>
      </w:r>
      <w:r w:rsidR="009B33C5">
        <w:t>,</w:t>
      </w:r>
      <w:r>
        <w:t xml:space="preserve"> </w:t>
      </w:r>
      <w:r w:rsidR="00CA6528">
        <w:t xml:space="preserve">to the extent that </w:t>
      </w:r>
      <w:r w:rsidR="00CA6528" w:rsidRPr="00751EE4">
        <w:t>Mr Buzadzic</w:t>
      </w:r>
      <w:r w:rsidR="00CA6528">
        <w:t xml:space="preserve"> was able to show that any part of the sum going towards an amended assessment was not income</w:t>
      </w:r>
      <w:r w:rsidR="001E03AB">
        <w:t xml:space="preserve">, then he was required to be given credit to that extent.  </w:t>
      </w:r>
      <w:r w:rsidR="005C4193">
        <w:t xml:space="preserve">This </w:t>
      </w:r>
      <w:r w:rsidR="002A287A">
        <w:t xml:space="preserve">situation presented </w:t>
      </w:r>
      <w:r w:rsidR="005C4193">
        <w:t>before the Tribunal</w:t>
      </w:r>
      <w:r w:rsidR="00912982">
        <w:t>,</w:t>
      </w:r>
      <w:r w:rsidR="005C4193">
        <w:t xml:space="preserve"> </w:t>
      </w:r>
      <w:r w:rsidR="004248B5">
        <w:t xml:space="preserve">by </w:t>
      </w:r>
      <w:r w:rsidR="002A287A">
        <w:t xml:space="preserve">reason of </w:t>
      </w:r>
      <w:r w:rsidR="00912982">
        <w:t xml:space="preserve">some </w:t>
      </w:r>
      <w:r w:rsidR="004248B5">
        <w:t xml:space="preserve">concessions </w:t>
      </w:r>
      <w:r w:rsidR="00EC146D">
        <w:t xml:space="preserve">made </w:t>
      </w:r>
      <w:r w:rsidR="004248B5">
        <w:t xml:space="preserve">by the Commissioner and some items that were explained by </w:t>
      </w:r>
      <w:r w:rsidR="004248B5" w:rsidRPr="00751EE4">
        <w:t>Mr Buzadzic</w:t>
      </w:r>
      <w:r w:rsidR="004248B5">
        <w:t xml:space="preserve">.  </w:t>
      </w:r>
    </w:p>
    <w:p w14:paraId="2B84C3D4" w14:textId="393ACD40" w:rsidR="004F60EC" w:rsidRPr="005E39BF" w:rsidRDefault="00C77AA7" w:rsidP="004F60EC">
      <w:pPr>
        <w:pStyle w:val="ParaNumbering"/>
      </w:pPr>
      <w:r>
        <w:t xml:space="preserve">However, </w:t>
      </w:r>
      <w:r w:rsidR="00933CD2">
        <w:t xml:space="preserve">the </w:t>
      </w:r>
      <w:r w:rsidR="00327655">
        <w:t xml:space="preserve">proposition underlying the ground is </w:t>
      </w:r>
      <w:r w:rsidR="00717DC8">
        <w:t xml:space="preserve">flawed. </w:t>
      </w:r>
      <w:r w:rsidR="009802D6">
        <w:t xml:space="preserve"> </w:t>
      </w:r>
      <w:r w:rsidR="000A655C">
        <w:t xml:space="preserve">It </w:t>
      </w:r>
      <w:r w:rsidR="009802D6">
        <w:t>misconstru</w:t>
      </w:r>
      <w:r w:rsidR="00717DC8">
        <w:t xml:space="preserve">es </w:t>
      </w:r>
      <w:r w:rsidR="001E03AB">
        <w:t xml:space="preserve">the </w:t>
      </w:r>
      <w:r w:rsidR="005F1D0D">
        <w:t xml:space="preserve">obligation </w:t>
      </w:r>
      <w:r w:rsidR="0055636D">
        <w:t xml:space="preserve">imposed upon </w:t>
      </w:r>
      <w:r w:rsidR="0055636D" w:rsidRPr="00751EE4">
        <w:t>Mr Buzadzic</w:t>
      </w:r>
      <w:r w:rsidR="00D056CD">
        <w:t>,</w:t>
      </w:r>
      <w:r w:rsidR="0055636D">
        <w:t xml:space="preserve"> </w:t>
      </w:r>
      <w:r w:rsidR="000A655C">
        <w:t xml:space="preserve">which </w:t>
      </w:r>
      <w:r w:rsidR="00165F7B">
        <w:t>was</w:t>
      </w:r>
      <w:r w:rsidR="000A655C">
        <w:t xml:space="preserve"> </w:t>
      </w:r>
      <w:r w:rsidR="005F1D0D">
        <w:t>not just to show that some part of the assessment made by the Commissioner related to s</w:t>
      </w:r>
      <w:r w:rsidR="0055636D">
        <w:t xml:space="preserve">omething that was not income, but </w:t>
      </w:r>
      <w:r w:rsidR="00864457">
        <w:t xml:space="preserve">also the true amount of his </w:t>
      </w:r>
      <w:r w:rsidR="00864457">
        <w:lastRenderedPageBreak/>
        <w:t xml:space="preserve">taxable income.  </w:t>
      </w:r>
      <w:r w:rsidR="00EF70F6">
        <w:t>T</w:t>
      </w:r>
      <w:r w:rsidR="003539D3">
        <w:t xml:space="preserve">he primary judge </w:t>
      </w:r>
      <w:r w:rsidR="00EF70F6">
        <w:t xml:space="preserve">made this clear by referring to what </w:t>
      </w:r>
      <w:r w:rsidR="003539D3">
        <w:t xml:space="preserve">Nettle J </w:t>
      </w:r>
      <w:r w:rsidR="00EF70F6">
        <w:t xml:space="preserve">had observed </w:t>
      </w:r>
      <w:r w:rsidR="003539D3">
        <w:t xml:space="preserve">in </w:t>
      </w:r>
      <w:r w:rsidR="00FD64A4" w:rsidRPr="00C609DC">
        <w:rPr>
          <w:i/>
        </w:rPr>
        <w:t>Bosanac</w:t>
      </w:r>
      <w:r w:rsidR="00FD64A4">
        <w:rPr>
          <w:i/>
        </w:rPr>
        <w:t xml:space="preserve"> </w:t>
      </w:r>
      <w:r w:rsidR="00F37010">
        <w:rPr>
          <w:iCs/>
        </w:rPr>
        <w:t>at</w:t>
      </w:r>
      <w:r w:rsidR="005E39BF">
        <w:rPr>
          <w:iCs/>
        </w:rPr>
        <w:t xml:space="preserve"> [30]:</w:t>
      </w:r>
    </w:p>
    <w:p w14:paraId="747880FB" w14:textId="3D1BA8D8" w:rsidR="005E39BF" w:rsidRDefault="005E39BF" w:rsidP="005E39BF">
      <w:pPr>
        <w:pStyle w:val="Quote1"/>
        <w:rPr>
          <w:iCs/>
        </w:rPr>
      </w:pPr>
      <w:r>
        <w:t xml:space="preserve">… But where, as here, an appeal proceeds on the basis that not all of the material facts are known, either because the taxpayer has been less than forthcoming in making disclosures to the Commissioner or for some other reason, the taxpayer cannot succeed by showing only that the basis of the Commissioner’s assessment was in some respect erroneous; since for all that can be told, unless and until the taxpayer proves to the contrary, there may be other income of which the Commissioner was not aware and which the Commissioner has not taken into account. </w:t>
      </w:r>
      <w:r w:rsidRPr="005E39BF">
        <w:rPr>
          <w:bCs/>
        </w:rPr>
        <w:t>In order to succeed in such a case, the taxpayer must discharge the burden of demonstrating on the balance of probabilities the true amount of the taxpayer’s taxable income and thus that the amount determined by the objection decision is excessive.</w:t>
      </w:r>
      <w:r>
        <w:t xml:space="preserve"> …</w:t>
      </w:r>
    </w:p>
    <w:p w14:paraId="61911D0A" w14:textId="549C6C45" w:rsidR="00DB472C" w:rsidRDefault="005965A7" w:rsidP="00775C7E">
      <w:pPr>
        <w:pStyle w:val="ParaNumbering"/>
      </w:pPr>
      <w:r w:rsidRPr="00751EE4">
        <w:t>Mr Buzadzic</w:t>
      </w:r>
      <w:r>
        <w:t xml:space="preserve"> asserted </w:t>
      </w:r>
      <w:r w:rsidR="00480907">
        <w:t xml:space="preserve">both before the primary judge and on appeal </w:t>
      </w:r>
      <w:r>
        <w:t xml:space="preserve">that </w:t>
      </w:r>
      <w:r w:rsidR="004C3020">
        <w:t>a</w:t>
      </w:r>
      <w:r>
        <w:t xml:space="preserve"> partial credit approach was both justified and required by what was said in </w:t>
      </w:r>
      <w:r w:rsidR="005428E7" w:rsidRPr="002E6A8F">
        <w:rPr>
          <w:b/>
          <w:bCs/>
          <w:i/>
        </w:rPr>
        <w:t>Haritos</w:t>
      </w:r>
      <w:r w:rsidR="005428E7" w:rsidRPr="002E6A8F">
        <w:rPr>
          <w:i/>
        </w:rPr>
        <w:t xml:space="preserve"> v Federal Commissioner of Taxation</w:t>
      </w:r>
      <w:r w:rsidR="005428E7" w:rsidRPr="002E6A8F">
        <w:t xml:space="preserve"> [2015] FCAFC 92; 233 FCR 315</w:t>
      </w:r>
      <w:r w:rsidR="005428E7">
        <w:t xml:space="preserve"> at </w:t>
      </w:r>
      <w:r w:rsidR="00E02AA2">
        <w:t xml:space="preserve">[235]-[236].  The primary judge </w:t>
      </w:r>
      <w:r w:rsidR="004C3020">
        <w:t>at PJ</w:t>
      </w:r>
      <w:r w:rsidR="003F21D0">
        <w:t xml:space="preserve">[129] </w:t>
      </w:r>
      <w:r w:rsidR="00E02AA2">
        <w:t xml:space="preserve">distinguished </w:t>
      </w:r>
      <w:r w:rsidR="00E02AA2" w:rsidRPr="004A3410">
        <w:rPr>
          <w:i/>
        </w:rPr>
        <w:t xml:space="preserve">Haritos </w:t>
      </w:r>
      <w:r w:rsidR="00E02AA2" w:rsidRPr="004A3410">
        <w:rPr>
          <w:iCs/>
        </w:rPr>
        <w:t>upon the basis that</w:t>
      </w:r>
      <w:r w:rsidR="008E15EE">
        <w:rPr>
          <w:iCs/>
        </w:rPr>
        <w:t>, there,</w:t>
      </w:r>
      <w:r w:rsidR="00E02AA2" w:rsidRPr="004A3410">
        <w:rPr>
          <w:iCs/>
        </w:rPr>
        <w:t xml:space="preserve"> the Full Court was </w:t>
      </w:r>
      <w:r w:rsidR="00006A78" w:rsidRPr="004A3410">
        <w:rPr>
          <w:iCs/>
        </w:rPr>
        <w:t>dealing with a different situation in which the taxpayer and the Commissioner had agreed to limit the scope of the issues in dispute</w:t>
      </w:r>
      <w:r w:rsidR="004A3410" w:rsidRPr="004A3410">
        <w:rPr>
          <w:iCs/>
        </w:rPr>
        <w:t xml:space="preserve">, citing the decision of </w:t>
      </w:r>
      <w:r w:rsidR="00F07F30" w:rsidRPr="004A3410">
        <w:rPr>
          <w:iCs/>
        </w:rPr>
        <w:t xml:space="preserve">Derrington J in </w:t>
      </w:r>
      <w:r w:rsidR="00BB58B6" w:rsidRPr="004A3410">
        <w:rPr>
          <w:i/>
        </w:rPr>
        <w:t>Ross</w:t>
      </w:r>
      <w:r w:rsidR="00BB58B6" w:rsidRPr="00BB61C6">
        <w:t xml:space="preserve"> </w:t>
      </w:r>
      <w:r w:rsidR="004A3410">
        <w:t>at [57]</w:t>
      </w:r>
      <w:r w:rsidR="00B237DE">
        <w:t xml:space="preserve">.  Derrington J </w:t>
      </w:r>
      <w:r w:rsidR="00F85DCD">
        <w:t xml:space="preserve">had </w:t>
      </w:r>
      <w:r w:rsidR="00277476">
        <w:t xml:space="preserve">correctly </w:t>
      </w:r>
      <w:r w:rsidR="00F85DCD">
        <w:t>observed:</w:t>
      </w:r>
    </w:p>
    <w:p w14:paraId="5F1A2E63" w14:textId="06A5A49E" w:rsidR="00277476" w:rsidRDefault="00277476" w:rsidP="00277476">
      <w:pPr>
        <w:pStyle w:val="Quote1"/>
      </w:pPr>
      <w:r>
        <w:t xml:space="preserve">… As the Commissioner submitted, </w:t>
      </w:r>
      <w:r w:rsidRPr="00F373A3">
        <w:rPr>
          <w:i/>
        </w:rPr>
        <w:t>Haritos</w:t>
      </w:r>
      <w:r>
        <w:t xml:space="preserve"> concerned circumstances where the taxpayers and the Commissioner had reduced the scope of the hearing to a number of particular disputed amounts which, depending upon the manner in which they were resolved, would increase or decrease the amount which the parties had otherwise agreed represented the taxpayers’ taxable income.  In other words, the underlying circumstances in relation to the taxpayers’ taxable income were generally agreed with the remaining disputed items to be determined by the Tribunal, with the results of those determinations altering the otherwise accepted amount of taxable income.  </w:t>
      </w:r>
      <w:r w:rsidRPr="00F373A3">
        <w:rPr>
          <w:i/>
        </w:rPr>
        <w:t>Haritos</w:t>
      </w:r>
      <w:r>
        <w:t xml:space="preserve"> was not a case where, before the Tribunal, the taxpayers’ were still required to fully and completely establish the actual amount of their taxable income.  …</w:t>
      </w:r>
    </w:p>
    <w:p w14:paraId="79CBBEF7" w14:textId="6CBBABB5" w:rsidR="00F85DCD" w:rsidRDefault="003F21D0" w:rsidP="003F21D0">
      <w:pPr>
        <w:pStyle w:val="ParaNumbering"/>
      </w:pPr>
      <w:r>
        <w:rPr>
          <w:iCs/>
        </w:rPr>
        <w:t xml:space="preserve">The particular way the dispute was litigated in </w:t>
      </w:r>
      <w:r w:rsidR="00F85DCD" w:rsidRPr="003F21D0">
        <w:rPr>
          <w:i/>
        </w:rPr>
        <w:t xml:space="preserve">Haritos </w:t>
      </w:r>
      <w:r>
        <w:rPr>
          <w:iCs/>
        </w:rPr>
        <w:t xml:space="preserve">does not and cannot change </w:t>
      </w:r>
      <w:r w:rsidR="00D54101">
        <w:rPr>
          <w:iCs/>
        </w:rPr>
        <w:t>the operation of the law in circumstances such as this case</w:t>
      </w:r>
      <w:r w:rsidR="00D243C4">
        <w:rPr>
          <w:iCs/>
        </w:rPr>
        <w:t>, where</w:t>
      </w:r>
      <w:r w:rsidR="00D54101">
        <w:rPr>
          <w:iCs/>
        </w:rPr>
        <w:t xml:space="preserve"> the Commissioner </w:t>
      </w:r>
      <w:r w:rsidR="00D243C4">
        <w:rPr>
          <w:iCs/>
        </w:rPr>
        <w:t xml:space="preserve">has </w:t>
      </w:r>
      <w:r w:rsidR="00D54101">
        <w:rPr>
          <w:iCs/>
        </w:rPr>
        <w:t xml:space="preserve">maintained </w:t>
      </w:r>
      <w:r w:rsidR="00D243C4">
        <w:rPr>
          <w:iCs/>
        </w:rPr>
        <w:t xml:space="preserve">at all times </w:t>
      </w:r>
      <w:r w:rsidR="00D54101">
        <w:rPr>
          <w:iCs/>
        </w:rPr>
        <w:t xml:space="preserve">the position that </w:t>
      </w:r>
      <w:r w:rsidR="00D54101" w:rsidRPr="00D54101">
        <w:rPr>
          <w:iCs/>
        </w:rPr>
        <w:t>Mr Buzadzic</w:t>
      </w:r>
      <w:r w:rsidR="00D54101">
        <w:rPr>
          <w:iCs/>
        </w:rPr>
        <w:t xml:space="preserve"> </w:t>
      </w:r>
      <w:r w:rsidR="003E0A03">
        <w:rPr>
          <w:iCs/>
        </w:rPr>
        <w:t xml:space="preserve">had to prove what his taxable income was, even with some amounts </w:t>
      </w:r>
      <w:r w:rsidR="006161BB">
        <w:rPr>
          <w:iCs/>
        </w:rPr>
        <w:t xml:space="preserve">that might make up that income </w:t>
      </w:r>
      <w:r w:rsidR="003E0A03">
        <w:rPr>
          <w:iCs/>
        </w:rPr>
        <w:t xml:space="preserve">being accounted for.  </w:t>
      </w:r>
      <w:r w:rsidR="00921F47">
        <w:rPr>
          <w:iCs/>
        </w:rPr>
        <w:t xml:space="preserve">It follows that the primary judge did not err and appeal ground </w:t>
      </w:r>
      <w:r w:rsidR="00971413">
        <w:rPr>
          <w:iCs/>
        </w:rPr>
        <w:t>4 must therefore fail.</w:t>
      </w:r>
    </w:p>
    <w:p w14:paraId="30CBB1BD" w14:textId="742FC481" w:rsidR="00403F9A" w:rsidRDefault="00403F9A" w:rsidP="009C7764">
      <w:pPr>
        <w:pStyle w:val="Heading2"/>
      </w:pPr>
      <w:r>
        <w:t xml:space="preserve">Appeal ground </w:t>
      </w:r>
      <w:r w:rsidR="00F127FB">
        <w:t>5</w:t>
      </w:r>
      <w:r>
        <w:t xml:space="preserve"> (grounds</w:t>
      </w:r>
      <w:r w:rsidR="00374658">
        <w:t xml:space="preserve"> 5 to 7</w:t>
      </w:r>
      <w:r w:rsidR="005F3C2C">
        <w:t xml:space="preserve"> below</w:t>
      </w:r>
      <w:r>
        <w:t>)</w:t>
      </w:r>
      <w:r w:rsidR="002D20B5">
        <w:t xml:space="preserve"> – fraud or evasion</w:t>
      </w:r>
    </w:p>
    <w:p w14:paraId="2BE5E2F4" w14:textId="77777777" w:rsidR="007F00B1" w:rsidRDefault="0050667F" w:rsidP="004F60EC">
      <w:pPr>
        <w:pStyle w:val="ParaNumbering"/>
      </w:pPr>
      <w:r w:rsidRPr="00751EE4">
        <w:t>Mr </w:t>
      </w:r>
      <w:proofErr w:type="spellStart"/>
      <w:r w:rsidRPr="00751EE4">
        <w:t>Buzadzic</w:t>
      </w:r>
      <w:r>
        <w:t>’s</w:t>
      </w:r>
      <w:proofErr w:type="spellEnd"/>
      <w:r>
        <w:t xml:space="preserve"> challenge to the </w:t>
      </w:r>
      <w:r w:rsidR="00F46520">
        <w:t xml:space="preserve">Commissioner forming an opinion as to fraud or evasion turns on the Tribunal’s reasons </w:t>
      </w:r>
      <w:r w:rsidR="007F00B1">
        <w:t>on this topic as follows:</w:t>
      </w:r>
    </w:p>
    <w:p w14:paraId="1B9CBBB4" w14:textId="356722A2" w:rsidR="00A54452" w:rsidRPr="006B2CB9" w:rsidRDefault="007B341C" w:rsidP="006B2CB9">
      <w:pPr>
        <w:pStyle w:val="Quote1"/>
      </w:pPr>
      <w:r>
        <w:t>[202]</w:t>
      </w:r>
      <w:r>
        <w:tab/>
      </w:r>
      <w:r w:rsidR="00A54452" w:rsidRPr="006B2CB9">
        <w:t xml:space="preserve">In this particular case, to discharge the onus regarding fraud and evasion, Mr Buzadzic needed to provide evidence as to the sources of the amounts deposited into </w:t>
      </w:r>
      <w:r w:rsidR="00A54452" w:rsidRPr="006B2CB9">
        <w:lastRenderedPageBreak/>
        <w:t>the bank accounts.</w:t>
      </w:r>
      <w:r w:rsidR="00A54452" w:rsidRPr="006B2CB9">
        <w:rPr>
          <w:spacing w:val="40"/>
        </w:rPr>
        <w:t xml:space="preserve"> </w:t>
      </w:r>
      <w:r w:rsidR="00A54452" w:rsidRPr="006B2CB9">
        <w:t>Based on the evidence before it, the Tribunal does not accept the explanations proffered by</w:t>
      </w:r>
      <w:r w:rsidR="00A54452" w:rsidRPr="006B2CB9">
        <w:rPr>
          <w:spacing w:val="-2"/>
        </w:rPr>
        <w:t xml:space="preserve"> </w:t>
      </w:r>
      <w:r w:rsidR="00A54452" w:rsidRPr="006B2CB9">
        <w:t>Mr Buzadzic</w:t>
      </w:r>
      <w:r w:rsidR="00A54452" w:rsidRPr="006B2CB9">
        <w:rPr>
          <w:spacing w:val="-1"/>
        </w:rPr>
        <w:t xml:space="preserve"> </w:t>
      </w:r>
      <w:r w:rsidR="00A54452" w:rsidRPr="006B2CB9">
        <w:t>for</w:t>
      </w:r>
      <w:r w:rsidR="00A54452" w:rsidRPr="006B2CB9">
        <w:rPr>
          <w:spacing w:val="-1"/>
        </w:rPr>
        <w:t xml:space="preserve"> </w:t>
      </w:r>
      <w:r w:rsidR="00A54452" w:rsidRPr="006B2CB9">
        <w:t>the</w:t>
      </w:r>
      <w:r w:rsidR="00A54452" w:rsidRPr="006B2CB9">
        <w:rPr>
          <w:spacing w:val="-2"/>
        </w:rPr>
        <w:t xml:space="preserve"> </w:t>
      </w:r>
      <w:r w:rsidR="00A54452" w:rsidRPr="006B2CB9">
        <w:t>deposits.</w:t>
      </w:r>
      <w:r w:rsidR="00A54452" w:rsidRPr="006B2CB9">
        <w:rPr>
          <w:spacing w:val="40"/>
        </w:rPr>
        <w:t xml:space="preserve"> </w:t>
      </w:r>
      <w:r w:rsidR="00A54452" w:rsidRPr="006B2CB9">
        <w:t>The character of</w:t>
      </w:r>
      <w:r w:rsidR="00A54452" w:rsidRPr="006B2CB9">
        <w:rPr>
          <w:spacing w:val="-1"/>
        </w:rPr>
        <w:t xml:space="preserve"> </w:t>
      </w:r>
      <w:r w:rsidR="00A54452" w:rsidRPr="006B2CB9">
        <w:t>the amounts</w:t>
      </w:r>
      <w:r w:rsidR="00A54452" w:rsidRPr="006B2CB9">
        <w:rPr>
          <w:spacing w:val="-1"/>
        </w:rPr>
        <w:t xml:space="preserve"> </w:t>
      </w:r>
      <w:r w:rsidR="00A54452" w:rsidRPr="006B2CB9">
        <w:t>deposited remain unexplained and he has not proven the amounts to be non-assessable.</w:t>
      </w:r>
      <w:r w:rsidR="00A54452" w:rsidRPr="006B2CB9">
        <w:rPr>
          <w:spacing w:val="40"/>
        </w:rPr>
        <w:t xml:space="preserve"> </w:t>
      </w:r>
      <w:r w:rsidR="00A54452" w:rsidRPr="006B2CB9">
        <w:t>In the absence of an accepted explanation for the amounts, Mr Buzadzic has failed to demonstrate the omission of these amounts from his assessable income were not attributable to a blameworthy</w:t>
      </w:r>
      <w:r w:rsidR="00A54452" w:rsidRPr="006B2CB9">
        <w:rPr>
          <w:spacing w:val="-7"/>
        </w:rPr>
        <w:t xml:space="preserve"> </w:t>
      </w:r>
      <w:r w:rsidR="00A54452" w:rsidRPr="006B2CB9">
        <w:t>act.</w:t>
      </w:r>
      <w:r w:rsidR="00A54452" w:rsidRPr="006B2CB9">
        <w:rPr>
          <w:spacing w:val="40"/>
        </w:rPr>
        <w:t xml:space="preserve"> </w:t>
      </w:r>
      <w:r w:rsidR="00A54452" w:rsidRPr="006B2CB9">
        <w:t>Approached</w:t>
      </w:r>
      <w:r w:rsidR="00A54452" w:rsidRPr="006B2CB9">
        <w:rPr>
          <w:spacing w:val="-4"/>
        </w:rPr>
        <w:t xml:space="preserve"> </w:t>
      </w:r>
      <w:r w:rsidR="00A54452" w:rsidRPr="006B2CB9">
        <w:t>differently,</w:t>
      </w:r>
      <w:r w:rsidR="00A54452" w:rsidRPr="006B2CB9">
        <w:rPr>
          <w:spacing w:val="-5"/>
        </w:rPr>
        <w:t xml:space="preserve"> </w:t>
      </w:r>
      <w:r w:rsidR="00A54452" w:rsidRPr="006B2CB9">
        <w:t>the</w:t>
      </w:r>
      <w:r w:rsidR="00A54452" w:rsidRPr="006B2CB9">
        <w:rPr>
          <w:spacing w:val="-7"/>
        </w:rPr>
        <w:t xml:space="preserve"> </w:t>
      </w:r>
      <w:r w:rsidR="00A54452" w:rsidRPr="006B2CB9">
        <w:t>Tribunal</w:t>
      </w:r>
      <w:r w:rsidR="00A54452" w:rsidRPr="006B2CB9">
        <w:rPr>
          <w:spacing w:val="-5"/>
        </w:rPr>
        <w:t xml:space="preserve"> </w:t>
      </w:r>
      <w:r w:rsidR="00A54452" w:rsidRPr="006B2CB9">
        <w:t>has</w:t>
      </w:r>
      <w:r w:rsidR="00A54452" w:rsidRPr="006B2CB9">
        <w:rPr>
          <w:spacing w:val="-4"/>
        </w:rPr>
        <w:t xml:space="preserve"> </w:t>
      </w:r>
      <w:r w:rsidR="00A54452" w:rsidRPr="006B2CB9">
        <w:t>nothing</w:t>
      </w:r>
      <w:r w:rsidR="00A54452" w:rsidRPr="006B2CB9">
        <w:rPr>
          <w:spacing w:val="-2"/>
        </w:rPr>
        <w:t xml:space="preserve"> </w:t>
      </w:r>
      <w:r w:rsidR="00A54452" w:rsidRPr="006B2CB9">
        <w:t>on</w:t>
      </w:r>
      <w:r w:rsidR="00A54452" w:rsidRPr="006B2CB9">
        <w:rPr>
          <w:spacing w:val="-7"/>
        </w:rPr>
        <w:t xml:space="preserve"> </w:t>
      </w:r>
      <w:r w:rsidR="00A54452" w:rsidRPr="006B2CB9">
        <w:t>which</w:t>
      </w:r>
      <w:r w:rsidR="00A54452" w:rsidRPr="006B2CB9">
        <w:rPr>
          <w:spacing w:val="-4"/>
        </w:rPr>
        <w:t xml:space="preserve"> </w:t>
      </w:r>
      <w:r w:rsidR="00A54452" w:rsidRPr="006B2CB9">
        <w:t>it</w:t>
      </w:r>
      <w:r w:rsidR="00A54452" w:rsidRPr="006B2CB9">
        <w:rPr>
          <w:spacing w:val="-3"/>
        </w:rPr>
        <w:t xml:space="preserve"> </w:t>
      </w:r>
      <w:r w:rsidR="00A54452" w:rsidRPr="006B2CB9">
        <w:t>can</w:t>
      </w:r>
      <w:r w:rsidR="00A54452" w:rsidRPr="006B2CB9">
        <w:rPr>
          <w:spacing w:val="-7"/>
        </w:rPr>
        <w:t xml:space="preserve"> </w:t>
      </w:r>
      <w:r w:rsidR="00A54452" w:rsidRPr="006B2CB9">
        <w:t>evaluate the seriousness of any shortcoming, there is nothing on which the Tribunal can rest a conclusion that there was not such a blameworthy act.</w:t>
      </w:r>
    </w:p>
    <w:p w14:paraId="100B32AC" w14:textId="2AFD0215" w:rsidR="005C6ED8" w:rsidRDefault="007B341C" w:rsidP="006B2CB9">
      <w:pPr>
        <w:pStyle w:val="Quote1"/>
      </w:pPr>
      <w:r>
        <w:t>[203]</w:t>
      </w:r>
      <w:r>
        <w:tab/>
      </w:r>
      <w:r w:rsidR="00E16BFB">
        <w:t>Mr Buzadzic contended that there was no basis on which the Tribunal could be satisfied that he had engaged in fraud or evasion because he was a panel beater with limited education who relied upon his employees and external accountants</w:t>
      </w:r>
      <w:r w:rsidR="00E16BFB">
        <w:rPr>
          <w:spacing w:val="-1"/>
        </w:rPr>
        <w:t xml:space="preserve"> </w:t>
      </w:r>
      <w:r w:rsidR="00E16BFB">
        <w:t>in order to comply</w:t>
      </w:r>
      <w:r w:rsidR="00E16BFB">
        <w:rPr>
          <w:spacing w:val="-1"/>
        </w:rPr>
        <w:t xml:space="preserve"> </w:t>
      </w:r>
      <w:r w:rsidR="00E16BFB">
        <w:t>with his taxation obligations.</w:t>
      </w:r>
      <w:r w:rsidR="00E16BFB">
        <w:rPr>
          <w:spacing w:val="40"/>
        </w:rPr>
        <w:t xml:space="preserve"> </w:t>
      </w:r>
      <w:r w:rsidR="00E16BFB">
        <w:t xml:space="preserve">He had no knowledge of the provisions of the </w:t>
      </w:r>
      <w:r w:rsidR="00E16BFB">
        <w:rPr>
          <w:i/>
        </w:rPr>
        <w:t>Income Tax Assessment</w:t>
      </w:r>
      <w:r w:rsidR="00E16BFB">
        <w:rPr>
          <w:i/>
          <w:spacing w:val="75"/>
        </w:rPr>
        <w:t xml:space="preserve"> </w:t>
      </w:r>
      <w:r w:rsidR="00E16BFB">
        <w:rPr>
          <w:i/>
        </w:rPr>
        <w:t>Act</w:t>
      </w:r>
      <w:r w:rsidR="00E16BFB">
        <w:rPr>
          <w:i/>
          <w:spacing w:val="73"/>
        </w:rPr>
        <w:t xml:space="preserve"> </w:t>
      </w:r>
      <w:r w:rsidR="00E16BFB">
        <w:rPr>
          <w:i/>
        </w:rPr>
        <w:t>1936</w:t>
      </w:r>
      <w:r w:rsidR="00E16BFB">
        <w:rPr>
          <w:i/>
          <w:spacing w:val="72"/>
        </w:rPr>
        <w:t xml:space="preserve"> </w:t>
      </w:r>
      <w:r w:rsidR="00E16BFB">
        <w:t>and</w:t>
      </w:r>
      <w:r w:rsidR="00E16BFB">
        <w:rPr>
          <w:spacing w:val="74"/>
        </w:rPr>
        <w:t xml:space="preserve"> </w:t>
      </w:r>
      <w:r w:rsidR="00E16BFB">
        <w:t>could</w:t>
      </w:r>
      <w:r w:rsidR="00E16BFB">
        <w:rPr>
          <w:spacing w:val="74"/>
        </w:rPr>
        <w:t xml:space="preserve"> </w:t>
      </w:r>
      <w:r w:rsidR="00E16BFB">
        <w:t>not</w:t>
      </w:r>
      <w:r w:rsidR="00E16BFB">
        <w:rPr>
          <w:spacing w:val="73"/>
        </w:rPr>
        <w:t xml:space="preserve"> </w:t>
      </w:r>
      <w:r w:rsidR="00E16BFB">
        <w:rPr>
          <w:i/>
        </w:rPr>
        <w:t>have</w:t>
      </w:r>
      <w:r w:rsidR="00E16BFB">
        <w:rPr>
          <w:i/>
          <w:spacing w:val="74"/>
        </w:rPr>
        <w:t xml:space="preserve"> </w:t>
      </w:r>
      <w:r w:rsidR="00E16BFB">
        <w:rPr>
          <w:i/>
        </w:rPr>
        <w:t>understood</w:t>
      </w:r>
      <w:r w:rsidR="00E16BFB">
        <w:rPr>
          <w:i/>
          <w:spacing w:val="71"/>
        </w:rPr>
        <w:t xml:space="preserve"> </w:t>
      </w:r>
      <w:r w:rsidR="00E16BFB">
        <w:rPr>
          <w:i/>
        </w:rPr>
        <w:t>that</w:t>
      </w:r>
      <w:r w:rsidR="00E16BFB">
        <w:rPr>
          <w:i/>
          <w:spacing w:val="73"/>
        </w:rPr>
        <w:t xml:space="preserve"> </w:t>
      </w:r>
      <w:r w:rsidR="00E16BFB">
        <w:rPr>
          <w:i/>
        </w:rPr>
        <w:t>unverified</w:t>
      </w:r>
      <w:r w:rsidR="00E16BFB">
        <w:rPr>
          <w:i/>
          <w:spacing w:val="74"/>
        </w:rPr>
        <w:t xml:space="preserve"> </w:t>
      </w:r>
      <w:r w:rsidR="00E16BFB">
        <w:rPr>
          <w:i/>
        </w:rPr>
        <w:t>credit</w:t>
      </w:r>
      <w:r w:rsidR="00E16BFB">
        <w:rPr>
          <w:i/>
          <w:spacing w:val="75"/>
        </w:rPr>
        <w:t xml:space="preserve"> </w:t>
      </w:r>
      <w:r w:rsidR="00E16BFB">
        <w:rPr>
          <w:i/>
        </w:rPr>
        <w:t>entries</w:t>
      </w:r>
      <w:r w:rsidR="005C6ED8">
        <w:rPr>
          <w:i/>
        </w:rPr>
        <w:t xml:space="preserve"> comprising</w:t>
      </w:r>
      <w:r w:rsidR="005C6ED8">
        <w:rPr>
          <w:i/>
          <w:spacing w:val="40"/>
        </w:rPr>
        <w:t xml:space="preserve"> </w:t>
      </w:r>
      <w:r w:rsidR="005C6ED8">
        <w:rPr>
          <w:i/>
        </w:rPr>
        <w:t>discrepancies</w:t>
      </w:r>
      <w:r w:rsidR="005C6ED8">
        <w:rPr>
          <w:i/>
          <w:spacing w:val="40"/>
        </w:rPr>
        <w:t xml:space="preserve"> </w:t>
      </w:r>
      <w:r w:rsidR="005C6ED8">
        <w:rPr>
          <w:i/>
        </w:rPr>
        <w:t>in</w:t>
      </w:r>
      <w:r w:rsidR="005C6ED8">
        <w:rPr>
          <w:i/>
          <w:spacing w:val="40"/>
        </w:rPr>
        <w:t xml:space="preserve"> </w:t>
      </w:r>
      <w:r w:rsidR="005C6ED8">
        <w:rPr>
          <w:i/>
        </w:rPr>
        <w:t>loan</w:t>
      </w:r>
      <w:r w:rsidR="005C6ED8">
        <w:rPr>
          <w:i/>
          <w:spacing w:val="40"/>
        </w:rPr>
        <w:t xml:space="preserve"> </w:t>
      </w:r>
      <w:r w:rsidR="005C6ED8">
        <w:rPr>
          <w:i/>
        </w:rPr>
        <w:t>accounts</w:t>
      </w:r>
      <w:r w:rsidR="005C6ED8">
        <w:rPr>
          <w:i/>
          <w:spacing w:val="40"/>
        </w:rPr>
        <w:t xml:space="preserve"> </w:t>
      </w:r>
      <w:r w:rsidR="005C6ED8">
        <w:rPr>
          <w:i/>
        </w:rPr>
        <w:t>with</w:t>
      </w:r>
      <w:r w:rsidR="005C6ED8">
        <w:rPr>
          <w:i/>
          <w:spacing w:val="40"/>
        </w:rPr>
        <w:t xml:space="preserve"> </w:t>
      </w:r>
      <w:r w:rsidR="005C6ED8">
        <w:rPr>
          <w:i/>
        </w:rPr>
        <w:t>various</w:t>
      </w:r>
      <w:r w:rsidR="005C6ED8">
        <w:rPr>
          <w:i/>
          <w:spacing w:val="40"/>
        </w:rPr>
        <w:t xml:space="preserve"> </w:t>
      </w:r>
      <w:r w:rsidR="005C6ED8">
        <w:rPr>
          <w:i/>
        </w:rPr>
        <w:t>companies</w:t>
      </w:r>
      <w:r w:rsidR="005C6ED8">
        <w:rPr>
          <w:i/>
          <w:spacing w:val="40"/>
        </w:rPr>
        <w:t xml:space="preserve"> </w:t>
      </w:r>
      <w:r w:rsidR="005C6ED8">
        <w:rPr>
          <w:i/>
        </w:rPr>
        <w:t>and</w:t>
      </w:r>
      <w:r w:rsidR="005C6ED8">
        <w:rPr>
          <w:i/>
          <w:spacing w:val="40"/>
        </w:rPr>
        <w:t xml:space="preserve"> </w:t>
      </w:r>
      <w:r w:rsidR="005C6ED8">
        <w:rPr>
          <w:i/>
        </w:rPr>
        <w:t>discrepancies between closing and opening balances of some loan accounts were assessable income</w:t>
      </w:r>
      <w:r w:rsidR="005C6ED8">
        <w:t>.</w:t>
      </w:r>
    </w:p>
    <w:p w14:paraId="52CB80E9" w14:textId="31FCC977" w:rsidR="00A54452" w:rsidRDefault="007B341C" w:rsidP="006B2CB9">
      <w:pPr>
        <w:pStyle w:val="Quote1"/>
      </w:pPr>
      <w:r>
        <w:t>[204]</w:t>
      </w:r>
      <w:r>
        <w:tab/>
      </w:r>
      <w:r w:rsidR="006B2CB9">
        <w:t>There</w:t>
      </w:r>
      <w:r w:rsidR="006B2CB9">
        <w:rPr>
          <w:spacing w:val="-1"/>
        </w:rPr>
        <w:t xml:space="preserve"> </w:t>
      </w:r>
      <w:r w:rsidR="006B2CB9">
        <w:t>are</w:t>
      </w:r>
      <w:r w:rsidR="006B2CB9">
        <w:rPr>
          <w:spacing w:val="-3"/>
        </w:rPr>
        <w:t xml:space="preserve"> </w:t>
      </w:r>
      <w:r w:rsidR="006B2CB9">
        <w:t>a</w:t>
      </w:r>
      <w:r w:rsidR="006B2CB9">
        <w:rPr>
          <w:spacing w:val="-3"/>
        </w:rPr>
        <w:t xml:space="preserve"> </w:t>
      </w:r>
      <w:r w:rsidR="006B2CB9">
        <w:t>number</w:t>
      </w:r>
      <w:r w:rsidR="006B2CB9">
        <w:rPr>
          <w:spacing w:val="-2"/>
        </w:rPr>
        <w:t xml:space="preserve"> </w:t>
      </w:r>
      <w:r w:rsidR="006B2CB9">
        <w:t>of difficulties</w:t>
      </w:r>
      <w:r w:rsidR="006B2CB9">
        <w:rPr>
          <w:spacing w:val="-3"/>
        </w:rPr>
        <w:t xml:space="preserve"> </w:t>
      </w:r>
      <w:r w:rsidR="006B2CB9">
        <w:t>with</w:t>
      </w:r>
      <w:r w:rsidR="006B2CB9">
        <w:rPr>
          <w:spacing w:val="-1"/>
        </w:rPr>
        <w:t xml:space="preserve"> </w:t>
      </w:r>
      <w:r w:rsidR="006B2CB9">
        <w:t>this</w:t>
      </w:r>
      <w:r w:rsidR="006B2CB9">
        <w:rPr>
          <w:spacing w:val="-2"/>
        </w:rPr>
        <w:t xml:space="preserve"> </w:t>
      </w:r>
      <w:r w:rsidR="006B2CB9">
        <w:t>submission.</w:t>
      </w:r>
      <w:r w:rsidR="006B2CB9">
        <w:rPr>
          <w:spacing w:val="40"/>
        </w:rPr>
        <w:t xml:space="preserve"> </w:t>
      </w:r>
      <w:r w:rsidR="006B2CB9">
        <w:t>First,</w:t>
      </w:r>
      <w:r w:rsidR="006B2CB9">
        <w:rPr>
          <w:spacing w:val="-1"/>
        </w:rPr>
        <w:t xml:space="preserve"> </w:t>
      </w:r>
      <w:r w:rsidR="006B2CB9">
        <w:t>it</w:t>
      </w:r>
      <w:r w:rsidR="006B2CB9">
        <w:rPr>
          <w:spacing w:val="-1"/>
        </w:rPr>
        <w:t xml:space="preserve"> </w:t>
      </w:r>
      <w:r w:rsidR="006B2CB9">
        <w:t>does</w:t>
      </w:r>
      <w:r w:rsidR="006B2CB9">
        <w:rPr>
          <w:spacing w:val="-3"/>
        </w:rPr>
        <w:t xml:space="preserve"> </w:t>
      </w:r>
      <w:r w:rsidR="006B2CB9">
        <w:t>not</w:t>
      </w:r>
      <w:r w:rsidR="006B2CB9">
        <w:rPr>
          <w:spacing w:val="-1"/>
        </w:rPr>
        <w:t xml:space="preserve"> </w:t>
      </w:r>
      <w:r w:rsidR="006B2CB9">
        <w:t>lay</w:t>
      </w:r>
      <w:r w:rsidR="006B2CB9">
        <w:rPr>
          <w:spacing w:val="-3"/>
        </w:rPr>
        <w:t xml:space="preserve"> </w:t>
      </w:r>
      <w:r w:rsidR="006B2CB9">
        <w:t>a</w:t>
      </w:r>
      <w:r w:rsidR="006B2CB9">
        <w:rPr>
          <w:spacing w:val="-3"/>
        </w:rPr>
        <w:t xml:space="preserve"> </w:t>
      </w:r>
      <w:r w:rsidR="006B2CB9">
        <w:t>foundation</w:t>
      </w:r>
      <w:r w:rsidR="006B2CB9">
        <w:rPr>
          <w:spacing w:val="-3"/>
        </w:rPr>
        <w:t xml:space="preserve"> </w:t>
      </w:r>
      <w:r w:rsidR="006B2CB9">
        <w:t>to come to a conclusion that there was not a blameworthy act.</w:t>
      </w:r>
      <w:r w:rsidR="006B2CB9">
        <w:rPr>
          <w:spacing w:val="40"/>
        </w:rPr>
        <w:t xml:space="preserve"> </w:t>
      </w:r>
      <w:r w:rsidR="006B2CB9">
        <w:t>Second, a taxpayer is responsible</w:t>
      </w:r>
      <w:r w:rsidR="006B2CB9">
        <w:rPr>
          <w:spacing w:val="-2"/>
        </w:rPr>
        <w:t xml:space="preserve"> </w:t>
      </w:r>
      <w:r w:rsidR="006B2CB9">
        <w:t>for</w:t>
      </w:r>
      <w:r w:rsidR="006B2CB9">
        <w:rPr>
          <w:spacing w:val="-1"/>
        </w:rPr>
        <w:t xml:space="preserve"> </w:t>
      </w:r>
      <w:r w:rsidR="006B2CB9">
        <w:t>the</w:t>
      </w:r>
      <w:r w:rsidR="006B2CB9">
        <w:rPr>
          <w:spacing w:val="-2"/>
        </w:rPr>
        <w:t xml:space="preserve"> </w:t>
      </w:r>
      <w:r w:rsidR="006B2CB9">
        <w:t>acts</w:t>
      </w:r>
      <w:r w:rsidR="006B2CB9">
        <w:rPr>
          <w:spacing w:val="-1"/>
        </w:rPr>
        <w:t xml:space="preserve"> </w:t>
      </w:r>
      <w:r w:rsidR="006B2CB9">
        <w:t>of his employees and agents.</w:t>
      </w:r>
      <w:r w:rsidR="006B2CB9">
        <w:rPr>
          <w:spacing w:val="40"/>
        </w:rPr>
        <w:t xml:space="preserve"> </w:t>
      </w:r>
      <w:r w:rsidR="006B2CB9">
        <w:t>The blameworthy</w:t>
      </w:r>
      <w:r w:rsidR="006B2CB9">
        <w:rPr>
          <w:spacing w:val="-2"/>
        </w:rPr>
        <w:t xml:space="preserve"> </w:t>
      </w:r>
      <w:r w:rsidR="006B2CB9">
        <w:t>act may</w:t>
      </w:r>
      <w:r w:rsidR="006B2CB9">
        <w:rPr>
          <w:spacing w:val="-2"/>
        </w:rPr>
        <w:t xml:space="preserve"> </w:t>
      </w:r>
      <w:r w:rsidR="006B2CB9">
        <w:t>be</w:t>
      </w:r>
      <w:r w:rsidR="006B2CB9">
        <w:rPr>
          <w:spacing w:val="-2"/>
        </w:rPr>
        <w:t xml:space="preserve"> </w:t>
      </w:r>
      <w:r w:rsidR="006B2CB9">
        <w:t xml:space="preserve">that of the taxpayer personally or of those </w:t>
      </w:r>
      <w:r w:rsidR="006B2CB9">
        <w:rPr>
          <w:i/>
        </w:rPr>
        <w:t>he is responsible for</w:t>
      </w:r>
      <w:r w:rsidR="006B2CB9">
        <w:t>.</w:t>
      </w:r>
      <w:r w:rsidR="006B2CB9">
        <w:rPr>
          <w:spacing w:val="40"/>
        </w:rPr>
        <w:t xml:space="preserve"> </w:t>
      </w:r>
      <w:r w:rsidR="006B2CB9">
        <w:t>Third, a taxpayer does not discharge their onus of showing an absence of evasion based on a contention about their subjective level of understanding of the operation of the income tax legislation.</w:t>
      </w:r>
      <w:r w:rsidR="006B2CB9">
        <w:rPr>
          <w:spacing w:val="40"/>
        </w:rPr>
        <w:t xml:space="preserve"> </w:t>
      </w:r>
      <w:r w:rsidR="006B2CB9">
        <w:t>To allow otherwise</w:t>
      </w:r>
      <w:r w:rsidR="006B2CB9">
        <w:rPr>
          <w:spacing w:val="-11"/>
        </w:rPr>
        <w:t xml:space="preserve"> </w:t>
      </w:r>
      <w:r w:rsidR="006B2CB9">
        <w:t>would</w:t>
      </w:r>
      <w:r w:rsidR="006B2CB9">
        <w:rPr>
          <w:spacing w:val="-11"/>
        </w:rPr>
        <w:t xml:space="preserve"> </w:t>
      </w:r>
      <w:r w:rsidR="006B2CB9">
        <w:t>be</w:t>
      </w:r>
      <w:r w:rsidR="006B2CB9">
        <w:rPr>
          <w:spacing w:val="-11"/>
        </w:rPr>
        <w:t xml:space="preserve"> </w:t>
      </w:r>
      <w:r w:rsidR="006B2CB9">
        <w:t>to</w:t>
      </w:r>
      <w:r w:rsidR="006B2CB9">
        <w:rPr>
          <w:spacing w:val="-11"/>
        </w:rPr>
        <w:t xml:space="preserve"> </w:t>
      </w:r>
      <w:r w:rsidR="006B2CB9">
        <w:t>reward</w:t>
      </w:r>
      <w:r w:rsidR="006B2CB9">
        <w:rPr>
          <w:spacing w:val="-11"/>
        </w:rPr>
        <w:t xml:space="preserve"> </w:t>
      </w:r>
      <w:r w:rsidR="006B2CB9">
        <w:t>fiscal</w:t>
      </w:r>
      <w:r w:rsidR="006B2CB9">
        <w:rPr>
          <w:spacing w:val="-14"/>
        </w:rPr>
        <w:t xml:space="preserve"> </w:t>
      </w:r>
      <w:r w:rsidR="006B2CB9">
        <w:t>naivety.</w:t>
      </w:r>
      <w:r w:rsidR="006B2CB9">
        <w:rPr>
          <w:spacing w:val="39"/>
        </w:rPr>
        <w:t xml:space="preserve"> </w:t>
      </w:r>
      <w:r w:rsidR="006B2CB9">
        <w:t>Fourth,</w:t>
      </w:r>
      <w:r w:rsidR="006B2CB9">
        <w:rPr>
          <w:spacing w:val="-13"/>
        </w:rPr>
        <w:t xml:space="preserve"> </w:t>
      </w:r>
      <w:r w:rsidR="006B2CB9">
        <w:t>the</w:t>
      </w:r>
      <w:r w:rsidR="006B2CB9">
        <w:rPr>
          <w:spacing w:val="-11"/>
        </w:rPr>
        <w:t xml:space="preserve"> </w:t>
      </w:r>
      <w:r w:rsidR="006B2CB9">
        <w:t>submission</w:t>
      </w:r>
      <w:r w:rsidR="006B2CB9">
        <w:rPr>
          <w:spacing w:val="-14"/>
        </w:rPr>
        <w:t xml:space="preserve"> </w:t>
      </w:r>
      <w:r w:rsidR="006B2CB9">
        <w:t>reflects</w:t>
      </w:r>
      <w:r w:rsidR="006B2CB9">
        <w:rPr>
          <w:spacing w:val="-13"/>
        </w:rPr>
        <w:t xml:space="preserve"> </w:t>
      </w:r>
      <w:r w:rsidR="006B2CB9">
        <w:t>confusion</w:t>
      </w:r>
      <w:r w:rsidR="006B2CB9">
        <w:rPr>
          <w:spacing w:val="-14"/>
        </w:rPr>
        <w:t xml:space="preserve"> </w:t>
      </w:r>
      <w:r w:rsidR="006B2CB9">
        <w:t>about the</w:t>
      </w:r>
      <w:r w:rsidR="006B2CB9">
        <w:rPr>
          <w:spacing w:val="-11"/>
        </w:rPr>
        <w:t xml:space="preserve"> </w:t>
      </w:r>
      <w:r w:rsidR="006B2CB9">
        <w:t>reason</w:t>
      </w:r>
      <w:r w:rsidR="006B2CB9">
        <w:rPr>
          <w:spacing w:val="-11"/>
        </w:rPr>
        <w:t xml:space="preserve"> </w:t>
      </w:r>
      <w:r w:rsidR="006B2CB9">
        <w:t>why</w:t>
      </w:r>
      <w:r w:rsidR="006B2CB9">
        <w:rPr>
          <w:spacing w:val="-11"/>
        </w:rPr>
        <w:t xml:space="preserve"> </w:t>
      </w:r>
      <w:r w:rsidR="006B2CB9">
        <w:t>the</w:t>
      </w:r>
      <w:r w:rsidR="006B2CB9">
        <w:rPr>
          <w:spacing w:val="-8"/>
        </w:rPr>
        <w:t xml:space="preserve"> </w:t>
      </w:r>
      <w:r w:rsidR="006B2CB9">
        <w:rPr>
          <w:i/>
        </w:rPr>
        <w:t>unverified</w:t>
      </w:r>
      <w:r w:rsidR="006B2CB9">
        <w:rPr>
          <w:i/>
          <w:spacing w:val="-9"/>
        </w:rPr>
        <w:t xml:space="preserve"> </w:t>
      </w:r>
      <w:r w:rsidR="006B2CB9">
        <w:rPr>
          <w:i/>
        </w:rPr>
        <w:t>credit</w:t>
      </w:r>
      <w:r w:rsidR="006B2CB9">
        <w:rPr>
          <w:i/>
          <w:spacing w:val="-10"/>
        </w:rPr>
        <w:t xml:space="preserve"> </w:t>
      </w:r>
      <w:r w:rsidR="006B2CB9">
        <w:rPr>
          <w:i/>
        </w:rPr>
        <w:t>entries</w:t>
      </w:r>
      <w:r w:rsidR="006B2CB9">
        <w:rPr>
          <w:i/>
          <w:spacing w:val="-10"/>
        </w:rPr>
        <w:t xml:space="preserve"> </w:t>
      </w:r>
      <w:r w:rsidR="006B2CB9">
        <w:t>and</w:t>
      </w:r>
      <w:r w:rsidR="006B2CB9">
        <w:rPr>
          <w:spacing w:val="-11"/>
        </w:rPr>
        <w:t xml:space="preserve"> </w:t>
      </w:r>
      <w:r w:rsidR="006B2CB9">
        <w:rPr>
          <w:i/>
        </w:rPr>
        <w:t>discrepancies</w:t>
      </w:r>
      <w:r w:rsidR="006B2CB9">
        <w:rPr>
          <w:i/>
          <w:spacing w:val="-9"/>
        </w:rPr>
        <w:t xml:space="preserve"> </w:t>
      </w:r>
      <w:r w:rsidR="006B2CB9">
        <w:rPr>
          <w:i/>
        </w:rPr>
        <w:t>between</w:t>
      </w:r>
      <w:r w:rsidR="006B2CB9">
        <w:rPr>
          <w:i/>
          <w:spacing w:val="-11"/>
        </w:rPr>
        <w:t xml:space="preserve"> </w:t>
      </w:r>
      <w:r w:rsidR="006B2CB9">
        <w:rPr>
          <w:i/>
        </w:rPr>
        <w:t>closing</w:t>
      </w:r>
      <w:r w:rsidR="006B2CB9">
        <w:rPr>
          <w:i/>
          <w:spacing w:val="-9"/>
        </w:rPr>
        <w:t xml:space="preserve"> </w:t>
      </w:r>
      <w:r w:rsidR="006B2CB9">
        <w:rPr>
          <w:i/>
        </w:rPr>
        <w:t>and</w:t>
      </w:r>
      <w:r w:rsidR="006B2CB9">
        <w:rPr>
          <w:i/>
          <w:spacing w:val="-11"/>
        </w:rPr>
        <w:t xml:space="preserve"> </w:t>
      </w:r>
      <w:r w:rsidR="006B2CB9">
        <w:rPr>
          <w:i/>
        </w:rPr>
        <w:t xml:space="preserve">opening balances </w:t>
      </w:r>
      <w:r w:rsidR="006B2CB9">
        <w:t xml:space="preserve">result in amounts being included in Mr </w:t>
      </w:r>
      <w:proofErr w:type="spellStart"/>
      <w:r w:rsidR="006B2CB9">
        <w:t>Buzadzic’s</w:t>
      </w:r>
      <w:proofErr w:type="spellEnd"/>
      <w:r w:rsidR="006B2CB9">
        <w:t xml:space="preserve"> assessable income.</w:t>
      </w:r>
      <w:r w:rsidR="006B2CB9">
        <w:rPr>
          <w:spacing w:val="40"/>
        </w:rPr>
        <w:t xml:space="preserve"> </w:t>
      </w:r>
      <w:r w:rsidR="006B2CB9">
        <w:t xml:space="preserve">The Unverified Credit Entries comprise instances where the source of and reason for the reduction in Mr </w:t>
      </w:r>
      <w:proofErr w:type="spellStart"/>
      <w:r w:rsidR="006B2CB9">
        <w:t>Buzadzic’s</w:t>
      </w:r>
      <w:proofErr w:type="spellEnd"/>
      <w:r w:rsidR="006B2CB9">
        <w:t xml:space="preserve"> loan account could not be explained.</w:t>
      </w:r>
      <w:r w:rsidR="006B2CB9">
        <w:rPr>
          <w:spacing w:val="40"/>
        </w:rPr>
        <w:t xml:space="preserve"> </w:t>
      </w:r>
      <w:r w:rsidR="006B2CB9">
        <w:t>In the absence of an explanation</w:t>
      </w:r>
      <w:r w:rsidR="006B2CB9">
        <w:rPr>
          <w:spacing w:val="-6"/>
        </w:rPr>
        <w:t xml:space="preserve"> </w:t>
      </w:r>
      <w:r w:rsidR="006B2CB9">
        <w:t>of</w:t>
      </w:r>
      <w:r w:rsidR="006B2CB9">
        <w:rPr>
          <w:spacing w:val="-7"/>
        </w:rPr>
        <w:t xml:space="preserve"> </w:t>
      </w:r>
      <w:r w:rsidR="006B2CB9">
        <w:t>the</w:t>
      </w:r>
      <w:r w:rsidR="006B2CB9">
        <w:rPr>
          <w:spacing w:val="-9"/>
        </w:rPr>
        <w:t xml:space="preserve"> </w:t>
      </w:r>
      <w:r w:rsidR="006B2CB9">
        <w:t>source</w:t>
      </w:r>
      <w:r w:rsidR="006B2CB9">
        <w:rPr>
          <w:spacing w:val="-9"/>
        </w:rPr>
        <w:t xml:space="preserve"> </w:t>
      </w:r>
      <w:r w:rsidR="006B2CB9">
        <w:t>of</w:t>
      </w:r>
      <w:r w:rsidR="006B2CB9">
        <w:rPr>
          <w:spacing w:val="-7"/>
        </w:rPr>
        <w:t xml:space="preserve"> </w:t>
      </w:r>
      <w:r w:rsidR="006B2CB9">
        <w:t>the</w:t>
      </w:r>
      <w:r w:rsidR="006B2CB9">
        <w:rPr>
          <w:spacing w:val="-9"/>
        </w:rPr>
        <w:t xml:space="preserve"> </w:t>
      </w:r>
      <w:r w:rsidR="006B2CB9">
        <w:t>moneys</w:t>
      </w:r>
      <w:r w:rsidR="006B2CB9">
        <w:rPr>
          <w:spacing w:val="-7"/>
        </w:rPr>
        <w:t xml:space="preserve"> </w:t>
      </w:r>
      <w:r w:rsidR="006B2CB9">
        <w:t>(whether</w:t>
      </w:r>
      <w:r w:rsidR="006B2CB9">
        <w:rPr>
          <w:spacing w:val="-7"/>
        </w:rPr>
        <w:t xml:space="preserve"> </w:t>
      </w:r>
      <w:r w:rsidR="006B2CB9">
        <w:t>by</w:t>
      </w:r>
      <w:r w:rsidR="006B2CB9">
        <w:rPr>
          <w:spacing w:val="-9"/>
        </w:rPr>
        <w:t xml:space="preserve"> </w:t>
      </w:r>
      <w:r w:rsidR="006B2CB9">
        <w:t>way</w:t>
      </w:r>
      <w:r w:rsidR="006B2CB9">
        <w:rPr>
          <w:spacing w:val="-7"/>
        </w:rPr>
        <w:t xml:space="preserve"> </w:t>
      </w:r>
      <w:r w:rsidR="006B2CB9">
        <w:t>of</w:t>
      </w:r>
      <w:r w:rsidR="006B2CB9">
        <w:rPr>
          <w:spacing w:val="-5"/>
        </w:rPr>
        <w:t xml:space="preserve"> </w:t>
      </w:r>
      <w:r w:rsidR="006B2CB9">
        <w:t>a</w:t>
      </w:r>
      <w:r w:rsidR="006B2CB9">
        <w:rPr>
          <w:spacing w:val="-9"/>
        </w:rPr>
        <w:t xml:space="preserve"> </w:t>
      </w:r>
      <w:r w:rsidR="006B2CB9">
        <w:t>cash</w:t>
      </w:r>
      <w:r w:rsidR="006B2CB9">
        <w:rPr>
          <w:spacing w:val="-9"/>
        </w:rPr>
        <w:t xml:space="preserve"> </w:t>
      </w:r>
      <w:r w:rsidR="006B2CB9">
        <w:t>receipt,</w:t>
      </w:r>
      <w:r w:rsidR="006B2CB9">
        <w:rPr>
          <w:spacing w:val="-10"/>
        </w:rPr>
        <w:t xml:space="preserve"> </w:t>
      </w:r>
      <w:r w:rsidR="006B2CB9">
        <w:t>set-off,</w:t>
      </w:r>
      <w:r w:rsidR="006B2CB9">
        <w:rPr>
          <w:spacing w:val="-10"/>
        </w:rPr>
        <w:t xml:space="preserve"> </w:t>
      </w:r>
      <w:r w:rsidR="006B2CB9">
        <w:t>payment by</w:t>
      </w:r>
      <w:r w:rsidR="006B2CB9">
        <w:rPr>
          <w:spacing w:val="-14"/>
        </w:rPr>
        <w:t xml:space="preserve"> </w:t>
      </w:r>
      <w:r w:rsidR="006B2CB9">
        <w:t>direction</w:t>
      </w:r>
      <w:r w:rsidR="006B2CB9">
        <w:rPr>
          <w:spacing w:val="-11"/>
        </w:rPr>
        <w:t xml:space="preserve"> </w:t>
      </w:r>
      <w:r w:rsidR="006B2CB9">
        <w:t>or</w:t>
      </w:r>
      <w:r w:rsidR="006B2CB9">
        <w:rPr>
          <w:spacing w:val="-10"/>
        </w:rPr>
        <w:t xml:space="preserve"> </w:t>
      </w:r>
      <w:r w:rsidR="006B2CB9">
        <w:t>otherwise)</w:t>
      </w:r>
      <w:r w:rsidR="006B2CB9">
        <w:rPr>
          <w:spacing w:val="-10"/>
        </w:rPr>
        <w:t xml:space="preserve"> </w:t>
      </w:r>
      <w:r w:rsidR="006B2CB9">
        <w:t>which</w:t>
      </w:r>
      <w:r w:rsidR="006B2CB9">
        <w:rPr>
          <w:spacing w:val="-11"/>
        </w:rPr>
        <w:t xml:space="preserve"> </w:t>
      </w:r>
      <w:r w:rsidR="006B2CB9">
        <w:t>gave</w:t>
      </w:r>
      <w:r w:rsidR="006B2CB9">
        <w:rPr>
          <w:spacing w:val="-11"/>
        </w:rPr>
        <w:t xml:space="preserve"> </w:t>
      </w:r>
      <w:r w:rsidR="006B2CB9">
        <w:t>rise</w:t>
      </w:r>
      <w:r w:rsidR="006B2CB9">
        <w:rPr>
          <w:spacing w:val="-11"/>
        </w:rPr>
        <w:t xml:space="preserve"> </w:t>
      </w:r>
      <w:r w:rsidR="006B2CB9">
        <w:t>to</w:t>
      </w:r>
      <w:r w:rsidR="006B2CB9">
        <w:rPr>
          <w:spacing w:val="-11"/>
        </w:rPr>
        <w:t xml:space="preserve"> </w:t>
      </w:r>
      <w:r w:rsidR="006B2CB9">
        <w:t>the</w:t>
      </w:r>
      <w:r w:rsidR="006B2CB9">
        <w:rPr>
          <w:spacing w:val="-11"/>
        </w:rPr>
        <w:t xml:space="preserve"> </w:t>
      </w:r>
      <w:r w:rsidR="006B2CB9">
        <w:t>reductions,</w:t>
      </w:r>
      <w:r w:rsidR="006B2CB9">
        <w:rPr>
          <w:spacing w:val="-10"/>
        </w:rPr>
        <w:t xml:space="preserve"> </w:t>
      </w:r>
      <w:r w:rsidR="006B2CB9">
        <w:t>Mr</w:t>
      </w:r>
      <w:r w:rsidR="006B2CB9">
        <w:rPr>
          <w:spacing w:val="-10"/>
        </w:rPr>
        <w:t xml:space="preserve"> </w:t>
      </w:r>
      <w:r w:rsidR="006B2CB9">
        <w:t>Buzadzic</w:t>
      </w:r>
      <w:r w:rsidR="006B2CB9">
        <w:rPr>
          <w:spacing w:val="-11"/>
        </w:rPr>
        <w:t xml:space="preserve"> </w:t>
      </w:r>
      <w:r w:rsidR="006B2CB9">
        <w:t>has</w:t>
      </w:r>
      <w:r w:rsidR="006B2CB9">
        <w:rPr>
          <w:spacing w:val="-11"/>
        </w:rPr>
        <w:t xml:space="preserve"> </w:t>
      </w:r>
      <w:r w:rsidR="006B2CB9">
        <w:t>not</w:t>
      </w:r>
      <w:r w:rsidR="006B2CB9">
        <w:rPr>
          <w:spacing w:val="-10"/>
        </w:rPr>
        <w:t xml:space="preserve"> </w:t>
      </w:r>
      <w:r w:rsidR="006B2CB9">
        <w:t>discharged his onus of demonstrating that the moneys which funded those reductions were not amounts of his assessable income.</w:t>
      </w:r>
      <w:r w:rsidR="006B2CB9">
        <w:rPr>
          <w:spacing w:val="40"/>
        </w:rPr>
        <w:t xml:space="preserve"> </w:t>
      </w:r>
      <w:r w:rsidR="006B2CB9">
        <w:t xml:space="preserve">Similarly by not providing evidence of the basis of the adjustments made to the loan accounts as part of the year end process, Mr Buzadzic has not discharged his onus of demonstrating that the source of those adjustments was not to be found in amounts that were his assessable income (for example, in the form of </w:t>
      </w:r>
      <w:r w:rsidR="006B2CB9">
        <w:rPr>
          <w:spacing w:val="-2"/>
        </w:rPr>
        <w:t>dividends).</w:t>
      </w:r>
    </w:p>
    <w:p w14:paraId="4B0E1E60" w14:textId="5FF864FD" w:rsidR="00831CAC" w:rsidRDefault="00831CAC" w:rsidP="005B3A71">
      <w:pPr>
        <w:pStyle w:val="ParaNumbering"/>
      </w:pPr>
      <w:r w:rsidRPr="00751EE4">
        <w:t>Mr Buzadzic</w:t>
      </w:r>
      <w:r>
        <w:t xml:space="preserve"> submits that the Tribunal </w:t>
      </w:r>
      <w:r w:rsidR="00FC31BC">
        <w:t>erred in concluding that the requisite blameworthiness existed</w:t>
      </w:r>
      <w:r w:rsidR="00911933">
        <w:t>.</w:t>
      </w:r>
      <w:r w:rsidR="002352F4">
        <w:t xml:space="preserve"> </w:t>
      </w:r>
      <w:r w:rsidR="0089257F">
        <w:t xml:space="preserve"> </w:t>
      </w:r>
      <w:r w:rsidR="00911933">
        <w:t xml:space="preserve">However, </w:t>
      </w:r>
      <w:r w:rsidR="002352F4">
        <w:t xml:space="preserve">the problem with that submission is that there was no such conclusion.  The Commissioner formed the opinion that there was blameworthy conduct.  </w:t>
      </w:r>
      <w:r w:rsidR="00AC6DD0">
        <w:t xml:space="preserve">It was for </w:t>
      </w:r>
      <w:r w:rsidR="00AC6DD0" w:rsidRPr="00751EE4">
        <w:t>Mr Buzadzic</w:t>
      </w:r>
      <w:r w:rsidR="00AC6DD0">
        <w:t xml:space="preserve"> to discharge the onus of </w:t>
      </w:r>
      <w:r w:rsidR="00887C4A">
        <w:t xml:space="preserve">proving to the satisfaction of the Tribunal </w:t>
      </w:r>
      <w:r w:rsidR="00AC6DD0">
        <w:t xml:space="preserve">that </w:t>
      </w:r>
      <w:r w:rsidR="00C131A1">
        <w:t xml:space="preserve">there was no blameworthy conduct on his part.  If he did not do so, the Commissioner’s opinion was not successfully impugned.  </w:t>
      </w:r>
      <w:r w:rsidR="003130DB">
        <w:t>As the primary judge correctly observed:</w:t>
      </w:r>
    </w:p>
    <w:p w14:paraId="6BE128F7" w14:textId="44143D8D" w:rsidR="00F94ADA" w:rsidRDefault="0023162A" w:rsidP="00F94ADA">
      <w:pPr>
        <w:pStyle w:val="Quote1"/>
      </w:pPr>
      <w:r>
        <w:t>[135]</w:t>
      </w:r>
      <w:r>
        <w:tab/>
      </w:r>
      <w:r w:rsidR="00F94ADA">
        <w:t xml:space="preserve">Insofar as Mr Buzadzic challenges the Full Court’s judgment in </w:t>
      </w:r>
      <w:r w:rsidR="00F94ADA" w:rsidRPr="00ED08F5">
        <w:rPr>
          <w:i/>
        </w:rPr>
        <w:t>Binetter</w:t>
      </w:r>
      <w:r w:rsidR="00FB6914">
        <w:rPr>
          <w:i/>
        </w:rPr>
        <w:t xml:space="preserve"> </w:t>
      </w:r>
      <w:r w:rsidR="00FB6914">
        <w:rPr>
          <w:iCs/>
        </w:rPr>
        <w:t>[</w:t>
      </w:r>
      <w:r w:rsidR="00FB6914" w:rsidRPr="00BB61C6">
        <w:rPr>
          <w:i/>
        </w:rPr>
        <w:t>v</w:t>
      </w:r>
      <w:r w:rsidR="000C4DFC">
        <w:rPr>
          <w:i/>
        </w:rPr>
        <w:t> </w:t>
      </w:r>
      <w:r w:rsidR="00FB6914" w:rsidRPr="00BB61C6">
        <w:rPr>
          <w:i/>
        </w:rPr>
        <w:t>Federal Commissioner of Taxation</w:t>
      </w:r>
      <w:r w:rsidR="00FB6914" w:rsidRPr="00BB61C6">
        <w:t xml:space="preserve"> [2016] FCAFC 163; 249 FCR 534</w:t>
      </w:r>
      <w:r w:rsidR="00FB6914">
        <w:t>]</w:t>
      </w:r>
      <w:r w:rsidR="00F94ADA">
        <w:t>, this is a formal challenge, and he accepts that, as a single Judge, I am bound by the Full Court’s judgment.  In that case, Perram and Davies JJ (</w:t>
      </w:r>
      <w:proofErr w:type="spellStart"/>
      <w:r w:rsidR="00F94ADA">
        <w:t>Siopis</w:t>
      </w:r>
      <w:proofErr w:type="spellEnd"/>
      <w:r w:rsidR="00F94ADA">
        <w:t> J agreeing) stated at [93]:</w:t>
      </w:r>
    </w:p>
    <w:p w14:paraId="37ED82F1" w14:textId="77777777" w:rsidR="00F94ADA" w:rsidRDefault="00F94ADA" w:rsidP="00F94ADA">
      <w:pPr>
        <w:pStyle w:val="Quote2"/>
      </w:pPr>
      <w:r>
        <w:t xml:space="preserve">In cases where the amendment power depends on the formation of an opinion by the Commissioner of fraud or evasion, the difference between merits review </w:t>
      </w:r>
      <w:r>
        <w:lastRenderedPageBreak/>
        <w:t xml:space="preserve">by the Tribunal and an appeal to the Court is that </w:t>
      </w:r>
      <w:r w:rsidRPr="00CD2061">
        <w:rPr>
          <w:b/>
        </w:rPr>
        <w:t>the Tribunal re-considers whether, on the evidence before it, there was an avoidance of tax due to fraud or evasion</w:t>
      </w:r>
      <w:r>
        <w:t xml:space="preserve">, whereas the Court will only interfere with the Commissioner’s exercise of the amendment power if the Commissioner did not form the requisite opinion or the Commissioner’s opinion that there was fraud or evasion is vitiated by some error of law: s 43 of the AAT Act; </w:t>
      </w:r>
      <w:r w:rsidRPr="00CD2061">
        <w:rPr>
          <w:i/>
        </w:rPr>
        <w:t>Shell Company of Australia Ltd v Federal Commissioner of Taxation</w:t>
      </w:r>
      <w:r>
        <w:t xml:space="preserve"> (1930) 44 CLR 530 at 544-545; </w:t>
      </w:r>
      <w:r w:rsidRPr="00CD2061">
        <w:rPr>
          <w:i/>
        </w:rPr>
        <w:t>Jolly v Federal Commissioner of Taxation</w:t>
      </w:r>
      <w:r>
        <w:t xml:space="preserve"> (1935) 53 CLR 206 at 212-214; </w:t>
      </w:r>
      <w:r w:rsidRPr="00CD2061">
        <w:rPr>
          <w:i/>
        </w:rPr>
        <w:t>Avon Downs Pty Ltd v Federal Commissioner of Taxation</w:t>
      </w:r>
      <w:r>
        <w:t xml:space="preserve"> (1949) 78 CLR 353 at 360. Although the Tribunal re-examines whether, on the evidence before it, there was an avoidance of tax due to fraud or evasion, and is able to substitute its opinion for that of the Commissioner, </w:t>
      </w:r>
      <w:r w:rsidRPr="00CD2061">
        <w:rPr>
          <w:b/>
        </w:rPr>
        <w:t>the issue for the Tribunal is whether the taxpayer has discharged the onus of showing that the opinion that there was fraud or evasion should not have been formed,</w:t>
      </w:r>
      <w:r>
        <w:t xml:space="preserve"> </w:t>
      </w:r>
      <w:r w:rsidRPr="00CD2061">
        <w:rPr>
          <w:b/>
        </w:rPr>
        <w:t>and therefore, that the statutory condition for the power to amend is not satisfied</w:t>
      </w:r>
      <w:r>
        <w:t xml:space="preserve">. Unless the taxpayer discharges that onus, the assessments are not shown to be excessive and the effect of s 14ZZK is that the Tribunal must affirm the amended assessments, such assessments having been made by the Commissioner in compliance with the statutory requirements: </w:t>
      </w:r>
      <w:r w:rsidRPr="00CD2061">
        <w:rPr>
          <w:i/>
        </w:rPr>
        <w:t xml:space="preserve">McCormack v Federal Commissioner of Taxation </w:t>
      </w:r>
      <w:r>
        <w:t xml:space="preserve">(1979) 143 CLR 284 at 303; </w:t>
      </w:r>
      <w:r w:rsidRPr="00CD2061">
        <w:rPr>
          <w:i/>
        </w:rPr>
        <w:t>Millar v Federal Commissioner of Taxation</w:t>
      </w:r>
      <w:r>
        <w:t xml:space="preserve"> (2015) 101 ATR 827. In </w:t>
      </w:r>
      <w:r w:rsidRPr="00CD2061">
        <w:rPr>
          <w:i/>
        </w:rPr>
        <w:t>Millar</w:t>
      </w:r>
      <w:r>
        <w:t xml:space="preserve"> Griffiths J correctly held that on a merits review before the Tribunal, the onus of proof imposed by s 14ZZK places on the taxpayer the burden of disproving fraud or evasion.</w:t>
      </w:r>
    </w:p>
    <w:p w14:paraId="2DC53117" w14:textId="77777777" w:rsidR="00F94ADA" w:rsidRDefault="00F94ADA" w:rsidP="00F94ADA">
      <w:pPr>
        <w:pStyle w:val="Quote2"/>
      </w:pPr>
      <w:r>
        <w:t>(Emphasis added.)</w:t>
      </w:r>
    </w:p>
    <w:p w14:paraId="00F91B85" w14:textId="711E50A0" w:rsidR="00F94ADA" w:rsidRDefault="0023162A" w:rsidP="0023162A">
      <w:pPr>
        <w:pStyle w:val="Quote1"/>
      </w:pPr>
      <w:r>
        <w:t>[136]</w:t>
      </w:r>
      <w:r>
        <w:tab/>
      </w:r>
      <w:r w:rsidR="00F94ADA">
        <w:t xml:space="preserve">See also </w:t>
      </w:r>
      <w:r w:rsidR="00F94ADA" w:rsidRPr="0065554C">
        <w:rPr>
          <w:i/>
        </w:rPr>
        <w:t>Binetter</w:t>
      </w:r>
      <w:r w:rsidR="00F94ADA">
        <w:t xml:space="preserve"> at [94] and </w:t>
      </w:r>
      <w:r w:rsidR="00F94ADA" w:rsidRPr="0065554C">
        <w:rPr>
          <w:i/>
        </w:rPr>
        <w:t xml:space="preserve">Nguyen v Federal Commissioner of Taxation </w:t>
      </w:r>
      <w:r w:rsidR="00F94ADA">
        <w:t>[2018] FCA 1420; 265 FCR 355 at [115], [122], [130], [132] per Kenny J.  As set out in the above passage, it is established that, in a proceeding before the Tribunal, the taxpayer bears the onus of showing that the opinion that there was fraud or evasion should not have been formed.  I am bound by that proposition.  I reject Mr </w:t>
      </w:r>
      <w:proofErr w:type="spellStart"/>
      <w:r w:rsidR="00F94ADA">
        <w:t>Buzadzic’s</w:t>
      </w:r>
      <w:proofErr w:type="spellEnd"/>
      <w:r w:rsidR="00F94ADA">
        <w:t xml:space="preserve"> challenge to that proposition.</w:t>
      </w:r>
    </w:p>
    <w:p w14:paraId="6FA180D3" w14:textId="134DF5D3" w:rsidR="00F94ADA" w:rsidRDefault="0023162A" w:rsidP="0023162A">
      <w:pPr>
        <w:pStyle w:val="Quote1"/>
      </w:pPr>
      <w:r>
        <w:t>[137]</w:t>
      </w:r>
      <w:r>
        <w:tab/>
      </w:r>
      <w:r w:rsidR="00F94ADA">
        <w:t>Insofar as Mr Buzadzic submits that the Tribunal erred in finding that “the requisite blameworthiness existed”, this submission misstates the finding of the Tribunal.  The Tribunal did not make a finding to that effect.  Rather, it was not satisfied that Mr Buzadzic had demonstrated that the shortfall in his taxable income was not attributable to a blameworthy act (at [205]).</w:t>
      </w:r>
    </w:p>
    <w:p w14:paraId="1A86F591" w14:textId="6B6D9769" w:rsidR="00791FE6" w:rsidRPr="00B52C8B" w:rsidRDefault="00E92D6B" w:rsidP="00B952BF">
      <w:pPr>
        <w:pStyle w:val="ParaNumbering"/>
        <w:tabs>
          <w:tab w:val="clear" w:pos="720"/>
        </w:tabs>
        <w:rPr>
          <w:szCs w:val="24"/>
        </w:rPr>
      </w:pPr>
      <w:r w:rsidRPr="00B52C8B">
        <w:rPr>
          <w:szCs w:val="24"/>
        </w:rPr>
        <w:t>As the Commissioner point</w:t>
      </w:r>
      <w:r w:rsidR="0020469F">
        <w:rPr>
          <w:szCs w:val="24"/>
        </w:rPr>
        <w:t>s</w:t>
      </w:r>
      <w:r w:rsidRPr="00B52C8B">
        <w:rPr>
          <w:szCs w:val="24"/>
        </w:rPr>
        <w:t xml:space="preserve"> out, </w:t>
      </w:r>
      <w:r w:rsidR="00A57332" w:rsidRPr="00B52C8B">
        <w:rPr>
          <w:szCs w:val="24"/>
        </w:rPr>
        <w:t xml:space="preserve">the </w:t>
      </w:r>
      <w:r w:rsidR="00315234" w:rsidRPr="00B52C8B">
        <w:rPr>
          <w:szCs w:val="24"/>
        </w:rPr>
        <w:t xml:space="preserve">primary judge </w:t>
      </w:r>
      <w:r w:rsidR="00C41544" w:rsidRPr="00B52C8B">
        <w:rPr>
          <w:szCs w:val="24"/>
        </w:rPr>
        <w:t xml:space="preserve">correctly </w:t>
      </w:r>
      <w:r w:rsidR="00315234" w:rsidRPr="00B52C8B">
        <w:rPr>
          <w:szCs w:val="24"/>
        </w:rPr>
        <w:t xml:space="preserve">observed </w:t>
      </w:r>
      <w:r w:rsidR="00C41544" w:rsidRPr="00B52C8B">
        <w:rPr>
          <w:szCs w:val="24"/>
        </w:rPr>
        <w:t xml:space="preserve">at PJ[138] </w:t>
      </w:r>
      <w:r w:rsidR="00315234" w:rsidRPr="00B52C8B">
        <w:rPr>
          <w:szCs w:val="24"/>
        </w:rPr>
        <w:t>that, contrary to Mr </w:t>
      </w:r>
      <w:proofErr w:type="spellStart"/>
      <w:r w:rsidR="00315234" w:rsidRPr="00B52C8B">
        <w:rPr>
          <w:szCs w:val="24"/>
        </w:rPr>
        <w:t>Buzadzic’s</w:t>
      </w:r>
      <w:proofErr w:type="spellEnd"/>
      <w:r w:rsidR="00315234" w:rsidRPr="00B52C8B">
        <w:rPr>
          <w:szCs w:val="24"/>
        </w:rPr>
        <w:t xml:space="preserve"> submissions</w:t>
      </w:r>
      <w:r w:rsidR="0046038A">
        <w:rPr>
          <w:szCs w:val="24"/>
        </w:rPr>
        <w:t xml:space="preserve"> below and apparently maintained on appeal</w:t>
      </w:r>
      <w:r w:rsidR="00315234" w:rsidRPr="00B52C8B">
        <w:rPr>
          <w:szCs w:val="24"/>
        </w:rPr>
        <w:t xml:space="preserve">, </w:t>
      </w:r>
      <w:r w:rsidR="00323ACF" w:rsidRPr="00B52C8B">
        <w:rPr>
          <w:szCs w:val="24"/>
        </w:rPr>
        <w:t xml:space="preserve">the Tribunal did not err in finding that once the fraud or evasion opinion is formed in relation to a single particular of the assessment, the entire assessment is open to </w:t>
      </w:r>
      <w:r w:rsidR="001F200D" w:rsidRPr="00B52C8B">
        <w:rPr>
          <w:szCs w:val="24"/>
          <w:lang w:eastAsia="en-AU"/>
        </w:rPr>
        <w:t xml:space="preserve">reconsideration, </w:t>
      </w:r>
      <w:r w:rsidR="00B52C8B" w:rsidRPr="00B52C8B">
        <w:rPr>
          <w:szCs w:val="24"/>
          <w:lang w:eastAsia="en-AU"/>
        </w:rPr>
        <w:t xml:space="preserve">this </w:t>
      </w:r>
      <w:r w:rsidR="00457061" w:rsidRPr="00B52C8B">
        <w:rPr>
          <w:szCs w:val="24"/>
          <w:lang w:eastAsia="en-AU"/>
        </w:rPr>
        <w:t xml:space="preserve">being consistent with </w:t>
      </w:r>
      <w:r w:rsidR="00791FE6" w:rsidRPr="002E6A8F">
        <w:rPr>
          <w:i/>
          <w:iCs/>
          <w:szCs w:val="24"/>
          <w:lang w:eastAsia="en-AU"/>
        </w:rPr>
        <w:t>Denver Chemical Manufacturing Co v Commissioner of Taxation (NSW)</w:t>
      </w:r>
      <w:r w:rsidR="00791FE6" w:rsidRPr="002E6A8F">
        <w:rPr>
          <w:szCs w:val="24"/>
          <w:lang w:eastAsia="en-AU"/>
        </w:rPr>
        <w:t xml:space="preserve"> (1949) 79 CLR 296</w:t>
      </w:r>
      <w:r w:rsidR="00791FE6" w:rsidRPr="00B52C8B">
        <w:rPr>
          <w:szCs w:val="24"/>
          <w:lang w:eastAsia="en-AU"/>
        </w:rPr>
        <w:t xml:space="preserve"> at 314-15 (Dixon</w:t>
      </w:r>
      <w:r w:rsidR="00B52C8B">
        <w:rPr>
          <w:szCs w:val="24"/>
          <w:lang w:eastAsia="en-AU"/>
        </w:rPr>
        <w:t> </w:t>
      </w:r>
      <w:r w:rsidR="00791FE6" w:rsidRPr="00B52C8B">
        <w:rPr>
          <w:szCs w:val="24"/>
          <w:lang w:eastAsia="en-AU"/>
        </w:rPr>
        <w:t>J, with</w:t>
      </w:r>
      <w:r w:rsidR="00B52C8B" w:rsidRPr="00B52C8B">
        <w:rPr>
          <w:szCs w:val="24"/>
          <w:lang w:eastAsia="en-AU"/>
        </w:rPr>
        <w:t xml:space="preserve"> </w:t>
      </w:r>
      <w:r w:rsidR="00791FE6" w:rsidRPr="00B52C8B">
        <w:rPr>
          <w:szCs w:val="24"/>
          <w:lang w:eastAsia="en-AU"/>
        </w:rPr>
        <w:t>McTiernan, Williams and Webb JJ agreeing)</w:t>
      </w:r>
      <w:r w:rsidR="00B52C8B">
        <w:rPr>
          <w:szCs w:val="24"/>
          <w:lang w:eastAsia="en-AU"/>
        </w:rPr>
        <w:t>.</w:t>
      </w:r>
    </w:p>
    <w:p w14:paraId="2AD3D4F0" w14:textId="2847FFD7" w:rsidR="00A54452" w:rsidRDefault="0038369D" w:rsidP="00F929AB">
      <w:pPr>
        <w:pStyle w:val="ParaNumbering"/>
      </w:pPr>
      <w:r>
        <w:t>Appeal ground 5</w:t>
      </w:r>
      <w:r w:rsidR="00F929AB">
        <w:t xml:space="preserve"> was as mi</w:t>
      </w:r>
      <w:r>
        <w:t>s</w:t>
      </w:r>
      <w:r w:rsidR="00F929AB">
        <w:t xml:space="preserve">conceived </w:t>
      </w:r>
      <w:r>
        <w:t xml:space="preserve">as the ground of </w:t>
      </w:r>
      <w:r w:rsidR="00871FA8">
        <w:t>appeal</w:t>
      </w:r>
      <w:r>
        <w:t xml:space="preserve"> </w:t>
      </w:r>
      <w:r w:rsidR="00871FA8">
        <w:t>below</w:t>
      </w:r>
      <w:r>
        <w:t>, and accordingly must fail.</w:t>
      </w:r>
    </w:p>
    <w:p w14:paraId="54214D3A" w14:textId="7956BD4D" w:rsidR="00403F9A" w:rsidRDefault="00403F9A" w:rsidP="009C7764">
      <w:pPr>
        <w:pStyle w:val="Heading2"/>
      </w:pPr>
      <w:r>
        <w:lastRenderedPageBreak/>
        <w:t xml:space="preserve">Appeal ground </w:t>
      </w:r>
      <w:r w:rsidR="00374658">
        <w:t>6</w:t>
      </w:r>
      <w:r>
        <w:t xml:space="preserve"> (grounds</w:t>
      </w:r>
      <w:r w:rsidR="00374658">
        <w:t xml:space="preserve"> 8 to 12</w:t>
      </w:r>
      <w:r w:rsidR="005F3C2C">
        <w:t xml:space="preserve"> below</w:t>
      </w:r>
      <w:r>
        <w:t>)</w:t>
      </w:r>
      <w:r w:rsidR="00E12E3D">
        <w:t xml:space="preserve"> – penalties </w:t>
      </w:r>
    </w:p>
    <w:p w14:paraId="20DF0445" w14:textId="63686430" w:rsidR="00DC46D3" w:rsidRDefault="00555F46" w:rsidP="00567172">
      <w:pPr>
        <w:pStyle w:val="ParaNumbering"/>
        <w:tabs>
          <w:tab w:val="left" w:pos="3969"/>
        </w:tabs>
      </w:pPr>
      <w:r w:rsidRPr="002E6A8F">
        <w:t>Section 284-75</w:t>
      </w:r>
      <w:r>
        <w:t xml:space="preserve"> of </w:t>
      </w:r>
      <w:r w:rsidR="00277CAE">
        <w:t xml:space="preserve">Sch 1 of </w:t>
      </w:r>
      <w:r>
        <w:t>the TAA renders a taxpayer liable to an administrative penalty</w:t>
      </w:r>
      <w:r w:rsidR="005D5EEE">
        <w:t xml:space="preserve"> if, relevantly, that taxpayer makes a statement to the Commissioner</w:t>
      </w:r>
      <w:r w:rsidR="0085049D">
        <w:t xml:space="preserve"> (including via an agent</w:t>
      </w:r>
      <w:r w:rsidR="00C358DD">
        <w:t>,</w:t>
      </w:r>
      <w:r w:rsidR="0085049D">
        <w:t xml:space="preserve"> per s </w:t>
      </w:r>
      <w:r w:rsidR="003146CB">
        <w:t>284-25)</w:t>
      </w:r>
      <w:r w:rsidR="005D5EEE">
        <w:t xml:space="preserve"> </w:t>
      </w:r>
      <w:r w:rsidR="00746813">
        <w:t xml:space="preserve">that is false or misleading in a material particular, whether by what is </w:t>
      </w:r>
      <w:r w:rsidR="00A23C17">
        <w:t xml:space="preserve">in </w:t>
      </w:r>
      <w:r w:rsidR="00286FA6">
        <w:t>that statement</w:t>
      </w:r>
      <w:r w:rsidR="00A23C17">
        <w:t xml:space="preserve"> or omitted from it</w:t>
      </w:r>
      <w:r w:rsidR="0085049D">
        <w:t xml:space="preserve">.  </w:t>
      </w:r>
      <w:r w:rsidR="003146CB" w:rsidRPr="002E6A8F">
        <w:t>Section 284-90</w:t>
      </w:r>
      <w:r w:rsidR="001D0DA0" w:rsidRPr="002E6A8F">
        <w:t>(1)</w:t>
      </w:r>
      <w:r w:rsidR="003146CB">
        <w:t xml:space="preserve"> </w:t>
      </w:r>
      <w:r w:rsidR="00567172">
        <w:t xml:space="preserve">Sch </w:t>
      </w:r>
      <w:r w:rsidR="00C61DE0">
        <w:t xml:space="preserve">1 </w:t>
      </w:r>
      <w:r w:rsidR="003146CB">
        <w:t xml:space="preserve">then provides </w:t>
      </w:r>
      <w:r w:rsidR="001D0DA0">
        <w:t xml:space="preserve">a table of base penalties calculated by reference to </w:t>
      </w:r>
      <w:r w:rsidR="00DA674A">
        <w:t>a percentage of the shortfall amount</w:t>
      </w:r>
      <w:r w:rsidR="004D59F7">
        <w:t>: 75% for an intentional disregard of a taxation law</w:t>
      </w:r>
      <w:r w:rsidR="007F077A">
        <w:t xml:space="preserve">; </w:t>
      </w:r>
      <w:r w:rsidR="00B53C55">
        <w:t xml:space="preserve">50% </w:t>
      </w:r>
      <w:r w:rsidR="0074335B">
        <w:t>for</w:t>
      </w:r>
      <w:r w:rsidR="00B53C55">
        <w:t xml:space="preserve"> recklessness as to the operation of a taxation law; and 25% for </w:t>
      </w:r>
      <w:r w:rsidR="00234A3B">
        <w:t xml:space="preserve">failure to take reasonable care to comply with a taxation law.  Additionally, </w:t>
      </w:r>
      <w:r w:rsidR="001F4A95">
        <w:t xml:space="preserve">s 284-220 provides for an increase in </w:t>
      </w:r>
      <w:r w:rsidR="005E0A2B">
        <w:t>those base penalty amounts of 20%</w:t>
      </w:r>
      <w:r w:rsidR="00776359">
        <w:t xml:space="preserve"> </w:t>
      </w:r>
      <w:r w:rsidR="00A20A62">
        <w:t xml:space="preserve">(known as an uplift) </w:t>
      </w:r>
      <w:r w:rsidR="00776359">
        <w:t xml:space="preserve">if one of those three items of </w:t>
      </w:r>
      <w:r w:rsidR="00E24CB3">
        <w:t>intentional disregard, recklessness or failure to take reasonable care</w:t>
      </w:r>
      <w:r w:rsidR="0028078F">
        <w:t xml:space="preserve"> had been worked out for the taxpayer previously.</w:t>
      </w:r>
      <w:r w:rsidR="00013B61">
        <w:t xml:space="preserve">  This regime gave rise to the imposition of the penalties summarised at </w:t>
      </w:r>
      <w:r w:rsidR="00013B61" w:rsidRPr="00013B61">
        <w:t>[</w:t>
      </w:r>
      <w:r w:rsidR="00E21099">
        <w:t>10</w:t>
      </w:r>
      <w:r w:rsidR="00013B61" w:rsidRPr="00013B61">
        <w:t>]</w:t>
      </w:r>
      <w:r w:rsidR="00013B61">
        <w:t xml:space="preserve"> above.</w:t>
      </w:r>
    </w:p>
    <w:p w14:paraId="3C2AF9E9" w14:textId="376D011F" w:rsidR="004F60EC" w:rsidRDefault="00EC2628" w:rsidP="004F60EC">
      <w:pPr>
        <w:pStyle w:val="ParaNumbering"/>
      </w:pPr>
      <w:r>
        <w:t xml:space="preserve">This </w:t>
      </w:r>
      <w:r w:rsidR="00E624E7">
        <w:t xml:space="preserve">appeal </w:t>
      </w:r>
      <w:r>
        <w:t xml:space="preserve">ground challenges the Tribunal reasons </w:t>
      </w:r>
      <w:r w:rsidR="00DF0209">
        <w:t xml:space="preserve">in relation to penalties </w:t>
      </w:r>
      <w:r>
        <w:t xml:space="preserve">at </w:t>
      </w:r>
      <w:r w:rsidR="002276D8">
        <w:t>AAT</w:t>
      </w:r>
      <w:r w:rsidR="006949AD">
        <w:t>[213</w:t>
      </w:r>
      <w:r w:rsidR="001C3A28">
        <w:t>]</w:t>
      </w:r>
      <w:r w:rsidR="00F0614D">
        <w:t xml:space="preserve">.  It </w:t>
      </w:r>
      <w:r w:rsidR="003A1791">
        <w:t xml:space="preserve">is necessary </w:t>
      </w:r>
      <w:r w:rsidR="0066161C">
        <w:t xml:space="preserve">to </w:t>
      </w:r>
      <w:r w:rsidR="006479C8">
        <w:t xml:space="preserve">reproduce the immediately </w:t>
      </w:r>
      <w:r w:rsidR="006E0A20">
        <w:t>surrounding</w:t>
      </w:r>
      <w:r w:rsidR="006479C8">
        <w:t xml:space="preserve"> paragraphs to understand </w:t>
      </w:r>
      <w:r w:rsidR="00A214A7">
        <w:t xml:space="preserve">precisely </w:t>
      </w:r>
      <w:r w:rsidR="006479C8">
        <w:t xml:space="preserve">what </w:t>
      </w:r>
      <w:r w:rsidR="00F0614D">
        <w:t>[213]</w:t>
      </w:r>
      <w:r w:rsidR="006479C8">
        <w:t xml:space="preserve"> is referring to</w:t>
      </w:r>
      <w:r w:rsidR="006949AD">
        <w:t>:</w:t>
      </w:r>
    </w:p>
    <w:p w14:paraId="30844469" w14:textId="4F12C2F7" w:rsidR="0000757B" w:rsidRPr="003E12A7" w:rsidRDefault="007A3901" w:rsidP="0089718C">
      <w:pPr>
        <w:pStyle w:val="Quote1"/>
      </w:pPr>
      <w:r>
        <w:t>[211]</w:t>
      </w:r>
      <w:r>
        <w:tab/>
      </w:r>
      <w:r w:rsidR="0000757B" w:rsidRPr="003E12A7">
        <w:t>Mr</w:t>
      </w:r>
      <w:r w:rsidR="0000757B" w:rsidRPr="003E12A7">
        <w:rPr>
          <w:spacing w:val="2"/>
        </w:rPr>
        <w:t xml:space="preserve"> </w:t>
      </w:r>
      <w:r w:rsidR="0000757B" w:rsidRPr="003E12A7">
        <w:t>Buzadzic</w:t>
      </w:r>
      <w:r w:rsidR="0000757B" w:rsidRPr="003E12A7">
        <w:rPr>
          <w:spacing w:val="1"/>
        </w:rPr>
        <w:t xml:space="preserve"> </w:t>
      </w:r>
      <w:r w:rsidR="0000757B" w:rsidRPr="003E12A7">
        <w:t>was</w:t>
      </w:r>
      <w:r w:rsidR="0000757B" w:rsidRPr="003E12A7">
        <w:rPr>
          <w:spacing w:val="1"/>
        </w:rPr>
        <w:t xml:space="preserve"> </w:t>
      </w:r>
      <w:r w:rsidR="0000757B" w:rsidRPr="003E12A7">
        <w:t>assessed to</w:t>
      </w:r>
      <w:r w:rsidR="0000757B" w:rsidRPr="003E12A7">
        <w:rPr>
          <w:spacing w:val="-2"/>
        </w:rPr>
        <w:t xml:space="preserve"> </w:t>
      </w:r>
      <w:r w:rsidR="0000757B" w:rsidRPr="003E12A7">
        <w:t>penalties</w:t>
      </w:r>
      <w:r w:rsidR="0000757B" w:rsidRPr="003E12A7">
        <w:rPr>
          <w:spacing w:val="1"/>
        </w:rPr>
        <w:t xml:space="preserve"> </w:t>
      </w:r>
      <w:r w:rsidR="0000757B" w:rsidRPr="003E12A7">
        <w:t>on</w:t>
      </w:r>
      <w:r w:rsidR="0000757B" w:rsidRPr="003E12A7">
        <w:rPr>
          <w:spacing w:val="-1"/>
        </w:rPr>
        <w:t xml:space="preserve"> </w:t>
      </w:r>
      <w:r w:rsidR="0000757B" w:rsidRPr="003E12A7">
        <w:t>the</w:t>
      </w:r>
      <w:r w:rsidR="0000757B" w:rsidRPr="003E12A7">
        <w:rPr>
          <w:spacing w:val="-4"/>
        </w:rPr>
        <w:t xml:space="preserve"> </w:t>
      </w:r>
      <w:r w:rsidR="0000757B" w:rsidRPr="003E12A7">
        <w:t>following</w:t>
      </w:r>
      <w:r w:rsidR="0000757B" w:rsidRPr="003E12A7">
        <w:rPr>
          <w:spacing w:val="3"/>
        </w:rPr>
        <w:t xml:space="preserve"> </w:t>
      </w:r>
      <w:r w:rsidR="0000757B" w:rsidRPr="003E12A7">
        <w:rPr>
          <w:spacing w:val="-2"/>
        </w:rPr>
        <w:t>basis:</w:t>
      </w:r>
    </w:p>
    <w:p w14:paraId="2C9D9BC6" w14:textId="7519FFFD" w:rsidR="0000757B" w:rsidRPr="003E12A7" w:rsidRDefault="007A3901" w:rsidP="0089718C">
      <w:pPr>
        <w:pStyle w:val="Quote2"/>
      </w:pPr>
      <w:r>
        <w:t>(a)</w:t>
      </w:r>
      <w:r>
        <w:tab/>
      </w:r>
      <w:r w:rsidR="0000757B" w:rsidRPr="003E12A7">
        <w:t>in</w:t>
      </w:r>
      <w:r w:rsidR="0000757B" w:rsidRPr="003E12A7">
        <w:rPr>
          <w:spacing w:val="-7"/>
        </w:rPr>
        <w:t xml:space="preserve"> </w:t>
      </w:r>
      <w:r w:rsidR="0000757B" w:rsidRPr="003E12A7">
        <w:t>relation</w:t>
      </w:r>
      <w:r w:rsidR="0000757B" w:rsidRPr="003E12A7">
        <w:rPr>
          <w:spacing w:val="-9"/>
        </w:rPr>
        <w:t xml:space="preserve"> </w:t>
      </w:r>
      <w:r w:rsidR="0000757B" w:rsidRPr="003E12A7">
        <w:t>to</w:t>
      </w:r>
      <w:r w:rsidR="0000757B" w:rsidRPr="003E12A7">
        <w:rPr>
          <w:spacing w:val="-9"/>
        </w:rPr>
        <w:t xml:space="preserve"> </w:t>
      </w:r>
      <w:r w:rsidR="0000757B" w:rsidRPr="003E12A7">
        <w:t>the</w:t>
      </w:r>
      <w:r w:rsidR="0000757B" w:rsidRPr="003E12A7">
        <w:rPr>
          <w:spacing w:val="-6"/>
        </w:rPr>
        <w:t xml:space="preserve"> </w:t>
      </w:r>
      <w:r w:rsidR="0000757B" w:rsidRPr="003E12A7">
        <w:t>Unexplained</w:t>
      </w:r>
      <w:r w:rsidR="0000757B" w:rsidRPr="003E12A7">
        <w:rPr>
          <w:spacing w:val="-6"/>
        </w:rPr>
        <w:t xml:space="preserve"> </w:t>
      </w:r>
      <w:r w:rsidR="0000757B" w:rsidRPr="003E12A7">
        <w:t>Deposits,</w:t>
      </w:r>
      <w:r w:rsidR="0000757B" w:rsidRPr="003E12A7">
        <w:rPr>
          <w:spacing w:val="-7"/>
        </w:rPr>
        <w:t xml:space="preserve"> </w:t>
      </w:r>
      <w:r w:rsidR="0000757B" w:rsidRPr="003E12A7">
        <w:t>the</w:t>
      </w:r>
      <w:r w:rsidR="0000757B" w:rsidRPr="003E12A7">
        <w:rPr>
          <w:spacing w:val="-9"/>
        </w:rPr>
        <w:t xml:space="preserve"> </w:t>
      </w:r>
      <w:r w:rsidR="0000757B" w:rsidRPr="003E12A7">
        <w:t>Unverified</w:t>
      </w:r>
      <w:r w:rsidR="0000757B" w:rsidRPr="003E12A7">
        <w:rPr>
          <w:spacing w:val="-6"/>
        </w:rPr>
        <w:t xml:space="preserve"> </w:t>
      </w:r>
      <w:r w:rsidR="0000757B" w:rsidRPr="003E12A7">
        <w:t>Credit</w:t>
      </w:r>
      <w:r w:rsidR="0000757B" w:rsidRPr="003E12A7">
        <w:rPr>
          <w:spacing w:val="-5"/>
        </w:rPr>
        <w:t xml:space="preserve"> </w:t>
      </w:r>
      <w:r w:rsidR="0000757B" w:rsidRPr="003E12A7">
        <w:t>Entries,</w:t>
      </w:r>
      <w:r w:rsidR="0000757B" w:rsidRPr="003E12A7">
        <w:rPr>
          <w:spacing w:val="-8"/>
        </w:rPr>
        <w:t xml:space="preserve"> </w:t>
      </w:r>
      <w:r w:rsidR="0000757B" w:rsidRPr="003E12A7">
        <w:t>and</w:t>
      </w:r>
      <w:r w:rsidR="0000757B" w:rsidRPr="003E12A7">
        <w:rPr>
          <w:spacing w:val="-9"/>
        </w:rPr>
        <w:t xml:space="preserve"> </w:t>
      </w:r>
      <w:r w:rsidR="0000757B" w:rsidRPr="003E12A7">
        <w:t>the</w:t>
      </w:r>
      <w:r w:rsidR="0000757B" w:rsidRPr="003E12A7">
        <w:rPr>
          <w:spacing w:val="-7"/>
        </w:rPr>
        <w:t xml:space="preserve"> </w:t>
      </w:r>
      <w:r w:rsidR="0000757B" w:rsidRPr="003E12A7">
        <w:t>capital gain for the sale of the KAR shares, the base penalty amount was set at a rate of 75% of the relevant tax shortfall amounts on the basis that those shortfalls were caused by an intentional disregard of the law by Mr</w:t>
      </w:r>
      <w:r w:rsidR="003A38F7">
        <w:t> </w:t>
      </w:r>
      <w:r w:rsidR="0000757B" w:rsidRPr="003E12A7">
        <w:t xml:space="preserve">Buzadzic or his tax agents, pursuant to </w:t>
      </w:r>
      <w:proofErr w:type="spellStart"/>
      <w:r w:rsidR="0000757B" w:rsidRPr="003E12A7">
        <w:t>s</w:t>
      </w:r>
      <w:proofErr w:type="spellEnd"/>
      <w:r w:rsidR="0000757B" w:rsidRPr="003E12A7">
        <w:t xml:space="preserve"> 284-90(1) of Schedule 1 to the TAA;</w:t>
      </w:r>
    </w:p>
    <w:p w14:paraId="4D60CB17" w14:textId="3D4BE524" w:rsidR="0000757B" w:rsidRPr="003E12A7" w:rsidRDefault="003A38F7" w:rsidP="0089718C">
      <w:pPr>
        <w:pStyle w:val="Quote2"/>
      </w:pPr>
      <w:r>
        <w:t>(b)</w:t>
      </w:r>
      <w:r>
        <w:tab/>
      </w:r>
      <w:r w:rsidR="0000757B" w:rsidRPr="003E12A7">
        <w:t xml:space="preserve">in relation to the </w:t>
      </w:r>
      <w:r w:rsidR="0000757B" w:rsidRPr="003E12A7">
        <w:rPr>
          <w:i/>
        </w:rPr>
        <w:t>deemed dividends</w:t>
      </w:r>
      <w:r w:rsidR="0000757B" w:rsidRPr="003E12A7">
        <w:t xml:space="preserve">, the base penalty amount was set at a rate of 50% of the relevant tax shortfall amounts on the basis that those shortfalls were caused by recklessness by Mr Buzadzic or his tax agents, pursuant to </w:t>
      </w:r>
      <w:proofErr w:type="spellStart"/>
      <w:r w:rsidR="0000757B" w:rsidRPr="003E12A7">
        <w:t>s</w:t>
      </w:r>
      <w:proofErr w:type="spellEnd"/>
      <w:r w:rsidR="0000757B" w:rsidRPr="003E12A7">
        <w:t xml:space="preserve"> 284- 90(1) of Schedule 1 to the TAA;</w:t>
      </w:r>
    </w:p>
    <w:p w14:paraId="059F606E" w14:textId="4E482D4A" w:rsidR="0000757B" w:rsidRPr="003E12A7" w:rsidRDefault="003A38F7" w:rsidP="0089718C">
      <w:pPr>
        <w:pStyle w:val="Quote2"/>
      </w:pPr>
      <w:r>
        <w:t>(c)</w:t>
      </w:r>
      <w:r>
        <w:tab/>
      </w:r>
      <w:r w:rsidR="0000757B" w:rsidRPr="003E12A7">
        <w:t>in relation to the undeclared interest received from the NAB term deposit, the base penalty</w:t>
      </w:r>
      <w:r w:rsidR="0000757B" w:rsidRPr="003E12A7">
        <w:rPr>
          <w:spacing w:val="-5"/>
        </w:rPr>
        <w:t xml:space="preserve"> </w:t>
      </w:r>
      <w:r w:rsidR="0000757B" w:rsidRPr="003E12A7">
        <w:t>amount</w:t>
      </w:r>
      <w:r w:rsidR="0000757B" w:rsidRPr="003E12A7">
        <w:rPr>
          <w:spacing w:val="-2"/>
        </w:rPr>
        <w:t xml:space="preserve"> </w:t>
      </w:r>
      <w:r w:rsidR="0000757B" w:rsidRPr="003E12A7">
        <w:t>was</w:t>
      </w:r>
      <w:r w:rsidR="0000757B" w:rsidRPr="003E12A7">
        <w:rPr>
          <w:spacing w:val="-3"/>
        </w:rPr>
        <w:t xml:space="preserve"> </w:t>
      </w:r>
      <w:r w:rsidR="0000757B" w:rsidRPr="003E12A7">
        <w:t>set</w:t>
      </w:r>
      <w:r w:rsidR="0000757B" w:rsidRPr="003E12A7">
        <w:rPr>
          <w:spacing w:val="-4"/>
        </w:rPr>
        <w:t xml:space="preserve"> </w:t>
      </w:r>
      <w:r w:rsidR="0000757B" w:rsidRPr="003E12A7">
        <w:t>at</w:t>
      </w:r>
      <w:r w:rsidR="0000757B" w:rsidRPr="003E12A7">
        <w:rPr>
          <w:spacing w:val="-2"/>
        </w:rPr>
        <w:t xml:space="preserve"> </w:t>
      </w:r>
      <w:r w:rsidR="0000757B" w:rsidRPr="003E12A7">
        <w:t>a</w:t>
      </w:r>
      <w:r w:rsidR="0000757B" w:rsidRPr="003E12A7">
        <w:rPr>
          <w:spacing w:val="-5"/>
        </w:rPr>
        <w:t xml:space="preserve"> </w:t>
      </w:r>
      <w:r w:rsidR="0000757B" w:rsidRPr="003E12A7">
        <w:t>rate</w:t>
      </w:r>
      <w:r w:rsidR="0000757B" w:rsidRPr="003E12A7">
        <w:rPr>
          <w:spacing w:val="-2"/>
        </w:rPr>
        <w:t xml:space="preserve"> </w:t>
      </w:r>
      <w:r w:rsidR="0000757B" w:rsidRPr="003E12A7">
        <w:t>of</w:t>
      </w:r>
      <w:r w:rsidR="0000757B" w:rsidRPr="003E12A7">
        <w:rPr>
          <w:spacing w:val="-2"/>
        </w:rPr>
        <w:t xml:space="preserve"> </w:t>
      </w:r>
      <w:r w:rsidR="0000757B" w:rsidRPr="003E12A7">
        <w:t>25%</w:t>
      </w:r>
      <w:r w:rsidR="0000757B" w:rsidRPr="003E12A7">
        <w:rPr>
          <w:spacing w:val="-2"/>
        </w:rPr>
        <w:t xml:space="preserve"> </w:t>
      </w:r>
      <w:r w:rsidR="0000757B" w:rsidRPr="003E12A7">
        <w:t>of</w:t>
      </w:r>
      <w:r w:rsidR="0000757B" w:rsidRPr="003E12A7">
        <w:rPr>
          <w:spacing w:val="-2"/>
        </w:rPr>
        <w:t xml:space="preserve"> </w:t>
      </w:r>
      <w:r w:rsidR="0000757B" w:rsidRPr="003E12A7">
        <w:t>the</w:t>
      </w:r>
      <w:r w:rsidR="0000757B" w:rsidRPr="003E12A7">
        <w:rPr>
          <w:spacing w:val="-5"/>
        </w:rPr>
        <w:t xml:space="preserve"> </w:t>
      </w:r>
      <w:r w:rsidR="0000757B" w:rsidRPr="003E12A7">
        <w:t>relevant</w:t>
      </w:r>
      <w:r w:rsidR="0000757B" w:rsidRPr="003E12A7">
        <w:rPr>
          <w:spacing w:val="-2"/>
        </w:rPr>
        <w:t xml:space="preserve"> </w:t>
      </w:r>
      <w:r w:rsidR="0000757B" w:rsidRPr="003E12A7">
        <w:t>tax</w:t>
      </w:r>
      <w:r w:rsidR="0000757B" w:rsidRPr="003E12A7">
        <w:rPr>
          <w:spacing w:val="-5"/>
        </w:rPr>
        <w:t xml:space="preserve"> </w:t>
      </w:r>
      <w:r w:rsidR="0000757B" w:rsidRPr="003E12A7">
        <w:t>shortfall</w:t>
      </w:r>
      <w:r w:rsidR="0000757B" w:rsidRPr="003E12A7">
        <w:rPr>
          <w:spacing w:val="-4"/>
        </w:rPr>
        <w:t xml:space="preserve"> </w:t>
      </w:r>
      <w:r w:rsidR="0000757B" w:rsidRPr="003E12A7">
        <w:t>amounts</w:t>
      </w:r>
      <w:r w:rsidR="0000757B" w:rsidRPr="003E12A7">
        <w:rPr>
          <w:spacing w:val="-2"/>
        </w:rPr>
        <w:t xml:space="preserve"> </w:t>
      </w:r>
      <w:r w:rsidR="0000757B" w:rsidRPr="003E12A7">
        <w:t>on</w:t>
      </w:r>
      <w:r w:rsidR="0000757B" w:rsidRPr="003E12A7">
        <w:rPr>
          <w:spacing w:val="-5"/>
        </w:rPr>
        <w:t xml:space="preserve"> </w:t>
      </w:r>
      <w:r w:rsidR="0000757B" w:rsidRPr="003E12A7">
        <w:t>the basis</w:t>
      </w:r>
      <w:r w:rsidR="0000757B" w:rsidRPr="003E12A7">
        <w:rPr>
          <w:spacing w:val="-5"/>
        </w:rPr>
        <w:t xml:space="preserve"> </w:t>
      </w:r>
      <w:r w:rsidR="0000757B" w:rsidRPr="003E12A7">
        <w:t>that</w:t>
      </w:r>
      <w:r w:rsidR="0000757B" w:rsidRPr="003E12A7">
        <w:rPr>
          <w:spacing w:val="-6"/>
        </w:rPr>
        <w:t xml:space="preserve"> </w:t>
      </w:r>
      <w:r w:rsidR="0000757B" w:rsidRPr="003E12A7">
        <w:t>those</w:t>
      </w:r>
      <w:r w:rsidR="0000757B" w:rsidRPr="003E12A7">
        <w:rPr>
          <w:spacing w:val="-8"/>
        </w:rPr>
        <w:t xml:space="preserve"> </w:t>
      </w:r>
      <w:r w:rsidR="0000757B" w:rsidRPr="003E12A7">
        <w:t>shortfalls</w:t>
      </w:r>
      <w:r w:rsidR="0000757B" w:rsidRPr="003E12A7">
        <w:rPr>
          <w:spacing w:val="-5"/>
        </w:rPr>
        <w:t xml:space="preserve"> </w:t>
      </w:r>
      <w:r w:rsidR="0000757B" w:rsidRPr="003E12A7">
        <w:t>were</w:t>
      </w:r>
      <w:r w:rsidR="0000757B" w:rsidRPr="003E12A7">
        <w:rPr>
          <w:spacing w:val="-5"/>
        </w:rPr>
        <w:t xml:space="preserve"> </w:t>
      </w:r>
      <w:r w:rsidR="0000757B" w:rsidRPr="003E12A7">
        <w:t>caused</w:t>
      </w:r>
      <w:r w:rsidR="0000757B" w:rsidRPr="003E12A7">
        <w:rPr>
          <w:spacing w:val="-5"/>
        </w:rPr>
        <w:t xml:space="preserve"> </w:t>
      </w:r>
      <w:r w:rsidR="0000757B" w:rsidRPr="003E12A7">
        <w:t>by</w:t>
      </w:r>
      <w:r w:rsidR="0000757B" w:rsidRPr="003E12A7">
        <w:rPr>
          <w:spacing w:val="-8"/>
        </w:rPr>
        <w:t xml:space="preserve"> </w:t>
      </w:r>
      <w:r w:rsidR="0000757B" w:rsidRPr="003E12A7">
        <w:t>a</w:t>
      </w:r>
      <w:r w:rsidR="0000757B" w:rsidRPr="003E12A7">
        <w:rPr>
          <w:spacing w:val="-4"/>
        </w:rPr>
        <w:t xml:space="preserve"> </w:t>
      </w:r>
      <w:r w:rsidR="0000757B" w:rsidRPr="003E12A7">
        <w:t>lack</w:t>
      </w:r>
      <w:r w:rsidR="0000757B" w:rsidRPr="003E12A7">
        <w:rPr>
          <w:spacing w:val="-5"/>
        </w:rPr>
        <w:t xml:space="preserve"> </w:t>
      </w:r>
      <w:r w:rsidR="0000757B" w:rsidRPr="003E12A7">
        <w:t>of</w:t>
      </w:r>
      <w:r w:rsidR="0000757B" w:rsidRPr="003E12A7">
        <w:rPr>
          <w:spacing w:val="-1"/>
        </w:rPr>
        <w:t xml:space="preserve"> </w:t>
      </w:r>
      <w:r w:rsidR="0000757B" w:rsidRPr="003E12A7">
        <w:t>reasonable</w:t>
      </w:r>
      <w:r w:rsidR="0000757B" w:rsidRPr="003E12A7">
        <w:rPr>
          <w:spacing w:val="-5"/>
        </w:rPr>
        <w:t xml:space="preserve"> </w:t>
      </w:r>
      <w:r w:rsidR="0000757B" w:rsidRPr="003E12A7">
        <w:t>care</w:t>
      </w:r>
      <w:r w:rsidR="0000757B" w:rsidRPr="003E12A7">
        <w:rPr>
          <w:spacing w:val="-5"/>
        </w:rPr>
        <w:t xml:space="preserve"> </w:t>
      </w:r>
      <w:r w:rsidR="0000757B" w:rsidRPr="003E12A7">
        <w:t>by</w:t>
      </w:r>
      <w:r w:rsidR="0000757B" w:rsidRPr="003E12A7">
        <w:rPr>
          <w:spacing w:val="-8"/>
        </w:rPr>
        <w:t xml:space="preserve"> </w:t>
      </w:r>
      <w:r w:rsidR="0000757B" w:rsidRPr="003E12A7">
        <w:t>Mr</w:t>
      </w:r>
      <w:r w:rsidR="0000757B" w:rsidRPr="003E12A7">
        <w:rPr>
          <w:spacing w:val="-4"/>
        </w:rPr>
        <w:t xml:space="preserve"> </w:t>
      </w:r>
      <w:r w:rsidR="0000757B" w:rsidRPr="003E12A7">
        <w:t xml:space="preserve">Buzadzic or his tax agents, pursuant to </w:t>
      </w:r>
      <w:proofErr w:type="spellStart"/>
      <w:r w:rsidR="0000757B" w:rsidRPr="003E12A7">
        <w:t>s</w:t>
      </w:r>
      <w:proofErr w:type="spellEnd"/>
      <w:r w:rsidR="0000757B" w:rsidRPr="003E12A7">
        <w:t xml:space="preserve"> 284-90(1) of Schedule 1 to the TAA; and</w:t>
      </w:r>
    </w:p>
    <w:p w14:paraId="7B63E7FF" w14:textId="78813F13" w:rsidR="0000757B" w:rsidRPr="003E12A7" w:rsidRDefault="003A38F7" w:rsidP="0089718C">
      <w:pPr>
        <w:pStyle w:val="Quote2"/>
      </w:pPr>
      <w:r>
        <w:t>(d)</w:t>
      </w:r>
      <w:r>
        <w:tab/>
      </w:r>
      <w:r w:rsidR="0000757B" w:rsidRPr="003E12A7">
        <w:t>the base penalty amounts in relation to the each of the tax Years ended 30 June 2008 to 30 June 2013 was to be increased by 20% under s 284-220(1)(c) of the Schedule 1 to the TAA as there had already been a prior imposition of a penalty.</w:t>
      </w:r>
    </w:p>
    <w:p w14:paraId="13737F19" w14:textId="72D90E4F" w:rsidR="0000757B" w:rsidRPr="003E12A7" w:rsidRDefault="003A38F7" w:rsidP="0089718C">
      <w:pPr>
        <w:pStyle w:val="Quote1"/>
      </w:pPr>
      <w:r>
        <w:t>[212]</w:t>
      </w:r>
      <w:r>
        <w:tab/>
      </w:r>
      <w:r w:rsidR="0000757B" w:rsidRPr="003E12A7">
        <w:t>The Tribunal does not propose to increase the penalty imposed in respect of the undisclosed interest.</w:t>
      </w:r>
      <w:r w:rsidR="0000757B" w:rsidRPr="003E12A7">
        <w:rPr>
          <w:spacing w:val="40"/>
        </w:rPr>
        <w:t xml:space="preserve"> </w:t>
      </w:r>
      <w:r w:rsidR="0000757B" w:rsidRPr="003E12A7">
        <w:t>The failure to provide the accountants with the bank statements for the term deposit for two Years was careless and the amount was small in nature.</w:t>
      </w:r>
    </w:p>
    <w:p w14:paraId="43489C38" w14:textId="5482F4DC" w:rsidR="008D03EA" w:rsidRPr="003E12A7" w:rsidRDefault="003A38F7" w:rsidP="0089718C">
      <w:pPr>
        <w:pStyle w:val="Quote1"/>
      </w:pPr>
      <w:r>
        <w:lastRenderedPageBreak/>
        <w:t>[213]</w:t>
      </w:r>
      <w:r>
        <w:tab/>
      </w:r>
      <w:r w:rsidR="0000757B" w:rsidRPr="003E12A7">
        <w:t xml:space="preserve">In so far as the balance of the amounts assessed to Mr Buzadzic are concerned, Mr </w:t>
      </w:r>
      <w:proofErr w:type="spellStart"/>
      <w:r w:rsidR="0000757B" w:rsidRPr="003E12A7">
        <w:t>Buzadzic’s</w:t>
      </w:r>
      <w:proofErr w:type="spellEnd"/>
      <w:r w:rsidR="0000757B" w:rsidRPr="003E12A7">
        <w:t xml:space="preserve"> predicament resulted from the complex manner in which he conducted his and his</w:t>
      </w:r>
      <w:r w:rsidR="0000757B" w:rsidRPr="003E12A7">
        <w:rPr>
          <w:spacing w:val="-4"/>
        </w:rPr>
        <w:t xml:space="preserve"> </w:t>
      </w:r>
      <w:r w:rsidR="0000757B" w:rsidRPr="003E12A7">
        <w:t>entities’</w:t>
      </w:r>
      <w:r w:rsidR="0000757B" w:rsidRPr="003E12A7">
        <w:rPr>
          <w:spacing w:val="-5"/>
        </w:rPr>
        <w:t xml:space="preserve"> </w:t>
      </w:r>
      <w:r w:rsidR="0000757B" w:rsidRPr="003E12A7">
        <w:t>affairs</w:t>
      </w:r>
      <w:r w:rsidR="0000757B" w:rsidRPr="003E12A7">
        <w:rPr>
          <w:spacing w:val="-3"/>
        </w:rPr>
        <w:t xml:space="preserve"> </w:t>
      </w:r>
      <w:r w:rsidR="0000757B" w:rsidRPr="003E12A7">
        <w:t>–</w:t>
      </w:r>
      <w:r w:rsidR="0000757B" w:rsidRPr="003E12A7">
        <w:rPr>
          <w:spacing w:val="-8"/>
        </w:rPr>
        <w:t xml:space="preserve"> </w:t>
      </w:r>
      <w:r w:rsidR="0000757B" w:rsidRPr="003E12A7">
        <w:t>mixing</w:t>
      </w:r>
      <w:r w:rsidR="0000757B" w:rsidRPr="003E12A7">
        <w:rPr>
          <w:spacing w:val="-4"/>
        </w:rPr>
        <w:t xml:space="preserve"> </w:t>
      </w:r>
      <w:r w:rsidR="0000757B" w:rsidRPr="003E12A7">
        <w:t>business</w:t>
      </w:r>
      <w:r w:rsidR="0000757B" w:rsidRPr="003E12A7">
        <w:rPr>
          <w:spacing w:val="-6"/>
        </w:rPr>
        <w:t xml:space="preserve"> </w:t>
      </w:r>
      <w:r w:rsidR="0000757B" w:rsidRPr="003E12A7">
        <w:t>expenditure</w:t>
      </w:r>
      <w:r w:rsidR="0000757B" w:rsidRPr="003E12A7">
        <w:rPr>
          <w:spacing w:val="-6"/>
        </w:rPr>
        <w:t xml:space="preserve"> </w:t>
      </w:r>
      <w:r w:rsidR="0000757B" w:rsidRPr="003E12A7">
        <w:t>and</w:t>
      </w:r>
      <w:r w:rsidR="0000757B" w:rsidRPr="003E12A7">
        <w:rPr>
          <w:spacing w:val="-4"/>
        </w:rPr>
        <w:t xml:space="preserve"> </w:t>
      </w:r>
      <w:r w:rsidR="0000757B" w:rsidRPr="003E12A7">
        <w:t>personal</w:t>
      </w:r>
      <w:r w:rsidR="0000757B" w:rsidRPr="003E12A7">
        <w:rPr>
          <w:spacing w:val="-7"/>
        </w:rPr>
        <w:t xml:space="preserve"> </w:t>
      </w:r>
      <w:r w:rsidR="0000757B" w:rsidRPr="003E12A7">
        <w:t>expenditure</w:t>
      </w:r>
      <w:r w:rsidR="0000757B" w:rsidRPr="003E12A7">
        <w:rPr>
          <w:spacing w:val="-4"/>
        </w:rPr>
        <w:t xml:space="preserve"> </w:t>
      </w:r>
      <w:r w:rsidR="0000757B" w:rsidRPr="003E12A7">
        <w:t>on</w:t>
      </w:r>
      <w:r w:rsidR="0000757B" w:rsidRPr="003E12A7">
        <w:rPr>
          <w:spacing w:val="-7"/>
        </w:rPr>
        <w:t xml:space="preserve"> </w:t>
      </w:r>
      <w:r w:rsidR="0000757B" w:rsidRPr="003E12A7">
        <w:t>credit</w:t>
      </w:r>
      <w:r w:rsidR="0000757B" w:rsidRPr="003E12A7">
        <w:rPr>
          <w:spacing w:val="-5"/>
        </w:rPr>
        <w:t xml:space="preserve"> </w:t>
      </w:r>
      <w:r w:rsidR="0000757B" w:rsidRPr="003E12A7">
        <w:t>cards, moving moneys between his personal accounts and around the accounts of the Buzadzic Group entities and not always telling his bookkeeper and accountant of all amounts deposited into his personal accounts.</w:t>
      </w:r>
      <w:r w:rsidR="0000757B" w:rsidRPr="003E12A7">
        <w:rPr>
          <w:spacing w:val="40"/>
        </w:rPr>
        <w:t xml:space="preserve"> </w:t>
      </w:r>
      <w:r w:rsidR="0000757B" w:rsidRPr="003E12A7">
        <w:t>He accessed moneys as he chose and appears to have assumed</w:t>
      </w:r>
      <w:r w:rsidR="0000757B" w:rsidRPr="003E12A7">
        <w:rPr>
          <w:spacing w:val="-2"/>
        </w:rPr>
        <w:t xml:space="preserve"> </w:t>
      </w:r>
      <w:r w:rsidR="0000757B" w:rsidRPr="003E12A7">
        <w:t>that service providers would clean up after</w:t>
      </w:r>
      <w:r w:rsidR="0000757B" w:rsidRPr="003E12A7">
        <w:rPr>
          <w:spacing w:val="-1"/>
        </w:rPr>
        <w:t xml:space="preserve"> </w:t>
      </w:r>
      <w:r w:rsidR="0000757B" w:rsidRPr="003E12A7">
        <w:t>him based on</w:t>
      </w:r>
      <w:r w:rsidR="0000757B" w:rsidRPr="003E12A7">
        <w:rPr>
          <w:spacing w:val="-2"/>
        </w:rPr>
        <w:t xml:space="preserve"> </w:t>
      </w:r>
      <w:r w:rsidR="0000757B" w:rsidRPr="003E12A7">
        <w:t xml:space="preserve">the information he gave to them. Mr </w:t>
      </w:r>
      <w:proofErr w:type="spellStart"/>
      <w:r w:rsidR="0000757B" w:rsidRPr="003E12A7">
        <w:t>Buzadzic’s</w:t>
      </w:r>
      <w:proofErr w:type="spellEnd"/>
      <w:r w:rsidR="0000757B" w:rsidRPr="003E12A7">
        <w:t xml:space="preserve"> most significant service provider, Mr</w:t>
      </w:r>
      <w:r>
        <w:t> </w:t>
      </w:r>
      <w:proofErr w:type="spellStart"/>
      <w:r w:rsidR="0000757B" w:rsidRPr="003E12A7">
        <w:t>Hadded</w:t>
      </w:r>
      <w:proofErr w:type="spellEnd"/>
      <w:r w:rsidR="0000757B" w:rsidRPr="003E12A7">
        <w:t>/The Practice, failed to make inquiries that they knew they should have: Mr</w:t>
      </w:r>
      <w:r>
        <w:t> </w:t>
      </w:r>
      <w:proofErr w:type="spellStart"/>
      <w:r w:rsidR="0000757B" w:rsidRPr="003E12A7">
        <w:t>Hadded</w:t>
      </w:r>
      <w:proofErr w:type="spellEnd"/>
      <w:r w:rsidR="0000757B" w:rsidRPr="003E12A7">
        <w:t xml:space="preserve"> admitted his firm had</w:t>
      </w:r>
      <w:r w:rsidR="003E12A7" w:rsidRPr="003E12A7">
        <w:t xml:space="preserve"> </w:t>
      </w:r>
      <w:r w:rsidR="008D03EA" w:rsidRPr="003E12A7">
        <w:t>a practice of sending out a questionnaire to its clients to complete but did not send one to Mr Buzadzic because they were of the view that Mr</w:t>
      </w:r>
      <w:r>
        <w:t> </w:t>
      </w:r>
      <w:r w:rsidR="008D03EA" w:rsidRPr="003E12A7">
        <w:t>Buzadzic would not respond.</w:t>
      </w:r>
      <w:r w:rsidR="008D03EA" w:rsidRPr="003E12A7">
        <w:rPr>
          <w:spacing w:val="40"/>
        </w:rPr>
        <w:t xml:space="preserve"> </w:t>
      </w:r>
      <w:r w:rsidR="008D03EA" w:rsidRPr="003E12A7">
        <w:t>Mr Buzadzic provided no explanation</w:t>
      </w:r>
      <w:r w:rsidR="008D03EA" w:rsidRPr="003E12A7">
        <w:rPr>
          <w:spacing w:val="-1"/>
        </w:rPr>
        <w:t xml:space="preserve"> </w:t>
      </w:r>
      <w:r w:rsidR="008D03EA" w:rsidRPr="003E12A7">
        <w:t>for his conduct.</w:t>
      </w:r>
      <w:r w:rsidR="008D03EA" w:rsidRPr="003E12A7">
        <w:rPr>
          <w:spacing w:val="40"/>
        </w:rPr>
        <w:t xml:space="preserve"> </w:t>
      </w:r>
      <w:r w:rsidR="008D03EA" w:rsidRPr="003E12A7">
        <w:t>The</w:t>
      </w:r>
      <w:r w:rsidR="008D03EA" w:rsidRPr="003E12A7">
        <w:rPr>
          <w:spacing w:val="-3"/>
        </w:rPr>
        <w:t xml:space="preserve"> </w:t>
      </w:r>
      <w:r w:rsidR="008D03EA" w:rsidRPr="003E12A7">
        <w:t>Tribunal is not satisfied</w:t>
      </w:r>
      <w:r w:rsidR="008D03EA" w:rsidRPr="003E12A7">
        <w:rPr>
          <w:spacing w:val="-3"/>
        </w:rPr>
        <w:t xml:space="preserve"> </w:t>
      </w:r>
      <w:r w:rsidR="008D03EA" w:rsidRPr="003E12A7">
        <w:t>that he</w:t>
      </w:r>
      <w:r w:rsidR="008D03EA" w:rsidRPr="003E12A7">
        <w:rPr>
          <w:spacing w:val="-1"/>
        </w:rPr>
        <w:t xml:space="preserve"> </w:t>
      </w:r>
      <w:r w:rsidR="008D03EA" w:rsidRPr="003E12A7">
        <w:t>has discharged</w:t>
      </w:r>
      <w:r w:rsidR="008D03EA" w:rsidRPr="003E12A7">
        <w:rPr>
          <w:spacing w:val="-1"/>
        </w:rPr>
        <w:t xml:space="preserve"> </w:t>
      </w:r>
      <w:r w:rsidR="008D03EA" w:rsidRPr="003E12A7">
        <w:t>his</w:t>
      </w:r>
      <w:r w:rsidR="008D03EA" w:rsidRPr="003E12A7">
        <w:rPr>
          <w:spacing w:val="-2"/>
        </w:rPr>
        <w:t xml:space="preserve"> </w:t>
      </w:r>
      <w:r w:rsidR="008D03EA" w:rsidRPr="003E12A7">
        <w:t>onus</w:t>
      </w:r>
      <w:r w:rsidR="008D03EA" w:rsidRPr="003E12A7">
        <w:rPr>
          <w:spacing w:val="-3"/>
        </w:rPr>
        <w:t xml:space="preserve"> </w:t>
      </w:r>
      <w:r w:rsidR="008D03EA" w:rsidRPr="003E12A7">
        <w:t>of proving on</w:t>
      </w:r>
      <w:r w:rsidR="008D03EA" w:rsidRPr="003E12A7">
        <w:rPr>
          <w:spacing w:val="-3"/>
        </w:rPr>
        <w:t xml:space="preserve"> </w:t>
      </w:r>
      <w:r w:rsidR="008D03EA" w:rsidRPr="003E12A7">
        <w:t>the</w:t>
      </w:r>
      <w:r w:rsidR="008D03EA" w:rsidRPr="003E12A7">
        <w:rPr>
          <w:spacing w:val="-3"/>
        </w:rPr>
        <w:t xml:space="preserve"> </w:t>
      </w:r>
      <w:r w:rsidR="008D03EA" w:rsidRPr="003E12A7">
        <w:t>balance</w:t>
      </w:r>
      <w:r w:rsidR="008D03EA" w:rsidRPr="003E12A7">
        <w:rPr>
          <w:spacing w:val="-1"/>
        </w:rPr>
        <w:t xml:space="preserve"> </w:t>
      </w:r>
      <w:r w:rsidR="008D03EA" w:rsidRPr="003E12A7">
        <w:t>of probabilities</w:t>
      </w:r>
      <w:r w:rsidR="008D03EA" w:rsidRPr="003E12A7">
        <w:rPr>
          <w:spacing w:val="-1"/>
        </w:rPr>
        <w:t xml:space="preserve"> </w:t>
      </w:r>
      <w:r w:rsidR="008D03EA" w:rsidRPr="003E12A7">
        <w:t>that his</w:t>
      </w:r>
      <w:r w:rsidR="008D03EA" w:rsidRPr="003E12A7">
        <w:rPr>
          <w:spacing w:val="-2"/>
        </w:rPr>
        <w:t xml:space="preserve"> </w:t>
      </w:r>
      <w:r w:rsidR="008D03EA" w:rsidRPr="003E12A7">
        <w:t>conduct in</w:t>
      </w:r>
      <w:r w:rsidR="008D03EA" w:rsidRPr="003E12A7">
        <w:rPr>
          <w:spacing w:val="-3"/>
        </w:rPr>
        <w:t xml:space="preserve"> </w:t>
      </w:r>
      <w:r w:rsidR="008D03EA" w:rsidRPr="003E12A7">
        <w:t>respect</w:t>
      </w:r>
      <w:r w:rsidR="008D03EA" w:rsidRPr="003E12A7">
        <w:rPr>
          <w:spacing w:val="-4"/>
        </w:rPr>
        <w:t xml:space="preserve"> </w:t>
      </w:r>
      <w:r w:rsidR="008D03EA" w:rsidRPr="003E12A7">
        <w:t>of the balance of the shortfall assessed to him was not attributable to an intentional disregard of the law.</w:t>
      </w:r>
      <w:r w:rsidR="008D03EA" w:rsidRPr="003E12A7">
        <w:rPr>
          <w:spacing w:val="80"/>
        </w:rPr>
        <w:t xml:space="preserve"> </w:t>
      </w:r>
      <w:r w:rsidR="008D03EA" w:rsidRPr="003E12A7">
        <w:t xml:space="preserve">Because the taxpayer has provided no explanation for the amounts assessed to him that </w:t>
      </w:r>
      <w:r w:rsidR="005058BD" w:rsidRPr="003E12A7">
        <w:t>ha</w:t>
      </w:r>
      <w:r w:rsidR="005058BD">
        <w:t>[</w:t>
      </w:r>
      <w:proofErr w:type="spellStart"/>
      <w:r w:rsidR="005058BD">
        <w:t>ve</w:t>
      </w:r>
      <w:proofErr w:type="spellEnd"/>
      <w:r w:rsidR="005058BD">
        <w:t>]</w:t>
      </w:r>
      <w:r w:rsidR="005058BD" w:rsidRPr="003E12A7">
        <w:t xml:space="preserve"> </w:t>
      </w:r>
      <w:r w:rsidR="008D03EA" w:rsidRPr="003E12A7">
        <w:t>been accepted by the Tribunal, and has provided no reason for excluding those amounts from his assessable income, the Tribunal is unable to be satisfied that the Commissioner’s assessment of the taxpayer’s conduct has resulted in a penalty assessment that is excessive.</w:t>
      </w:r>
      <w:r w:rsidR="008D03EA" w:rsidRPr="003E12A7">
        <w:rPr>
          <w:spacing w:val="80"/>
          <w:w w:val="150"/>
        </w:rPr>
        <w:t xml:space="preserve"> </w:t>
      </w:r>
      <w:r w:rsidR="008D03EA" w:rsidRPr="003E12A7">
        <w:t>In these circumstances the Tribunal can be left with no option but leave the pre-existing basis on which penalty has been imposed undisturbed.</w:t>
      </w:r>
    </w:p>
    <w:p w14:paraId="6A8FF15E" w14:textId="15BA8326" w:rsidR="008D03EA" w:rsidRPr="003E12A7" w:rsidRDefault="003A38F7" w:rsidP="0089718C">
      <w:pPr>
        <w:pStyle w:val="Quote1"/>
      </w:pPr>
      <w:r>
        <w:t>[214]</w:t>
      </w:r>
      <w:r>
        <w:tab/>
      </w:r>
      <w:r w:rsidR="008D03EA" w:rsidRPr="003E12A7">
        <w:t>Because</w:t>
      </w:r>
      <w:r w:rsidR="008D03EA" w:rsidRPr="003E12A7">
        <w:rPr>
          <w:spacing w:val="-9"/>
        </w:rPr>
        <w:t xml:space="preserve"> </w:t>
      </w:r>
      <w:r w:rsidR="008D03EA" w:rsidRPr="003E12A7">
        <w:t>it</w:t>
      </w:r>
      <w:r w:rsidR="008D03EA" w:rsidRPr="003E12A7">
        <w:rPr>
          <w:spacing w:val="-10"/>
        </w:rPr>
        <w:t xml:space="preserve"> </w:t>
      </w:r>
      <w:r w:rsidR="008D03EA" w:rsidRPr="003E12A7">
        <w:t>is</w:t>
      </w:r>
      <w:r w:rsidR="008D03EA" w:rsidRPr="003E12A7">
        <w:rPr>
          <w:spacing w:val="-11"/>
        </w:rPr>
        <w:t xml:space="preserve"> </w:t>
      </w:r>
      <w:r w:rsidR="008D03EA" w:rsidRPr="003E12A7">
        <w:t>not</w:t>
      </w:r>
      <w:r w:rsidR="008D03EA" w:rsidRPr="003E12A7">
        <w:rPr>
          <w:spacing w:val="-10"/>
        </w:rPr>
        <w:t xml:space="preserve"> </w:t>
      </w:r>
      <w:r w:rsidR="008D03EA" w:rsidRPr="003E12A7">
        <w:t>satisfied</w:t>
      </w:r>
      <w:r w:rsidR="008D03EA" w:rsidRPr="003E12A7">
        <w:rPr>
          <w:spacing w:val="-11"/>
        </w:rPr>
        <w:t xml:space="preserve"> </w:t>
      </w:r>
      <w:r w:rsidR="008D03EA" w:rsidRPr="003E12A7">
        <w:t>that</w:t>
      </w:r>
      <w:r w:rsidR="008D03EA" w:rsidRPr="003E12A7">
        <w:rPr>
          <w:spacing w:val="-10"/>
        </w:rPr>
        <w:t xml:space="preserve"> </w:t>
      </w:r>
      <w:r w:rsidR="008D03EA" w:rsidRPr="003E12A7">
        <w:t>the</w:t>
      </w:r>
      <w:r w:rsidR="008D03EA" w:rsidRPr="003E12A7">
        <w:rPr>
          <w:spacing w:val="-11"/>
        </w:rPr>
        <w:t xml:space="preserve"> </w:t>
      </w:r>
      <w:r w:rsidR="008D03EA" w:rsidRPr="003E12A7">
        <w:t>shortfall</w:t>
      </w:r>
      <w:r w:rsidR="008D03EA" w:rsidRPr="003E12A7">
        <w:rPr>
          <w:spacing w:val="-10"/>
        </w:rPr>
        <w:t xml:space="preserve"> </w:t>
      </w:r>
      <w:r w:rsidR="008D03EA" w:rsidRPr="003E12A7">
        <w:t>was</w:t>
      </w:r>
      <w:r w:rsidR="008D03EA" w:rsidRPr="003E12A7">
        <w:rPr>
          <w:spacing w:val="-9"/>
        </w:rPr>
        <w:t xml:space="preserve"> </w:t>
      </w:r>
      <w:r w:rsidR="008D03EA" w:rsidRPr="003E12A7">
        <w:t>not</w:t>
      </w:r>
      <w:r w:rsidR="008D03EA" w:rsidRPr="003E12A7">
        <w:rPr>
          <w:spacing w:val="-12"/>
        </w:rPr>
        <w:t xml:space="preserve"> </w:t>
      </w:r>
      <w:r w:rsidR="008D03EA" w:rsidRPr="003E12A7">
        <w:t>attributable</w:t>
      </w:r>
      <w:r w:rsidR="008D03EA" w:rsidRPr="003E12A7">
        <w:rPr>
          <w:spacing w:val="-11"/>
        </w:rPr>
        <w:t xml:space="preserve"> </w:t>
      </w:r>
      <w:r w:rsidR="008D03EA" w:rsidRPr="003E12A7">
        <w:t>to</w:t>
      </w:r>
      <w:r w:rsidR="008D03EA" w:rsidRPr="003E12A7">
        <w:rPr>
          <w:spacing w:val="-11"/>
        </w:rPr>
        <w:t xml:space="preserve"> </w:t>
      </w:r>
      <w:r w:rsidR="008D03EA" w:rsidRPr="003E12A7">
        <w:t>repeated</w:t>
      </w:r>
      <w:r w:rsidR="008D03EA" w:rsidRPr="003E12A7">
        <w:rPr>
          <w:spacing w:val="-11"/>
        </w:rPr>
        <w:t xml:space="preserve"> </w:t>
      </w:r>
      <w:r w:rsidR="008D03EA" w:rsidRPr="003E12A7">
        <w:t>culpable</w:t>
      </w:r>
      <w:r w:rsidR="008D03EA" w:rsidRPr="003E12A7">
        <w:rPr>
          <w:spacing w:val="-9"/>
        </w:rPr>
        <w:t xml:space="preserve"> </w:t>
      </w:r>
      <w:r w:rsidR="008D03EA" w:rsidRPr="003E12A7">
        <w:t>conduct the Tribunal</w:t>
      </w:r>
      <w:r w:rsidR="008D03EA" w:rsidRPr="003E12A7">
        <w:rPr>
          <w:spacing w:val="12"/>
        </w:rPr>
        <w:t xml:space="preserve"> </w:t>
      </w:r>
      <w:r w:rsidR="008D03EA" w:rsidRPr="003E12A7">
        <w:t>does not</w:t>
      </w:r>
      <w:r w:rsidR="008D03EA" w:rsidRPr="003E12A7">
        <w:rPr>
          <w:spacing w:val="12"/>
        </w:rPr>
        <w:t xml:space="preserve"> </w:t>
      </w:r>
      <w:r w:rsidR="008D03EA" w:rsidRPr="003E12A7">
        <w:t>consider</w:t>
      </w:r>
      <w:r w:rsidR="008D03EA" w:rsidRPr="003E12A7">
        <w:rPr>
          <w:spacing w:val="14"/>
        </w:rPr>
        <w:t xml:space="preserve"> </w:t>
      </w:r>
      <w:r w:rsidR="008D03EA" w:rsidRPr="003E12A7">
        <w:t>it</w:t>
      </w:r>
      <w:r w:rsidR="008D03EA" w:rsidRPr="003E12A7">
        <w:rPr>
          <w:spacing w:val="12"/>
        </w:rPr>
        <w:t xml:space="preserve"> </w:t>
      </w:r>
      <w:r w:rsidR="008D03EA" w:rsidRPr="003E12A7">
        <w:t>appropriate to remit</w:t>
      </w:r>
      <w:r w:rsidR="008D03EA" w:rsidRPr="003E12A7">
        <w:rPr>
          <w:spacing w:val="12"/>
        </w:rPr>
        <w:t xml:space="preserve"> </w:t>
      </w:r>
      <w:r w:rsidR="008D03EA" w:rsidRPr="003E12A7">
        <w:t>the 20%</w:t>
      </w:r>
      <w:r w:rsidR="008D03EA" w:rsidRPr="003E12A7">
        <w:rPr>
          <w:spacing w:val="12"/>
        </w:rPr>
        <w:t xml:space="preserve"> </w:t>
      </w:r>
      <w:r w:rsidR="008D03EA" w:rsidRPr="003E12A7">
        <w:t>uplift</w:t>
      </w:r>
      <w:r w:rsidR="008D03EA" w:rsidRPr="003E12A7">
        <w:rPr>
          <w:spacing w:val="12"/>
        </w:rPr>
        <w:t xml:space="preserve"> </w:t>
      </w:r>
      <w:r w:rsidR="008D03EA" w:rsidRPr="003E12A7">
        <w:t>imposed</w:t>
      </w:r>
      <w:r w:rsidR="008D03EA" w:rsidRPr="003E12A7">
        <w:rPr>
          <w:spacing w:val="13"/>
        </w:rPr>
        <w:t xml:space="preserve"> </w:t>
      </w:r>
      <w:r w:rsidR="008D03EA" w:rsidRPr="003E12A7">
        <w:t>under</w:t>
      </w:r>
      <w:r w:rsidR="008D03EA" w:rsidRPr="003E12A7">
        <w:rPr>
          <w:spacing w:val="19"/>
        </w:rPr>
        <w:t xml:space="preserve"> </w:t>
      </w:r>
      <w:proofErr w:type="spellStart"/>
      <w:r w:rsidR="008D03EA" w:rsidRPr="003E12A7">
        <w:t>under</w:t>
      </w:r>
      <w:proofErr w:type="spellEnd"/>
      <w:r w:rsidR="008D03EA" w:rsidRPr="003E12A7">
        <w:t xml:space="preserve"> s 284-220(1)(c) of Schedule 1 of the Administration Act.</w:t>
      </w:r>
    </w:p>
    <w:p w14:paraId="35076952" w14:textId="4CB54AA1" w:rsidR="008D03EA" w:rsidRPr="003E12A7" w:rsidRDefault="003A38F7" w:rsidP="0089718C">
      <w:pPr>
        <w:pStyle w:val="Quote1"/>
      </w:pPr>
      <w:r>
        <w:t>[215]</w:t>
      </w:r>
      <w:r>
        <w:tab/>
      </w:r>
      <w:r w:rsidR="008D03EA" w:rsidRPr="003E12A7">
        <w:t>The Tribunal is not satisfied that the penalty assessments issued to Mr</w:t>
      </w:r>
      <w:r>
        <w:t> </w:t>
      </w:r>
      <w:r w:rsidR="008D03EA" w:rsidRPr="003E12A7">
        <w:t xml:space="preserve">Buzadzic are </w:t>
      </w:r>
      <w:r w:rsidR="008D03EA" w:rsidRPr="003E12A7">
        <w:rPr>
          <w:spacing w:val="-2"/>
        </w:rPr>
        <w:t>excessive.</w:t>
      </w:r>
    </w:p>
    <w:p w14:paraId="7905EC96" w14:textId="38DB570D" w:rsidR="00AE0DA8" w:rsidRDefault="00AE0DA8" w:rsidP="00293D24">
      <w:pPr>
        <w:pStyle w:val="ParaNumbering"/>
      </w:pPr>
      <w:r>
        <w:t xml:space="preserve">On appeal, </w:t>
      </w:r>
      <w:r w:rsidR="00273B74" w:rsidRPr="00751EE4">
        <w:t>Mr Buzadzic</w:t>
      </w:r>
      <w:r w:rsidR="00273B74">
        <w:t xml:space="preserve"> maintains in substance, but in shorter form, the submissions advanced before the primary judge</w:t>
      </w:r>
      <w:r w:rsidR="00B91AF5">
        <w:t xml:space="preserve">.  As the </w:t>
      </w:r>
      <w:r w:rsidR="001F7E89">
        <w:t xml:space="preserve">Commissioner correctly submits, </w:t>
      </w:r>
      <w:r w:rsidR="00A5633B">
        <w:t xml:space="preserve">he does so </w:t>
      </w:r>
      <w:r w:rsidR="00B91AF5">
        <w:t xml:space="preserve">without </w:t>
      </w:r>
      <w:r w:rsidR="001F7E89">
        <w:t xml:space="preserve">engaging </w:t>
      </w:r>
      <w:r w:rsidR="00CA64B1">
        <w:t>with the Tribunal</w:t>
      </w:r>
      <w:r w:rsidR="008A6253">
        <w:t xml:space="preserve">’s reasoning.  </w:t>
      </w:r>
      <w:r w:rsidR="00456A70">
        <w:t xml:space="preserve">The primary judge </w:t>
      </w:r>
      <w:r w:rsidR="006D3C82">
        <w:t xml:space="preserve">summarised </w:t>
      </w:r>
      <w:r w:rsidR="008A6253" w:rsidRPr="00751EE4">
        <w:t>Mr </w:t>
      </w:r>
      <w:proofErr w:type="spellStart"/>
      <w:r w:rsidR="008A6253" w:rsidRPr="00751EE4">
        <w:t>Buzadzic</w:t>
      </w:r>
      <w:r w:rsidR="008A6253">
        <w:t>’s</w:t>
      </w:r>
      <w:proofErr w:type="spellEnd"/>
      <w:r w:rsidR="008A6253">
        <w:t xml:space="preserve"> </w:t>
      </w:r>
      <w:r w:rsidR="006D3C82">
        <w:t xml:space="preserve">submissions and </w:t>
      </w:r>
      <w:r w:rsidR="00F80223">
        <w:t>then succinctly addressed them as follows, in a way that cannot be improved upon:</w:t>
      </w:r>
    </w:p>
    <w:p w14:paraId="25A88F3D" w14:textId="44CD41C9" w:rsidR="00AC4B31" w:rsidRDefault="00AC4B31" w:rsidP="00AC4B31">
      <w:pPr>
        <w:pStyle w:val="Quote1"/>
      </w:pPr>
      <w:r>
        <w:t>[145]</w:t>
      </w:r>
      <w:r>
        <w:tab/>
        <w:t>Mr </w:t>
      </w:r>
      <w:proofErr w:type="spellStart"/>
      <w:r>
        <w:t>Buzadzic’s</w:t>
      </w:r>
      <w:proofErr w:type="spellEnd"/>
      <w:r>
        <w:t xml:space="preserve"> submissions in support of these grounds can be summarised as follows:</w:t>
      </w:r>
    </w:p>
    <w:p w14:paraId="4E8BE875" w14:textId="70C12C82" w:rsidR="00AC4B31" w:rsidRDefault="00AC4B31" w:rsidP="00AC4B31">
      <w:pPr>
        <w:pStyle w:val="Quote2"/>
      </w:pPr>
      <w:r>
        <w:t>(a)</w:t>
      </w:r>
      <w:r>
        <w:tab/>
        <w:t xml:space="preserve">Intentional disregard requires actual knowledge that the statements were false and misleading.  The evidence must show that Mr Buzadzic understood the effect of the legislation and how it operated in respect of his tax affairs and then made a deliberate choice to ignore the law: see </w:t>
      </w:r>
      <w:r w:rsidRPr="000E641E">
        <w:rPr>
          <w:i/>
        </w:rPr>
        <w:t xml:space="preserve">Brown v </w:t>
      </w:r>
      <w:r w:rsidRPr="00705199">
        <w:rPr>
          <w:i/>
        </w:rPr>
        <w:t>F</w:t>
      </w:r>
      <w:r>
        <w:rPr>
          <w:i/>
        </w:rPr>
        <w:t>ederal Commissioner of Taxation</w:t>
      </w:r>
      <w:r w:rsidRPr="000E641E">
        <w:rPr>
          <w:i/>
        </w:rPr>
        <w:t xml:space="preserve"> </w:t>
      </w:r>
      <w:r>
        <w:t xml:space="preserve">[2001] FCA 596; 47 ATR 178; </w:t>
      </w:r>
      <w:r w:rsidRPr="000E641E">
        <w:rPr>
          <w:i/>
        </w:rPr>
        <w:t xml:space="preserve">Price Street Professional Centre Pty Ltd v </w:t>
      </w:r>
      <w:r w:rsidRPr="00705199">
        <w:rPr>
          <w:i/>
        </w:rPr>
        <w:t>F</w:t>
      </w:r>
      <w:r>
        <w:rPr>
          <w:i/>
        </w:rPr>
        <w:t>ederal Commissioner of Taxation</w:t>
      </w:r>
      <w:r>
        <w:t xml:space="preserve"> [2007] FCA 345; 66 ATR 1 (</w:t>
      </w:r>
      <w:r w:rsidRPr="00A14B99">
        <w:rPr>
          <w:b/>
          <w:i/>
        </w:rPr>
        <w:t>Price Street</w:t>
      </w:r>
      <w:r>
        <w:t>).  Such knowledge and understanding must involve dishonesty so as to separate intentional behaviour from lack of reasonable care and recklessness.</w:t>
      </w:r>
    </w:p>
    <w:p w14:paraId="6861AD6A" w14:textId="343857E3" w:rsidR="00AC4B31" w:rsidRDefault="00AC4B31" w:rsidP="00AC4B31">
      <w:pPr>
        <w:pStyle w:val="Quote2"/>
      </w:pPr>
      <w:r>
        <w:t>(b)</w:t>
      </w:r>
      <w:r>
        <w:tab/>
        <w:t>On the evidence before the Tribunal, it was clear that Mr Buzadzic acted honestly and relied entirely on the bookkeeper and accountants.  Further, “unexplained” deposits and “unverified” credit entries have never been accepted as income according to ordinary concepts or as taxable on any basis – how then can it be said that Mr Buzadzic understood the effect of the legislation and how it operated in respect of his tax affairs and that he made a deliberate choice to ignore the law?  It clearly cannot.</w:t>
      </w:r>
    </w:p>
    <w:p w14:paraId="06469E58" w14:textId="275F4108" w:rsidR="00AC4B31" w:rsidRDefault="00664E4D" w:rsidP="00AC4B31">
      <w:pPr>
        <w:pStyle w:val="Quote2"/>
      </w:pPr>
      <w:r>
        <w:lastRenderedPageBreak/>
        <w:t>(c)</w:t>
      </w:r>
      <w:r>
        <w:tab/>
      </w:r>
      <w:r w:rsidR="00AC4B31">
        <w:t xml:space="preserve">It also follows that there was no occasion for the imposition of a penalty uplift and, if and to the extent that any penalties are payable, the Commissioner and, on review, the Tribunal, should have exercised the powers under </w:t>
      </w:r>
      <w:proofErr w:type="spellStart"/>
      <w:r w:rsidR="00AC4B31">
        <w:t>Subdiv</w:t>
      </w:r>
      <w:proofErr w:type="spellEnd"/>
      <w:r w:rsidR="00AC4B31">
        <w:t> 298-A of Sch 1 to the Administration Act to remit the 20% uplift penalty.</w:t>
      </w:r>
    </w:p>
    <w:p w14:paraId="5E35397C" w14:textId="3ED79D79" w:rsidR="00AC4B31" w:rsidRDefault="00664E4D" w:rsidP="00AC4B31">
      <w:pPr>
        <w:pStyle w:val="Quote1"/>
      </w:pPr>
      <w:r>
        <w:t>[146]</w:t>
      </w:r>
      <w:r>
        <w:tab/>
      </w:r>
      <w:r w:rsidR="00AC4B31">
        <w:t xml:space="preserve">There are a number of difficulties with these submissions.  Insofar as Mr Buzadzic submits that, on the evidence before the Tribunal, he acted honestly, this fails to engage with the burden of proof and the conclusion reached by the Tribunal that Mr Buzadzic had not discharged his onus of proving that his conduct in respect of the shortfall was not attributable to an intentional disregard of the law (at </w:t>
      </w:r>
      <w:r w:rsidR="00695743">
        <w:t>[AAT]</w:t>
      </w:r>
      <w:r w:rsidR="00AC4B31">
        <w:t xml:space="preserve">[213]).  Further, there is no indication in [213] of the Tribunal’s reasons that it misconstrued the notion of “intentional disregard of a taxation law”.  The Tribunal appears to have correctly understood that this refers to actual knowledge that the statement made was false: see </w:t>
      </w:r>
      <w:r w:rsidR="00AC4B31">
        <w:rPr>
          <w:i/>
        </w:rPr>
        <w:t>Price Street</w:t>
      </w:r>
      <w:r w:rsidR="00AC4B31">
        <w:t xml:space="preserve"> at [43].  In reaching this conclusion, it was open to the Tribunal to have regard to the conduct of Mr </w:t>
      </w:r>
      <w:proofErr w:type="spellStart"/>
      <w:r w:rsidR="00AC4B31">
        <w:t>Buzadzic’s</w:t>
      </w:r>
      <w:proofErr w:type="spellEnd"/>
      <w:r w:rsidR="00AC4B31">
        <w:t xml:space="preserve"> agents: see </w:t>
      </w:r>
      <w:r w:rsidR="00AC4B31">
        <w:rPr>
          <w:i/>
        </w:rPr>
        <w:t>Weyers v Federal Commissioner of Taxation</w:t>
      </w:r>
      <w:r w:rsidR="00AC4B31">
        <w:t xml:space="preserve"> [2006] FCA 818; 63 ATR 268 at [165]-[168].  Insofar as Mr Buzadzic contends that the Tribunal’s conclusion was unreasonable, I do not accept that contention.  The Tribunal provided clear and logical reasons for its conclusion.  I consider that the Tribunal’s conclusion was open on the evidence.</w:t>
      </w:r>
    </w:p>
    <w:p w14:paraId="3AEB27A2" w14:textId="0F3FD692" w:rsidR="00AC4B31" w:rsidRDefault="00664E4D" w:rsidP="00AC4B31">
      <w:pPr>
        <w:pStyle w:val="Quote1"/>
      </w:pPr>
      <w:r>
        <w:t>[147]</w:t>
      </w:r>
      <w:r>
        <w:tab/>
      </w:r>
      <w:r w:rsidR="00AC4B31">
        <w:t xml:space="preserve">Insofar as Mr Buzadzic challenges the Tribunal’s conclusion (at </w:t>
      </w:r>
      <w:r w:rsidR="00DD5030">
        <w:t>[AAT]</w:t>
      </w:r>
      <w:r w:rsidR="00AC4B31">
        <w:t>[214]) that it was not appropriate to remit the 20% penalty uplift, I am not satisfied that any error has been shown in this regard.  In light of the Tribunal’s conclusion at [213], it was open to the Tribunal to reach the conclusion that it did in relation to the 20% penalty uplift.  I am not satisfied that this was unreasonable in the sense discussed in the authorities referred to above.</w:t>
      </w:r>
    </w:p>
    <w:p w14:paraId="7F057E5F" w14:textId="18A73D0F" w:rsidR="00AC4B31" w:rsidRDefault="009970A9" w:rsidP="00664E4D">
      <w:pPr>
        <w:pStyle w:val="ParaNumbering"/>
      </w:pPr>
      <w:r>
        <w:t xml:space="preserve">In his submissions to this Court, </w:t>
      </w:r>
      <w:r w:rsidR="00951B5F" w:rsidRPr="00751EE4">
        <w:t>Mr Buzadzic</w:t>
      </w:r>
      <w:r w:rsidR="00951B5F">
        <w:t xml:space="preserve"> did not </w:t>
      </w:r>
      <w:r w:rsidR="00664E4D">
        <w:t xml:space="preserve">even refer to what </w:t>
      </w:r>
      <w:r w:rsidR="00146353">
        <w:t xml:space="preserve">the primary judge </w:t>
      </w:r>
      <w:r w:rsidR="00664E4D">
        <w:t>said about the Tribunal’s reasoning, much less attempt to identify and establish error</w:t>
      </w:r>
      <w:r w:rsidR="00146353">
        <w:t xml:space="preserve"> by his Honour</w:t>
      </w:r>
      <w:r w:rsidR="00664E4D">
        <w:t xml:space="preserve">.  </w:t>
      </w:r>
      <w:r w:rsidR="00A67C01">
        <w:t xml:space="preserve">His Honour’s </w:t>
      </w:r>
      <w:r w:rsidR="00951B5F">
        <w:t xml:space="preserve">reasoning and conclusion </w:t>
      </w:r>
      <w:r w:rsidR="003356C4">
        <w:t xml:space="preserve">are </w:t>
      </w:r>
      <w:r w:rsidR="00951B5F">
        <w:t xml:space="preserve">plainly correct.  </w:t>
      </w:r>
      <w:r w:rsidR="001E3850">
        <w:t>It follows that appeal ground 6 must fail.</w:t>
      </w:r>
    </w:p>
    <w:p w14:paraId="3B4F5563" w14:textId="5BD61C09" w:rsidR="00403F9A" w:rsidRDefault="00403F9A" w:rsidP="009C7764">
      <w:pPr>
        <w:pStyle w:val="Heading2"/>
      </w:pPr>
      <w:r>
        <w:t>Appeal ground</w:t>
      </w:r>
      <w:r w:rsidR="00BA108B">
        <w:t>s</w:t>
      </w:r>
      <w:r>
        <w:t xml:space="preserve"> </w:t>
      </w:r>
      <w:r w:rsidR="00374658">
        <w:t>7</w:t>
      </w:r>
      <w:r w:rsidR="000C7E61">
        <w:t>(a) and (b)</w:t>
      </w:r>
      <w:r>
        <w:t xml:space="preserve"> (ground</w:t>
      </w:r>
      <w:r w:rsidR="00BA108B">
        <w:t>s</w:t>
      </w:r>
      <w:r w:rsidR="00374658">
        <w:t xml:space="preserve"> 13</w:t>
      </w:r>
      <w:r w:rsidR="00DF2C4F">
        <w:t>(a) and (b)</w:t>
      </w:r>
      <w:r w:rsidR="00997C17">
        <w:t xml:space="preserve"> below</w:t>
      </w:r>
      <w:r>
        <w:t>)</w:t>
      </w:r>
      <w:r w:rsidR="003D50A8">
        <w:t xml:space="preserve"> – penalty relief</w:t>
      </w:r>
    </w:p>
    <w:p w14:paraId="2B5D089B" w14:textId="77777777" w:rsidR="008778A5" w:rsidRDefault="00FD25FC" w:rsidP="001A1504">
      <w:pPr>
        <w:pStyle w:val="ParaNumbering"/>
      </w:pPr>
      <w:r>
        <w:t xml:space="preserve">Before the Tribunal, </w:t>
      </w:r>
      <w:r w:rsidRPr="00751EE4">
        <w:t>Mr Buzadzic</w:t>
      </w:r>
      <w:r>
        <w:t xml:space="preserve"> </w:t>
      </w:r>
      <w:r w:rsidR="00E155E0">
        <w:t xml:space="preserve">contended </w:t>
      </w:r>
      <w:r w:rsidR="0032776C">
        <w:t xml:space="preserve">in the alternative, </w:t>
      </w:r>
      <w:r w:rsidR="00803B2E">
        <w:t xml:space="preserve">referring to the relevant provisions, that </w:t>
      </w:r>
      <w:r w:rsidR="0032776C">
        <w:t>if</w:t>
      </w:r>
      <w:r w:rsidR="00FF7F06">
        <w:t>, contrary to his denials,</w:t>
      </w:r>
      <w:r w:rsidR="0032776C">
        <w:t xml:space="preserve"> he did make a statement that was false or misleading in a material particular</w:t>
      </w:r>
      <w:r w:rsidR="008778A5">
        <w:t>:</w:t>
      </w:r>
    </w:p>
    <w:p w14:paraId="26790E47" w14:textId="77777777" w:rsidR="008778A5" w:rsidRDefault="00B22167" w:rsidP="008778A5">
      <w:pPr>
        <w:pStyle w:val="ListNo1alt"/>
        <w:numPr>
          <w:ilvl w:val="0"/>
          <w:numId w:val="33"/>
        </w:numPr>
      </w:pPr>
      <w:r>
        <w:t xml:space="preserve">there was no shortfall amount for the purpose of penalties </w:t>
      </w:r>
      <w:r w:rsidR="006954FF">
        <w:t xml:space="preserve">because </w:t>
      </w:r>
      <w:r w:rsidR="00E155E0">
        <w:t xml:space="preserve">he and his agent took reasonable care </w:t>
      </w:r>
      <w:r w:rsidR="004D599A">
        <w:t xml:space="preserve">in </w:t>
      </w:r>
      <w:r w:rsidR="00C55288">
        <w:t xml:space="preserve">connection with </w:t>
      </w:r>
      <w:r w:rsidR="004D599A">
        <w:t xml:space="preserve">making </w:t>
      </w:r>
      <w:r w:rsidR="00C55288">
        <w:t xml:space="preserve">each such </w:t>
      </w:r>
      <w:r w:rsidR="004D599A">
        <w:t xml:space="preserve">statement </w:t>
      </w:r>
      <w:r w:rsidR="00300FD3">
        <w:t xml:space="preserve">so was not liable for </w:t>
      </w:r>
      <w:r w:rsidR="000B0BFC">
        <w:t xml:space="preserve">administrative </w:t>
      </w:r>
      <w:r w:rsidR="00300FD3">
        <w:t>penalties</w:t>
      </w:r>
      <w:r w:rsidR="008778A5">
        <w:t>;</w:t>
      </w:r>
      <w:r w:rsidR="00300FD3">
        <w:t xml:space="preserve"> or </w:t>
      </w:r>
    </w:p>
    <w:p w14:paraId="1B3933CD" w14:textId="27C615C8" w:rsidR="007E4906" w:rsidRDefault="00300FD3" w:rsidP="008778A5">
      <w:pPr>
        <w:pStyle w:val="ListNo1alt"/>
        <w:numPr>
          <w:ilvl w:val="0"/>
          <w:numId w:val="33"/>
        </w:numPr>
      </w:pPr>
      <w:r>
        <w:t xml:space="preserve">he was not liable </w:t>
      </w:r>
      <w:r w:rsidR="000B0BFC">
        <w:t xml:space="preserve">for administrative penalties because he engaged an agent, </w:t>
      </w:r>
      <w:r w:rsidR="007944B1">
        <w:t>gave all relevant information to ensure the proper preparation of his returns and</w:t>
      </w:r>
      <w:r w:rsidR="001A698E">
        <w:t>,</w:t>
      </w:r>
      <w:r w:rsidR="007944B1">
        <w:t xml:space="preserve"> to the extent that the agent </w:t>
      </w:r>
      <w:r w:rsidR="00EF4D0E">
        <w:t xml:space="preserve">made statements that were false or misleading (again denied), that did not result </w:t>
      </w:r>
      <w:r w:rsidR="00CA221B">
        <w:t xml:space="preserve">from failing to take reasonable care, </w:t>
      </w:r>
      <w:r w:rsidR="009D4D3A">
        <w:t>recklessness, or intentional disregard by his agent as to the operation of taxation laws.</w:t>
      </w:r>
      <w:r w:rsidR="001A1504">
        <w:t xml:space="preserve">  </w:t>
      </w:r>
    </w:p>
    <w:p w14:paraId="32C63C53" w14:textId="460F906E" w:rsidR="00906D99" w:rsidRDefault="001A1504" w:rsidP="001A1504">
      <w:pPr>
        <w:pStyle w:val="ParaNumbering"/>
      </w:pPr>
      <w:r>
        <w:lastRenderedPageBreak/>
        <w:t>It is common ground that the Tribunal did not expressly deal with these</w:t>
      </w:r>
      <w:r w:rsidR="00803B2E">
        <w:t xml:space="preserve"> contention</w:t>
      </w:r>
      <w:r w:rsidR="00D746BC">
        <w:t>s and provisions in it</w:t>
      </w:r>
      <w:r w:rsidR="00995E31">
        <w:t>s</w:t>
      </w:r>
      <w:r w:rsidR="00D746BC">
        <w:t xml:space="preserve"> reasons.</w:t>
      </w:r>
      <w:r w:rsidR="0024371D">
        <w:t xml:space="preserve">  </w:t>
      </w:r>
      <w:r w:rsidR="00C923E8">
        <w:t xml:space="preserve">The primary judge found </w:t>
      </w:r>
      <w:r w:rsidR="002223C8">
        <w:t>at PJ[</w:t>
      </w:r>
      <w:r w:rsidR="006F0188">
        <w:t xml:space="preserve">156] </w:t>
      </w:r>
      <w:r w:rsidR="00C923E8">
        <w:t xml:space="preserve">that </w:t>
      </w:r>
      <w:r w:rsidR="0024371D">
        <w:t xml:space="preserve">despite this, </w:t>
      </w:r>
      <w:r w:rsidR="00D97C37">
        <w:t>AAT[213]</w:t>
      </w:r>
      <w:r w:rsidR="005D2659">
        <w:t xml:space="preserve"> (</w:t>
      </w:r>
      <w:r w:rsidR="00D97C37">
        <w:t xml:space="preserve">reproduced above </w:t>
      </w:r>
      <w:r w:rsidR="0099482C">
        <w:t>at [4</w:t>
      </w:r>
      <w:r w:rsidR="009633FF">
        <w:t>2</w:t>
      </w:r>
      <w:r w:rsidR="0099482C">
        <w:t xml:space="preserve">] </w:t>
      </w:r>
      <w:r w:rsidR="00D97C37">
        <w:t>in relation to appeal ground 6</w:t>
      </w:r>
      <w:r w:rsidR="005D2659">
        <w:t>)</w:t>
      </w:r>
      <w:r w:rsidR="00F238D2">
        <w:t xml:space="preserve"> </w:t>
      </w:r>
      <w:r w:rsidR="00F176D5">
        <w:t>encompassed findings and conclusions on those contentions and provisions</w:t>
      </w:r>
      <w:r w:rsidR="00CF37DD">
        <w:t xml:space="preserve">.  His Honour concluded </w:t>
      </w:r>
      <w:r w:rsidR="001A6755">
        <w:t xml:space="preserve">that it was implicit that the Tribunal </w:t>
      </w:r>
      <w:r w:rsidR="00F52A21">
        <w:t xml:space="preserve">considered that </w:t>
      </w:r>
      <w:r w:rsidR="00F52A21" w:rsidRPr="00751EE4">
        <w:t>Mr Buzadzic</w:t>
      </w:r>
      <w:r w:rsidR="00F52A21">
        <w:t xml:space="preserve"> had not established the elements </w:t>
      </w:r>
      <w:r w:rsidR="00E64744">
        <w:t>necessary for avoiding liability for the administrative penalties imposed</w:t>
      </w:r>
      <w:r w:rsidR="007E4906">
        <w:t xml:space="preserve"> by the Commissioner</w:t>
      </w:r>
      <w:r w:rsidR="00D97C37">
        <w:t xml:space="preserve">.  </w:t>
      </w:r>
      <w:r w:rsidR="0047075C">
        <w:t>His Honour was plainly correct</w:t>
      </w:r>
      <w:r w:rsidR="00812E01">
        <w:t>, as is clear</w:t>
      </w:r>
      <w:r w:rsidR="0047075C">
        <w:t xml:space="preserve"> when </w:t>
      </w:r>
      <w:r w:rsidR="00232A91">
        <w:t>AAT[213]</w:t>
      </w:r>
      <w:r w:rsidR="00973100">
        <w:t xml:space="preserve"> is fairly read</w:t>
      </w:r>
      <w:r w:rsidR="00F93814">
        <w:t xml:space="preserve"> and properly understood</w:t>
      </w:r>
      <w:r w:rsidR="007B09A9">
        <w:t xml:space="preserve">.  This conclusion is supported by </w:t>
      </w:r>
      <w:r w:rsidR="00BC4F50">
        <w:t xml:space="preserve">the context </w:t>
      </w:r>
      <w:r w:rsidR="008A07A8">
        <w:t>for AAT[2</w:t>
      </w:r>
      <w:r w:rsidR="00EB6E2D">
        <w:t>13</w:t>
      </w:r>
      <w:r w:rsidR="008A07A8">
        <w:t xml:space="preserve">] provided by </w:t>
      </w:r>
      <w:r w:rsidR="00BC4F50">
        <w:t xml:space="preserve">the Tribunal’s </w:t>
      </w:r>
      <w:r w:rsidR="008A07A8">
        <w:t xml:space="preserve">earlier </w:t>
      </w:r>
      <w:r w:rsidR="00BC4F50">
        <w:t>findings</w:t>
      </w:r>
      <w:r w:rsidR="004B5E95">
        <w:t xml:space="preserve"> </w:t>
      </w:r>
      <w:r w:rsidR="00E277D4">
        <w:t>relied upon by the Commissioner at AAT</w:t>
      </w:r>
      <w:r w:rsidR="00707118" w:rsidRPr="00707118">
        <w:rPr>
          <w:rFonts w:ascii="TimesNewRomanPSMT" w:hAnsi="TimesNewRomanPSMT" w:cs="TimesNewRomanPSMT"/>
          <w:szCs w:val="24"/>
          <w:lang w:eastAsia="en-AU"/>
        </w:rPr>
        <w:t>[21], [67]-[69], [74], [78], [84], [86]-[88], [93], [117], [134], [149]-[151], [168], [171]-[173], [202]</w:t>
      </w:r>
      <w:r w:rsidR="00707118">
        <w:rPr>
          <w:rFonts w:ascii="TimesNewRomanPSMT" w:hAnsi="TimesNewRomanPSMT" w:cs="TimesNewRomanPSMT"/>
          <w:szCs w:val="24"/>
          <w:lang w:eastAsia="en-AU"/>
        </w:rPr>
        <w:t xml:space="preserve"> and</w:t>
      </w:r>
      <w:r w:rsidR="00707118" w:rsidRPr="00707118">
        <w:rPr>
          <w:rFonts w:ascii="TimesNewRomanPSMT" w:hAnsi="TimesNewRomanPSMT" w:cs="TimesNewRomanPSMT"/>
          <w:szCs w:val="24"/>
          <w:lang w:eastAsia="en-AU"/>
        </w:rPr>
        <w:t xml:space="preserve"> [204]-[205]</w:t>
      </w:r>
      <w:r w:rsidR="00D82A03">
        <w:t>.</w:t>
      </w:r>
      <w:r w:rsidR="00E277D4">
        <w:t xml:space="preserve"> </w:t>
      </w:r>
    </w:p>
    <w:p w14:paraId="4A95D3F6" w14:textId="1001AE39" w:rsidR="00D229D4" w:rsidRDefault="00F93814" w:rsidP="001A1504">
      <w:pPr>
        <w:pStyle w:val="ParaNumbering"/>
      </w:pPr>
      <w:r>
        <w:t>Th</w:t>
      </w:r>
      <w:r w:rsidR="00906D99">
        <w:t xml:space="preserve">ose </w:t>
      </w:r>
      <w:r w:rsidR="008A07A8">
        <w:t xml:space="preserve">additional </w:t>
      </w:r>
      <w:r w:rsidR="00906D99">
        <w:t xml:space="preserve">paragraphs of the Tribunal reasons </w:t>
      </w:r>
      <w:r w:rsidR="004B5E95">
        <w:t>includ</w:t>
      </w:r>
      <w:r>
        <w:t>e</w:t>
      </w:r>
      <w:r w:rsidR="004B5E95">
        <w:t xml:space="preserve"> </w:t>
      </w:r>
      <w:r w:rsidR="00995E31">
        <w:t xml:space="preserve">findings </w:t>
      </w:r>
      <w:r w:rsidR="00310430">
        <w:t xml:space="preserve">made </w:t>
      </w:r>
      <w:r w:rsidR="002128A4">
        <w:t xml:space="preserve">as to poor record keeping and </w:t>
      </w:r>
      <w:r w:rsidR="00AB1607">
        <w:t>unsatisfactory evidence</w:t>
      </w:r>
      <w:r w:rsidR="00B92EDA">
        <w:t>,</w:t>
      </w:r>
      <w:r w:rsidR="00AB1607">
        <w:t xml:space="preserve"> </w:t>
      </w:r>
      <w:r w:rsidR="00310430">
        <w:t xml:space="preserve">that </w:t>
      </w:r>
      <w:r w:rsidR="00F82AC4">
        <w:t xml:space="preserve">were </w:t>
      </w:r>
      <w:r w:rsidR="00310430">
        <w:t xml:space="preserve">inconsistent with the conditions </w:t>
      </w:r>
      <w:r w:rsidR="0068327D">
        <w:t xml:space="preserve">for relief from liability for administrative penalties </w:t>
      </w:r>
      <w:r w:rsidR="00CE193C">
        <w:t xml:space="preserve">being </w:t>
      </w:r>
      <w:r w:rsidR="00030520">
        <w:t xml:space="preserve">able to be </w:t>
      </w:r>
      <w:r w:rsidR="00CE193C">
        <w:t>met</w:t>
      </w:r>
      <w:r w:rsidR="002D553C">
        <w:t xml:space="preserve">.  For example, the Tribunal found that much of the information entered into the accounting records came from </w:t>
      </w:r>
      <w:r w:rsidR="002D553C" w:rsidRPr="00751EE4">
        <w:t>Mr Buzadzic</w:t>
      </w:r>
      <w:r w:rsidR="002D553C">
        <w:t xml:space="preserve"> himself, including occasions upon which the person performing the data entry task did not seek or have access to source records, such as bank or credit card statements or invoices, and related findings.  Indeed the Tribunal found that in the vast majority of cases, </w:t>
      </w:r>
      <w:r w:rsidR="002D553C" w:rsidRPr="00751EE4">
        <w:t>Mr Buzadzic</w:t>
      </w:r>
      <w:r w:rsidR="002D553C">
        <w:t xml:space="preserve"> was unable to produce supporting documentation for the accounting entries: AAT[149]-[151].  Th</w:t>
      </w:r>
      <w:r w:rsidR="0088162D">
        <w:t xml:space="preserve">ese and other paragraphs of the Tribunal reasons </w:t>
      </w:r>
      <w:r w:rsidR="002D16C5">
        <w:t xml:space="preserve">identified by the Commissioner </w:t>
      </w:r>
      <w:r w:rsidR="00030520">
        <w:t xml:space="preserve">assists in understanding </w:t>
      </w:r>
      <w:r w:rsidR="008C0405">
        <w:t xml:space="preserve">the references in </w:t>
      </w:r>
      <w:r w:rsidR="00030520">
        <w:t>AAT[213]</w:t>
      </w:r>
      <w:r w:rsidR="008C0405">
        <w:t xml:space="preserve"> </w:t>
      </w:r>
      <w:r w:rsidR="00D46D71">
        <w:t xml:space="preserve">as being to earlier </w:t>
      </w:r>
      <w:r w:rsidR="002D16C5">
        <w:t>findings</w:t>
      </w:r>
      <w:r w:rsidR="00D46D71">
        <w:t xml:space="preserve"> </w:t>
      </w:r>
      <w:r w:rsidR="00F24C47">
        <w:t>as follows</w:t>
      </w:r>
      <w:r w:rsidR="00D229D4">
        <w:t>:</w:t>
      </w:r>
    </w:p>
    <w:p w14:paraId="2C643935" w14:textId="6F79D8EE" w:rsidR="005814BE" w:rsidRDefault="002D53E9" w:rsidP="00D229D4">
      <w:pPr>
        <w:pStyle w:val="ListNo1alt"/>
        <w:numPr>
          <w:ilvl w:val="0"/>
          <w:numId w:val="35"/>
        </w:numPr>
      </w:pPr>
      <w:r w:rsidRPr="00751EE4">
        <w:t>Mr Buzadzic</w:t>
      </w:r>
      <w:r>
        <w:t xml:space="preserve"> </w:t>
      </w:r>
      <w:r w:rsidR="00B717F1" w:rsidRPr="00865FE8">
        <w:t>“</w:t>
      </w:r>
      <w:r w:rsidRPr="00D229D4">
        <w:rPr>
          <w:i/>
          <w:iCs/>
        </w:rPr>
        <w:t>not always telling his bookkeeper and accountant of all amounts deposited into his personal accounts</w:t>
      </w:r>
      <w:r w:rsidR="00B717F1" w:rsidRPr="00865FE8">
        <w:t>”</w:t>
      </w:r>
      <w:r w:rsidR="00F24C47">
        <w:t>;</w:t>
      </w:r>
    </w:p>
    <w:p w14:paraId="24A556E1" w14:textId="77777777" w:rsidR="005814BE" w:rsidRDefault="005814BE" w:rsidP="00D229D4">
      <w:pPr>
        <w:pStyle w:val="ListNo1alt"/>
        <w:numPr>
          <w:ilvl w:val="0"/>
          <w:numId w:val="35"/>
        </w:numPr>
      </w:pPr>
      <w:r w:rsidRPr="00751EE4">
        <w:t>Mr </w:t>
      </w:r>
      <w:proofErr w:type="spellStart"/>
      <w:r w:rsidRPr="00751EE4">
        <w:t>Buzadzic</w:t>
      </w:r>
      <w:r>
        <w:t>’s</w:t>
      </w:r>
      <w:proofErr w:type="spellEnd"/>
      <w:r>
        <w:t xml:space="preserve"> </w:t>
      </w:r>
      <w:r w:rsidR="00B717F1" w:rsidRPr="00865FE8">
        <w:t>“</w:t>
      </w:r>
      <w:r w:rsidR="00B717F1" w:rsidRPr="005814BE">
        <w:rPr>
          <w:i/>
          <w:iCs/>
        </w:rPr>
        <w:t>most significant service provider, Mr </w:t>
      </w:r>
      <w:proofErr w:type="spellStart"/>
      <w:r w:rsidR="00B717F1" w:rsidRPr="005814BE">
        <w:rPr>
          <w:i/>
          <w:iCs/>
        </w:rPr>
        <w:t>Hadded</w:t>
      </w:r>
      <w:proofErr w:type="spellEnd"/>
      <w:r w:rsidR="00B717F1" w:rsidRPr="005814BE">
        <w:rPr>
          <w:i/>
          <w:iCs/>
        </w:rPr>
        <w:t>/The Practice, failed to make inquiries that they knew they should have: Mr </w:t>
      </w:r>
      <w:proofErr w:type="spellStart"/>
      <w:r w:rsidR="00B717F1" w:rsidRPr="005814BE">
        <w:rPr>
          <w:i/>
          <w:iCs/>
        </w:rPr>
        <w:t>Hadded</w:t>
      </w:r>
      <w:proofErr w:type="spellEnd"/>
      <w:r w:rsidR="00B717F1" w:rsidRPr="005814BE">
        <w:rPr>
          <w:i/>
          <w:iCs/>
        </w:rPr>
        <w:t xml:space="preserve"> admitted his firm had a practice of sending out a questionnaire to its clients to complete but did not send one to Mr Buzadzic because they were of the view that Mr Buzadzic would not respond</w:t>
      </w:r>
      <w:r w:rsidR="00B717F1" w:rsidRPr="00865FE8">
        <w:t>”</w:t>
      </w:r>
      <w:r>
        <w:t>;</w:t>
      </w:r>
    </w:p>
    <w:p w14:paraId="3AE19EAF" w14:textId="3084152D" w:rsidR="001E0745" w:rsidRDefault="005814BE" w:rsidP="00D229D4">
      <w:pPr>
        <w:pStyle w:val="ListNo1alt"/>
        <w:numPr>
          <w:ilvl w:val="0"/>
          <w:numId w:val="35"/>
        </w:numPr>
      </w:pPr>
      <w:r w:rsidRPr="00751EE4">
        <w:t>Mr Buzadzic</w:t>
      </w:r>
      <w:r>
        <w:t xml:space="preserve"> </w:t>
      </w:r>
      <w:r w:rsidR="00B17134" w:rsidRPr="00865FE8">
        <w:t>providing “</w:t>
      </w:r>
      <w:r w:rsidR="00B17134" w:rsidRPr="001E0745">
        <w:rPr>
          <w:i/>
          <w:iCs/>
        </w:rPr>
        <w:t>no explanation</w:t>
      </w:r>
      <w:r w:rsidR="00B17134" w:rsidRPr="001E0745">
        <w:rPr>
          <w:i/>
          <w:iCs/>
          <w:spacing w:val="-1"/>
        </w:rPr>
        <w:t xml:space="preserve"> </w:t>
      </w:r>
      <w:r w:rsidR="00B17134" w:rsidRPr="001E0745">
        <w:rPr>
          <w:i/>
          <w:iCs/>
        </w:rPr>
        <w:t>for [this] conduct</w:t>
      </w:r>
      <w:r w:rsidR="00B17134" w:rsidRPr="00865FE8">
        <w:t>”</w:t>
      </w:r>
      <w:r w:rsidR="001E0745">
        <w:t>;</w:t>
      </w:r>
      <w:r w:rsidR="00B17134" w:rsidRPr="00865FE8">
        <w:t xml:space="preserve"> and</w:t>
      </w:r>
    </w:p>
    <w:p w14:paraId="5CA23C5B" w14:textId="1ED1896E" w:rsidR="002D53E9" w:rsidRPr="00865FE8" w:rsidRDefault="002D553C" w:rsidP="00D229D4">
      <w:pPr>
        <w:pStyle w:val="ListNo1alt"/>
        <w:numPr>
          <w:ilvl w:val="0"/>
          <w:numId w:val="35"/>
        </w:numPr>
      </w:pPr>
      <w:r>
        <w:t xml:space="preserve">the conclusion that </w:t>
      </w:r>
      <w:r w:rsidR="00B17134" w:rsidRPr="00865FE8">
        <w:t>“</w:t>
      </w:r>
      <w:r w:rsidR="00F24C47" w:rsidRPr="00A677DB">
        <w:rPr>
          <w:i/>
          <w:iCs/>
        </w:rPr>
        <w:t>[</w:t>
      </w:r>
      <w:proofErr w:type="spellStart"/>
      <w:r w:rsidR="00F24C47" w:rsidRPr="00A677DB">
        <w:rPr>
          <w:i/>
          <w:iCs/>
        </w:rPr>
        <w:t>i</w:t>
      </w:r>
      <w:proofErr w:type="spellEnd"/>
      <w:r w:rsidR="00A677DB" w:rsidRPr="00A677DB">
        <w:rPr>
          <w:i/>
          <w:iCs/>
        </w:rPr>
        <w:t>]</w:t>
      </w:r>
      <w:r w:rsidR="00B17134" w:rsidRPr="00A677DB">
        <w:rPr>
          <w:i/>
          <w:iCs/>
        </w:rPr>
        <w:t>n these circumstances the Tribunal can be left with no option but leave the pre-existing basis on which penalty has been imposed undisturbed</w:t>
      </w:r>
      <w:r w:rsidR="00865FE8" w:rsidRPr="00865FE8">
        <w:t>”</w:t>
      </w:r>
      <w:r w:rsidR="00B17134" w:rsidRPr="00865FE8">
        <w:t>.</w:t>
      </w:r>
    </w:p>
    <w:p w14:paraId="760EE7E6" w14:textId="43234F05" w:rsidR="00EF5D25" w:rsidRDefault="00C4676D" w:rsidP="001A1504">
      <w:pPr>
        <w:pStyle w:val="ParaNumbering"/>
      </w:pPr>
      <w:r>
        <w:t xml:space="preserve">It is </w:t>
      </w:r>
      <w:r w:rsidR="00713231">
        <w:t xml:space="preserve">readily </w:t>
      </w:r>
      <w:r>
        <w:t xml:space="preserve">apparent </w:t>
      </w:r>
      <w:r w:rsidR="00922969">
        <w:t xml:space="preserve">from </w:t>
      </w:r>
      <w:r w:rsidR="00DC31A5">
        <w:t xml:space="preserve">a fair reading of </w:t>
      </w:r>
      <w:r w:rsidR="00922969">
        <w:t xml:space="preserve">the Tribunal’s reasons </w:t>
      </w:r>
      <w:r w:rsidR="00713231">
        <w:t>as a whole</w:t>
      </w:r>
      <w:r w:rsidR="00A33BB8">
        <w:t>,</w:t>
      </w:r>
      <w:r w:rsidR="00713231">
        <w:t xml:space="preserve"> </w:t>
      </w:r>
      <w:r>
        <w:t xml:space="preserve">that </w:t>
      </w:r>
      <w:r w:rsidRPr="00751EE4">
        <w:t>Mr Buzadzic</w:t>
      </w:r>
      <w:r>
        <w:t xml:space="preserve"> did not come close to </w:t>
      </w:r>
      <w:r w:rsidR="002A6139">
        <w:t xml:space="preserve">establishing </w:t>
      </w:r>
      <w:r w:rsidR="005D0089">
        <w:t xml:space="preserve">what was necessary </w:t>
      </w:r>
      <w:r w:rsidR="000D605F">
        <w:t xml:space="preserve">for the penalty relief he relied on. </w:t>
      </w:r>
      <w:r w:rsidR="002E076B">
        <w:t xml:space="preserve"> </w:t>
      </w:r>
      <w:r w:rsidR="00C7080B">
        <w:t xml:space="preserve">That is, </w:t>
      </w:r>
      <w:r w:rsidR="002A6139">
        <w:t xml:space="preserve">that </w:t>
      </w:r>
      <w:r w:rsidR="00510F04">
        <w:t xml:space="preserve">the false or misleading statements </w:t>
      </w:r>
      <w:r w:rsidR="00922969">
        <w:t xml:space="preserve">relied upon by the Commissioner </w:t>
      </w:r>
      <w:r w:rsidR="00510F04">
        <w:t xml:space="preserve">did not result from </w:t>
      </w:r>
      <w:r w:rsidR="00510F04">
        <w:lastRenderedPageBreak/>
        <w:t>him or his agent</w:t>
      </w:r>
      <w:r w:rsidR="00713231">
        <w:t xml:space="preserve">, as relevant to the various classes of </w:t>
      </w:r>
      <w:r w:rsidR="006574A3">
        <w:t xml:space="preserve">administrative </w:t>
      </w:r>
      <w:r w:rsidR="00713231">
        <w:t>penalties imposed,</w:t>
      </w:r>
      <w:r w:rsidR="00510F04">
        <w:t xml:space="preserve"> failing to take reasonable care, recklessness, or intentional disregard as to the operation of taxation laws</w:t>
      </w:r>
      <w:r w:rsidR="00A67CFF">
        <w:t xml:space="preserve">, giving rise to the </w:t>
      </w:r>
      <w:r w:rsidR="002E070F">
        <w:t xml:space="preserve">imposition of </w:t>
      </w:r>
      <w:r w:rsidR="006574A3">
        <w:t xml:space="preserve">those </w:t>
      </w:r>
      <w:r w:rsidR="002E070F">
        <w:t>penalties</w:t>
      </w:r>
      <w:r w:rsidR="00A67CFF">
        <w:t xml:space="preserve"> in the first place</w:t>
      </w:r>
      <w:r w:rsidR="00556559">
        <w:t>.</w:t>
      </w:r>
    </w:p>
    <w:p w14:paraId="248A15B1" w14:textId="011F6238" w:rsidR="00D746BC" w:rsidRPr="004F60EC" w:rsidRDefault="00C82CC9" w:rsidP="001A1504">
      <w:pPr>
        <w:pStyle w:val="ParaNumbering"/>
      </w:pPr>
      <w:r>
        <w:t xml:space="preserve">The </w:t>
      </w:r>
      <w:r w:rsidR="00DF173B">
        <w:t>appeal</w:t>
      </w:r>
      <w:r>
        <w:t xml:space="preserve"> grounds</w:t>
      </w:r>
      <w:r w:rsidR="00DF173B">
        <w:t xml:space="preserve"> below</w:t>
      </w:r>
      <w:r>
        <w:t xml:space="preserve">, to the extent that they properly raised any question of law, and the corresponding </w:t>
      </w:r>
      <w:r w:rsidR="00DF173B">
        <w:t xml:space="preserve">present </w:t>
      </w:r>
      <w:r>
        <w:t>appeal ground</w:t>
      </w:r>
      <w:r w:rsidR="00B62BAD">
        <w:t>s</w:t>
      </w:r>
      <w:r w:rsidR="00607A3E">
        <w:t xml:space="preserve"> in this Court</w:t>
      </w:r>
      <w:r w:rsidR="00B62BAD">
        <w:t>, represent an attempt to elevate form over substance.  There is no reason to doubt that</w:t>
      </w:r>
      <w:r w:rsidR="008C1AB2">
        <w:t>, taken as a whole,</w:t>
      </w:r>
      <w:r w:rsidR="00B62BAD">
        <w:t xml:space="preserve"> the </w:t>
      </w:r>
      <w:r w:rsidR="00DF457C">
        <w:t xml:space="preserve">Tribunal did </w:t>
      </w:r>
      <w:r w:rsidR="00AD687C">
        <w:t xml:space="preserve">in fact </w:t>
      </w:r>
      <w:r w:rsidR="008C1AB2">
        <w:t xml:space="preserve">consider </w:t>
      </w:r>
      <w:r w:rsidR="00DF457C">
        <w:t xml:space="preserve">the contentions and </w:t>
      </w:r>
      <w:r w:rsidR="00AD687C">
        <w:t xml:space="preserve">provisions that </w:t>
      </w:r>
      <w:r w:rsidR="00AD687C" w:rsidRPr="00751EE4">
        <w:t>Mr Buzadzic</w:t>
      </w:r>
      <w:r w:rsidR="00AD687C">
        <w:t xml:space="preserve"> relied upo</w:t>
      </w:r>
      <w:r w:rsidR="002223C8">
        <w:t>n</w:t>
      </w:r>
      <w:r w:rsidR="0079433F">
        <w:t xml:space="preserve">, and rejected </w:t>
      </w:r>
      <w:r w:rsidR="00EF5D25">
        <w:t>the ultimate proposition that he had established that he was not liable to administrative penalties</w:t>
      </w:r>
      <w:r w:rsidR="002223C8">
        <w:t xml:space="preserve">.  </w:t>
      </w:r>
      <w:r w:rsidR="009340E0">
        <w:t xml:space="preserve">The primary judge was correct to reject </w:t>
      </w:r>
      <w:r w:rsidR="00FB52FE">
        <w:t xml:space="preserve">these </w:t>
      </w:r>
      <w:r w:rsidR="00F92F2C">
        <w:t xml:space="preserve">appeal </w:t>
      </w:r>
      <w:r w:rsidR="00FB52FE">
        <w:t xml:space="preserve">grounds before his Honour.  </w:t>
      </w:r>
      <w:r w:rsidR="00C55535">
        <w:t>It follows that appeal grounds 7(a) and (b) must fail.</w:t>
      </w:r>
    </w:p>
    <w:p w14:paraId="7A0AE283" w14:textId="5B48AED5" w:rsidR="000C7E61" w:rsidRDefault="000C7E61" w:rsidP="000C7E61">
      <w:pPr>
        <w:pStyle w:val="Heading2"/>
      </w:pPr>
      <w:r>
        <w:t>Appeal ground 7(c) (ground 13</w:t>
      </w:r>
      <w:r w:rsidR="00DF2C4F">
        <w:t>(c)</w:t>
      </w:r>
      <w:r w:rsidR="00997C17">
        <w:t xml:space="preserve"> below</w:t>
      </w:r>
      <w:r>
        <w:t xml:space="preserve">) – </w:t>
      </w:r>
      <w:r w:rsidR="00DF2C4F">
        <w:t xml:space="preserve">failure to consider </w:t>
      </w:r>
      <w:r w:rsidR="00B656EF">
        <w:t xml:space="preserve">remittal of </w:t>
      </w:r>
      <w:r w:rsidR="005513E7">
        <w:t xml:space="preserve">penalty </w:t>
      </w:r>
      <w:r w:rsidR="00B656EF">
        <w:t>uplift</w:t>
      </w:r>
      <w:r w:rsidR="005513E7">
        <w:t xml:space="preserve"> decision</w:t>
      </w:r>
    </w:p>
    <w:p w14:paraId="075C1ABF" w14:textId="62D9740F" w:rsidR="00B24866" w:rsidRDefault="00737F88" w:rsidP="000C7E61">
      <w:pPr>
        <w:pStyle w:val="ParaNumbering"/>
      </w:pPr>
      <w:r>
        <w:t xml:space="preserve">This ground flows from appeal grounds 7(a) and (b), in that </w:t>
      </w:r>
      <w:r w:rsidR="00DF6FA8" w:rsidRPr="00751EE4">
        <w:t>Mr Buzadzic</w:t>
      </w:r>
      <w:r w:rsidR="00DF6FA8">
        <w:t xml:space="preserve"> asserts that the Tribunal failed to consider </w:t>
      </w:r>
      <w:r w:rsidR="00AF05B9">
        <w:t>whether the Commissioner should remit any penalties payable in whole or in part because</w:t>
      </w:r>
      <w:r w:rsidR="00BD1F7B">
        <w:t>, he asserted,</w:t>
      </w:r>
      <w:r w:rsidR="00AF05B9">
        <w:t xml:space="preserve"> at all </w:t>
      </w:r>
      <w:r w:rsidR="00791768">
        <w:t xml:space="preserve">relevant </w:t>
      </w:r>
      <w:r w:rsidR="00AF05B9">
        <w:t xml:space="preserve">times he had behaved reasonably and </w:t>
      </w:r>
      <w:r w:rsidR="00BD1F7B">
        <w:t xml:space="preserve">took all steps necessary and expected of any taxpayer to ensure proper compliance with taxation legislation.  </w:t>
      </w:r>
      <w:r w:rsidR="00376CBB">
        <w:t xml:space="preserve">This ground of appeal is untenable, not least because it </w:t>
      </w:r>
      <w:r w:rsidR="00D22C3F">
        <w:t xml:space="preserve">does not even refer to the primary judge’s reasoning on this topic, let alone </w:t>
      </w:r>
      <w:r w:rsidR="004B1062">
        <w:t>identify and establish error.  His Honour said the following (at PJ</w:t>
      </w:r>
      <w:r w:rsidR="00D86AD2">
        <w:t>[157</w:t>
      </w:r>
      <w:r w:rsidR="00D77C1D">
        <w:t>]</w:t>
      </w:r>
      <w:r w:rsidR="00D86AD2">
        <w:t>):</w:t>
      </w:r>
    </w:p>
    <w:p w14:paraId="7DC93F10" w14:textId="1DD08C91" w:rsidR="00B24866" w:rsidRDefault="00242F1F" w:rsidP="00242F1F">
      <w:pPr>
        <w:pStyle w:val="Quote1"/>
      </w:pPr>
      <w:r>
        <w:t>In relation to ground 13(c), this matter (remission of penalty) was raised in Mr </w:t>
      </w:r>
      <w:proofErr w:type="spellStart"/>
      <w:r>
        <w:t>Buzadzic’s</w:t>
      </w:r>
      <w:proofErr w:type="spellEnd"/>
      <w:r>
        <w:t xml:space="preserve"> notice of objection and in subsequent documents in a way that may have given the impression that it related only to the 20% penalty uplift.  For example, in the notice of objection, the matter is raised in paragraph 3(E)(vi).  That paragraph contends that the Commission should remit “</w:t>
      </w:r>
      <w:proofErr w:type="spellStart"/>
      <w:r>
        <w:t>the</w:t>
      </w:r>
      <w:proofErr w:type="spellEnd"/>
      <w:r>
        <w:t xml:space="preserve"> said penalty”.  It follows immediately after a paragraph dealing with the penalty uplift.  Similarly, in paragraph 17(F) of Mr </w:t>
      </w:r>
      <w:proofErr w:type="spellStart"/>
      <w:r>
        <w:t>Buzadzic’s</w:t>
      </w:r>
      <w:proofErr w:type="spellEnd"/>
      <w:r>
        <w:t xml:space="preserve"> statement of facts, issues and contentions, the contention is that the Commissioner should have remitted “</w:t>
      </w:r>
      <w:proofErr w:type="spellStart"/>
      <w:r>
        <w:t>the</w:t>
      </w:r>
      <w:proofErr w:type="spellEnd"/>
      <w:r>
        <w:t xml:space="preserve"> said penalty” and this paragraph follows immediately after a paragraph dealing with the penalty uplift.  The same is true of paragraph 80(g) of the applicants’ written submissions in the Tribunal proceedings.  (See also paragraph 6(h) of the applicants’ written submissions in the Tribunal proceedings.)  In light of the way these documents were presented it is understandable that the Tribunal referred to the issue of remission only in the context of the penalty uplift (at [214] of its reasons).  In my view, having regard to the way the issue of remission was presented, the Tribunal considered the issue.  Accordingly, no error is established.</w:t>
      </w:r>
    </w:p>
    <w:p w14:paraId="0EA0A3BE" w14:textId="593EFF88" w:rsidR="000C7E61" w:rsidRPr="004F60EC" w:rsidRDefault="00B24866" w:rsidP="000C7E61">
      <w:pPr>
        <w:pStyle w:val="ParaNumbering"/>
      </w:pPr>
      <w:r>
        <w:t xml:space="preserve">The primary judge’s reasons disclose no error.  </w:t>
      </w:r>
      <w:r w:rsidR="001E09F0" w:rsidRPr="00751EE4">
        <w:t>Mr Buzadzic</w:t>
      </w:r>
      <w:r w:rsidR="001E09F0">
        <w:t xml:space="preserve"> is bound by the way he conducted his case, including </w:t>
      </w:r>
      <w:r w:rsidR="007668F5">
        <w:t xml:space="preserve">in the way he chose to </w:t>
      </w:r>
      <w:r w:rsidR="00372636">
        <w:t>express his objection which ordinarily con</w:t>
      </w:r>
      <w:r w:rsidR="00843671">
        <w:t>s</w:t>
      </w:r>
      <w:r w:rsidR="00372636">
        <w:t xml:space="preserve">trains what can be advanced on a review before the Tribunal.  </w:t>
      </w:r>
      <w:r w:rsidR="00D25CB5">
        <w:t xml:space="preserve">In any event, the last sentence of </w:t>
      </w:r>
      <w:r w:rsidR="00D25CB5">
        <w:lastRenderedPageBreak/>
        <w:t>AAT[213]</w:t>
      </w:r>
      <w:r w:rsidR="00C12941">
        <w:t xml:space="preserve">, namely that </w:t>
      </w:r>
      <w:r w:rsidR="00A91882">
        <w:t xml:space="preserve">in </w:t>
      </w:r>
      <w:r w:rsidR="00C12941">
        <w:t xml:space="preserve">the circumstances </w:t>
      </w:r>
      <w:r w:rsidR="00A91882" w:rsidRPr="00A91882">
        <w:t>the Tribunal</w:t>
      </w:r>
      <w:r w:rsidR="00A91882" w:rsidRPr="002D553C">
        <w:rPr>
          <w:i/>
          <w:iCs/>
        </w:rPr>
        <w:t xml:space="preserve"> </w:t>
      </w:r>
      <w:r w:rsidR="00A91882">
        <w:t>was left “</w:t>
      </w:r>
      <w:r w:rsidR="00A91882" w:rsidRPr="002D553C">
        <w:rPr>
          <w:i/>
          <w:iCs/>
        </w:rPr>
        <w:t>with no option but leave the pre-existing basis on which penalty has been imposed undisturbed</w:t>
      </w:r>
      <w:r w:rsidR="005A75BA">
        <w:t>”</w:t>
      </w:r>
      <w:r w:rsidR="000B3C28">
        <w:t xml:space="preserve">, makes </w:t>
      </w:r>
      <w:r w:rsidR="00D25CB5">
        <w:t xml:space="preserve">it very clear that </w:t>
      </w:r>
      <w:r w:rsidR="00636BD5">
        <w:t xml:space="preserve">the Tribunal </w:t>
      </w:r>
      <w:r w:rsidR="007C3B26">
        <w:t xml:space="preserve">necessarily </w:t>
      </w:r>
      <w:r w:rsidR="00636BD5">
        <w:t xml:space="preserve">considered that </w:t>
      </w:r>
      <w:r w:rsidR="00D25CB5">
        <w:t>remittal was completely out of the question</w:t>
      </w:r>
      <w:r w:rsidR="004B2818">
        <w:t>.  T</w:t>
      </w:r>
      <w:r w:rsidR="007C3B26">
        <w:t>he other aspects of the Tribunal’s reasons considered in relation to appeal grounds 7(a) and (b)</w:t>
      </w:r>
      <w:r w:rsidR="00C655DF">
        <w:t xml:space="preserve"> </w:t>
      </w:r>
      <w:r w:rsidR="00206D0B">
        <w:t>deny</w:t>
      </w:r>
      <w:r w:rsidR="00C655DF">
        <w:t xml:space="preserve"> any </w:t>
      </w:r>
      <w:r w:rsidR="00E760FB">
        <w:t xml:space="preserve">basis for a </w:t>
      </w:r>
      <w:r w:rsidR="00C655DF">
        <w:t xml:space="preserve">serious suggestion that </w:t>
      </w:r>
      <w:r w:rsidR="00C655DF" w:rsidRPr="00751EE4">
        <w:t>Mr Buzadzic</w:t>
      </w:r>
      <w:r w:rsidR="00C655DF">
        <w:t xml:space="preserve"> could possibly </w:t>
      </w:r>
      <w:r w:rsidR="004B2818">
        <w:t xml:space="preserve">have been </w:t>
      </w:r>
      <w:r w:rsidR="00C655DF">
        <w:t xml:space="preserve">regarded </w:t>
      </w:r>
      <w:r w:rsidR="004B2818">
        <w:t xml:space="preserve">by the Tribunal </w:t>
      </w:r>
      <w:r w:rsidR="00C655DF">
        <w:t xml:space="preserve">as having behaved reasonably or having taken all steps necessary to ensure proper compliance with </w:t>
      </w:r>
      <w:r w:rsidR="00255C79">
        <w:t>the applicable tax laws</w:t>
      </w:r>
      <w:r w:rsidR="00D25CB5">
        <w:t xml:space="preserve">.  </w:t>
      </w:r>
      <w:r>
        <w:t>It follows that appeal ground 7(c) must fail.</w:t>
      </w:r>
      <w:r w:rsidR="00376CBB">
        <w:t xml:space="preserve"> </w:t>
      </w:r>
    </w:p>
    <w:p w14:paraId="1C8FD3E9" w14:textId="751EE43D" w:rsidR="00403F9A" w:rsidRDefault="00403F9A" w:rsidP="009C7764">
      <w:pPr>
        <w:pStyle w:val="Heading2"/>
      </w:pPr>
      <w:r>
        <w:t xml:space="preserve">Appeal ground </w:t>
      </w:r>
      <w:r w:rsidR="00374658">
        <w:t>8</w:t>
      </w:r>
      <w:r>
        <w:t xml:space="preserve"> (grounds</w:t>
      </w:r>
      <w:r w:rsidR="00374658">
        <w:t xml:space="preserve"> 14 </w:t>
      </w:r>
      <w:r w:rsidR="005806D0">
        <w:t>&amp;</w:t>
      </w:r>
      <w:r w:rsidR="00374658">
        <w:t xml:space="preserve"> 15</w:t>
      </w:r>
      <w:r w:rsidR="005F3C2C">
        <w:t xml:space="preserve"> below</w:t>
      </w:r>
      <w:r>
        <w:t>)</w:t>
      </w:r>
      <w:r w:rsidR="00B656EF">
        <w:t xml:space="preserve"> – unreasonable findings and conclusions</w:t>
      </w:r>
    </w:p>
    <w:p w14:paraId="2280C173" w14:textId="5C9F3D59" w:rsidR="001A61A3" w:rsidRPr="001A61A3" w:rsidRDefault="00C251D2" w:rsidP="00EB33CA">
      <w:pPr>
        <w:pStyle w:val="ParaNumbering"/>
      </w:pPr>
      <w:r>
        <w:t xml:space="preserve">This ground of appeal </w:t>
      </w:r>
      <w:r w:rsidR="006D649C">
        <w:t xml:space="preserve">addresses what may fairly be described as </w:t>
      </w:r>
      <w:r w:rsidR="00F26C1D">
        <w:t xml:space="preserve">a </w:t>
      </w:r>
      <w:r w:rsidR="0055289C">
        <w:t xml:space="preserve">shopping list of </w:t>
      </w:r>
      <w:r w:rsidR="00DA55E1">
        <w:t xml:space="preserve">findings made </w:t>
      </w:r>
      <w:r w:rsidR="00F26C1D">
        <w:t xml:space="preserve">and conclusions reached </w:t>
      </w:r>
      <w:r w:rsidR="00DA55E1">
        <w:t>by the Tribunal which</w:t>
      </w:r>
      <w:r w:rsidR="009C6D9F">
        <w:t>, before the primary judge,</w:t>
      </w:r>
      <w:r w:rsidR="00DA55E1">
        <w:t xml:space="preserve"> </w:t>
      </w:r>
      <w:r w:rsidR="00DA55E1" w:rsidRPr="00751EE4">
        <w:t>Mr Buzadzic</w:t>
      </w:r>
      <w:r w:rsidR="00DA55E1">
        <w:t xml:space="preserve"> contend</w:t>
      </w:r>
      <w:r w:rsidR="009C6D9F">
        <w:t>ed</w:t>
      </w:r>
      <w:r w:rsidR="00C60E70">
        <w:t xml:space="preserve"> were erroneous and unreasonable</w:t>
      </w:r>
      <w:r w:rsidR="009C6D9F">
        <w:t xml:space="preserve"> </w:t>
      </w:r>
      <w:r w:rsidR="00217A42">
        <w:t xml:space="preserve">(first aspect) </w:t>
      </w:r>
      <w:r w:rsidR="009C6D9F">
        <w:t xml:space="preserve">and alternatively </w:t>
      </w:r>
      <w:r w:rsidR="00A3599C">
        <w:t>for which there was no evidence, or afforded no basis for drawing inferences or were contrary to the evidence</w:t>
      </w:r>
      <w:r w:rsidR="00217A42">
        <w:t xml:space="preserve"> (second aspect)</w:t>
      </w:r>
      <w:r w:rsidR="00A3599C">
        <w:t xml:space="preserve">.  </w:t>
      </w:r>
      <w:r w:rsidR="00E65E8D">
        <w:t xml:space="preserve">His Honour </w:t>
      </w:r>
      <w:r w:rsidR="001F7A58">
        <w:t xml:space="preserve">characterised the first aspect </w:t>
      </w:r>
      <w:r w:rsidR="004252ED">
        <w:t>as doing no more than taking issue with the Tribunal’s findings or conclusions</w:t>
      </w:r>
      <w:r w:rsidR="007F274B">
        <w:t xml:space="preserve"> and did not appear to raise, as required, a question of law.  </w:t>
      </w:r>
      <w:r w:rsidR="00F75B55" w:rsidRPr="00751EE4">
        <w:t>Mr Buzadzic</w:t>
      </w:r>
      <w:r w:rsidR="00F75B55">
        <w:t xml:space="preserve"> made no serious attempt t</w:t>
      </w:r>
      <w:r w:rsidR="00F45646">
        <w:t xml:space="preserve">o identify any error in this conclusion beyond sweeping and generalised assertions that </w:t>
      </w:r>
      <w:r w:rsidR="00160129">
        <w:t xml:space="preserve">errors of fact can amount to legal errors or even jurisdictional errors.  That is undoubtedly so.  As the Commissioner points out, </w:t>
      </w:r>
      <w:r w:rsidR="00C91880">
        <w:t xml:space="preserve">an error of fact </w:t>
      </w:r>
      <w:r w:rsidR="00F61DA4">
        <w:t xml:space="preserve">can be </w:t>
      </w:r>
      <w:r w:rsidR="00C91880">
        <w:t xml:space="preserve">of such significance to amount </w:t>
      </w:r>
      <w:r w:rsidR="001039EF">
        <w:t>even to jurisdictional error</w:t>
      </w:r>
      <w:r w:rsidR="00C91880">
        <w:t xml:space="preserve">, citing </w:t>
      </w:r>
      <w:r w:rsidR="00587164" w:rsidRPr="002E6A8F">
        <w:rPr>
          <w:i/>
          <w:iCs/>
          <w:szCs w:val="24"/>
          <w:lang w:eastAsia="en-AU"/>
        </w:rPr>
        <w:t xml:space="preserve">Minister for Immigration and Border Protection v MZYTS </w:t>
      </w:r>
      <w:r w:rsidR="00587164" w:rsidRPr="002E6A8F">
        <w:rPr>
          <w:szCs w:val="24"/>
          <w:lang w:eastAsia="en-AU"/>
        </w:rPr>
        <w:t>[2013] FCAFC 114; 230 FCR 431</w:t>
      </w:r>
      <w:r w:rsidR="00587164" w:rsidRPr="00EB33CA">
        <w:rPr>
          <w:szCs w:val="24"/>
          <w:lang w:eastAsia="en-AU"/>
        </w:rPr>
        <w:t xml:space="preserve"> at [64]</w:t>
      </w:r>
      <w:r w:rsidR="001140FA">
        <w:rPr>
          <w:szCs w:val="24"/>
          <w:lang w:eastAsia="en-AU"/>
        </w:rPr>
        <w:t xml:space="preserve"> and</w:t>
      </w:r>
      <w:r w:rsidR="00587164" w:rsidRPr="00EB33CA">
        <w:rPr>
          <w:szCs w:val="24"/>
          <w:lang w:eastAsia="en-AU"/>
        </w:rPr>
        <w:t xml:space="preserve"> [70] (Kenny, Griffiths and Mortimer</w:t>
      </w:r>
      <w:r w:rsidR="00F61DA4">
        <w:rPr>
          <w:szCs w:val="24"/>
          <w:lang w:eastAsia="en-AU"/>
        </w:rPr>
        <w:t> </w:t>
      </w:r>
      <w:r w:rsidR="00587164" w:rsidRPr="00EB33CA">
        <w:rPr>
          <w:szCs w:val="24"/>
          <w:lang w:eastAsia="en-AU"/>
        </w:rPr>
        <w:t>JJ)</w:t>
      </w:r>
      <w:r w:rsidR="001140FA">
        <w:rPr>
          <w:szCs w:val="24"/>
          <w:lang w:eastAsia="en-AU"/>
        </w:rPr>
        <w:t>.</w:t>
      </w:r>
      <w:r w:rsidR="00F61DA4">
        <w:rPr>
          <w:szCs w:val="24"/>
          <w:lang w:eastAsia="en-AU"/>
        </w:rPr>
        <w:t xml:space="preserve">  </w:t>
      </w:r>
      <w:r w:rsidR="00E37015">
        <w:rPr>
          <w:szCs w:val="24"/>
          <w:lang w:eastAsia="en-AU"/>
        </w:rPr>
        <w:t>However</w:t>
      </w:r>
      <w:r w:rsidR="00D449DA">
        <w:rPr>
          <w:szCs w:val="24"/>
          <w:lang w:eastAsia="en-AU"/>
        </w:rPr>
        <w:t>,</w:t>
      </w:r>
      <w:r w:rsidR="00E37015">
        <w:rPr>
          <w:szCs w:val="24"/>
          <w:lang w:eastAsia="en-AU"/>
        </w:rPr>
        <w:t xml:space="preserve"> </w:t>
      </w:r>
      <w:r w:rsidR="007C5B3D">
        <w:rPr>
          <w:szCs w:val="24"/>
          <w:lang w:eastAsia="en-AU"/>
        </w:rPr>
        <w:t xml:space="preserve">that essential step </w:t>
      </w:r>
      <w:r w:rsidR="00E412B2">
        <w:rPr>
          <w:szCs w:val="24"/>
          <w:lang w:eastAsia="en-AU"/>
        </w:rPr>
        <w:t xml:space="preserve">of demonstrating that the </w:t>
      </w:r>
      <w:r w:rsidR="00E37015">
        <w:rPr>
          <w:szCs w:val="24"/>
          <w:lang w:eastAsia="en-AU"/>
        </w:rPr>
        <w:t xml:space="preserve">asserted errors relied upon </w:t>
      </w:r>
      <w:r w:rsidR="007C5B3D">
        <w:rPr>
          <w:szCs w:val="24"/>
          <w:lang w:eastAsia="en-AU"/>
        </w:rPr>
        <w:t>rose to that level</w:t>
      </w:r>
      <w:r w:rsidR="00E412B2">
        <w:rPr>
          <w:szCs w:val="24"/>
          <w:lang w:eastAsia="en-AU"/>
        </w:rPr>
        <w:t xml:space="preserve"> was not </w:t>
      </w:r>
      <w:r w:rsidR="002115D5">
        <w:rPr>
          <w:szCs w:val="24"/>
          <w:lang w:eastAsia="en-AU"/>
        </w:rPr>
        <w:t xml:space="preserve">apparently </w:t>
      </w:r>
      <w:r w:rsidR="00E412B2">
        <w:rPr>
          <w:szCs w:val="24"/>
          <w:lang w:eastAsia="en-AU"/>
        </w:rPr>
        <w:t>taken</w:t>
      </w:r>
      <w:r w:rsidR="002115D5">
        <w:rPr>
          <w:szCs w:val="24"/>
          <w:lang w:eastAsia="en-AU"/>
        </w:rPr>
        <w:t xml:space="preserve"> before the primary judge, and certainly was not done by written or oral submissions </w:t>
      </w:r>
      <w:r w:rsidR="00702E83">
        <w:rPr>
          <w:szCs w:val="24"/>
          <w:lang w:eastAsia="en-AU"/>
        </w:rPr>
        <w:t xml:space="preserve">in this appeal.  The first aspect fails due to a complete failure </w:t>
      </w:r>
      <w:r w:rsidR="001A61A3">
        <w:rPr>
          <w:szCs w:val="24"/>
          <w:lang w:eastAsia="en-AU"/>
        </w:rPr>
        <w:t xml:space="preserve">even </w:t>
      </w:r>
      <w:r w:rsidR="00702E83">
        <w:rPr>
          <w:szCs w:val="24"/>
          <w:lang w:eastAsia="en-AU"/>
        </w:rPr>
        <w:t xml:space="preserve">to </w:t>
      </w:r>
      <w:r w:rsidR="001A61A3">
        <w:rPr>
          <w:szCs w:val="24"/>
          <w:lang w:eastAsia="en-AU"/>
        </w:rPr>
        <w:t>attempt to do what was required.</w:t>
      </w:r>
    </w:p>
    <w:p w14:paraId="59D73D3D" w14:textId="5308436F" w:rsidR="00587164" w:rsidRPr="007072B1" w:rsidRDefault="00191F33" w:rsidP="00EB33CA">
      <w:pPr>
        <w:pStyle w:val="ParaNumbering"/>
      </w:pPr>
      <w:r w:rsidRPr="007072B1">
        <w:rPr>
          <w:szCs w:val="24"/>
          <w:lang w:eastAsia="en-AU"/>
        </w:rPr>
        <w:t>The primary judge generously characterised the second aspect</w:t>
      </w:r>
      <w:r w:rsidR="00EE629D">
        <w:rPr>
          <w:szCs w:val="24"/>
          <w:lang w:eastAsia="en-AU"/>
        </w:rPr>
        <w:t>,</w:t>
      </w:r>
      <w:r w:rsidRPr="007072B1">
        <w:rPr>
          <w:szCs w:val="24"/>
          <w:lang w:eastAsia="en-AU"/>
        </w:rPr>
        <w:t xml:space="preserve"> </w:t>
      </w:r>
      <w:r w:rsidR="0060704B" w:rsidRPr="007072B1">
        <w:rPr>
          <w:szCs w:val="24"/>
          <w:lang w:eastAsia="en-AU"/>
        </w:rPr>
        <w:t xml:space="preserve">asserting that the </w:t>
      </w:r>
      <w:r w:rsidR="00567AA5" w:rsidRPr="007072B1">
        <w:rPr>
          <w:szCs w:val="24"/>
          <w:lang w:eastAsia="en-AU"/>
        </w:rPr>
        <w:t>impugned</w:t>
      </w:r>
      <w:r w:rsidR="0060704B" w:rsidRPr="007072B1">
        <w:rPr>
          <w:szCs w:val="24"/>
          <w:lang w:eastAsia="en-AU"/>
        </w:rPr>
        <w:t xml:space="preserve"> findings and conclusions were without supporting </w:t>
      </w:r>
      <w:r w:rsidR="0060704B">
        <w:t>evidence, or without any basis for drawing inferences or were contrary to the evidence</w:t>
      </w:r>
      <w:r w:rsidR="00567AA5">
        <w:t xml:space="preserve">, as being an assertion of </w:t>
      </w:r>
      <w:r w:rsidR="00E835D2">
        <w:t xml:space="preserve">being unreasonable in the sense identified in </w:t>
      </w:r>
      <w:r w:rsidR="00D51FE6" w:rsidRPr="007072B1">
        <w:rPr>
          <w:i/>
        </w:rPr>
        <w:t>SZVFW</w:t>
      </w:r>
      <w:r w:rsidR="00D51FE6">
        <w:t xml:space="preserve"> at [10]-[11] of </w:t>
      </w:r>
      <w:r w:rsidR="00022E12">
        <w:t>lacking an evident and intelligible justification</w:t>
      </w:r>
      <w:r w:rsidR="007C5B3D" w:rsidRPr="007072B1">
        <w:rPr>
          <w:szCs w:val="24"/>
          <w:lang w:eastAsia="en-AU"/>
        </w:rPr>
        <w:t xml:space="preserve">.  </w:t>
      </w:r>
      <w:r w:rsidR="003634D4" w:rsidRPr="007072B1">
        <w:rPr>
          <w:szCs w:val="24"/>
          <w:lang w:eastAsia="en-AU"/>
        </w:rPr>
        <w:t xml:space="preserve">His Honour was not satisfied that was so for any of the </w:t>
      </w:r>
      <w:r w:rsidR="00ED31ED" w:rsidRPr="007072B1">
        <w:rPr>
          <w:szCs w:val="24"/>
          <w:lang w:eastAsia="en-AU"/>
        </w:rPr>
        <w:t>findings or conclusions relied upon by Mr Buzadzic</w:t>
      </w:r>
      <w:r w:rsidR="00634DDF" w:rsidRPr="007072B1">
        <w:rPr>
          <w:szCs w:val="24"/>
          <w:lang w:eastAsia="en-AU"/>
        </w:rPr>
        <w:t xml:space="preserve">, </w:t>
      </w:r>
      <w:r w:rsidR="00D00579" w:rsidRPr="007072B1">
        <w:rPr>
          <w:szCs w:val="24"/>
          <w:lang w:eastAsia="en-AU"/>
        </w:rPr>
        <w:t xml:space="preserve">addressing each and every one of them to explain why </w:t>
      </w:r>
      <w:r w:rsidR="00A04AEC" w:rsidRPr="007072B1">
        <w:rPr>
          <w:szCs w:val="24"/>
          <w:lang w:eastAsia="en-AU"/>
        </w:rPr>
        <w:t>each was supported by the what the Tribunal had found or concluded.</w:t>
      </w:r>
      <w:r w:rsidR="00ED31ED" w:rsidRPr="007072B1">
        <w:rPr>
          <w:szCs w:val="24"/>
          <w:lang w:eastAsia="en-AU"/>
        </w:rPr>
        <w:t xml:space="preserve">  </w:t>
      </w:r>
      <w:r w:rsidR="00D449DA" w:rsidRPr="007072B1">
        <w:rPr>
          <w:szCs w:val="24"/>
          <w:lang w:eastAsia="en-AU"/>
        </w:rPr>
        <w:t xml:space="preserve">His Honour </w:t>
      </w:r>
      <w:r w:rsidR="00E65624" w:rsidRPr="007072B1">
        <w:rPr>
          <w:szCs w:val="24"/>
          <w:lang w:eastAsia="en-AU"/>
        </w:rPr>
        <w:t xml:space="preserve">found that the evidence before the Tribunal provided a proper basis for the findings that were made.  </w:t>
      </w:r>
      <w:r w:rsidR="00D07D44" w:rsidRPr="007072B1">
        <w:rPr>
          <w:szCs w:val="24"/>
          <w:lang w:eastAsia="en-AU"/>
        </w:rPr>
        <w:t>Once again, no serious attempt was made</w:t>
      </w:r>
      <w:r w:rsidR="00AD13E0">
        <w:rPr>
          <w:szCs w:val="24"/>
          <w:lang w:eastAsia="en-AU"/>
        </w:rPr>
        <w:t xml:space="preserve"> by Mr</w:t>
      </w:r>
      <w:r w:rsidR="00E232E0">
        <w:rPr>
          <w:szCs w:val="24"/>
          <w:lang w:eastAsia="en-AU"/>
        </w:rPr>
        <w:t> </w:t>
      </w:r>
      <w:r w:rsidR="00AD13E0">
        <w:rPr>
          <w:szCs w:val="24"/>
          <w:lang w:eastAsia="en-AU"/>
        </w:rPr>
        <w:t>Buzadzic</w:t>
      </w:r>
      <w:r w:rsidR="00D07D44" w:rsidRPr="007072B1">
        <w:rPr>
          <w:szCs w:val="24"/>
          <w:lang w:eastAsia="en-AU"/>
        </w:rPr>
        <w:t xml:space="preserve"> to demonstrate any error on the part of his Honour.</w:t>
      </w:r>
    </w:p>
    <w:p w14:paraId="0CD2EB89" w14:textId="6CAB32E9" w:rsidR="007072B1" w:rsidRPr="00EB33CA" w:rsidRDefault="007072B1" w:rsidP="00EB33CA">
      <w:pPr>
        <w:pStyle w:val="ParaNumbering"/>
      </w:pPr>
      <w:r>
        <w:rPr>
          <w:szCs w:val="24"/>
          <w:lang w:eastAsia="en-AU"/>
        </w:rPr>
        <w:lastRenderedPageBreak/>
        <w:t xml:space="preserve">The reasoning of the primary judge </w:t>
      </w:r>
      <w:r w:rsidR="0080299C">
        <w:rPr>
          <w:szCs w:val="24"/>
          <w:lang w:eastAsia="en-AU"/>
        </w:rPr>
        <w:t xml:space="preserve">is sound, especially given the paucity of assistance his Honour was evidently given by </w:t>
      </w:r>
      <w:r w:rsidR="0080299C" w:rsidRPr="0080299C">
        <w:rPr>
          <w:szCs w:val="24"/>
          <w:lang w:eastAsia="en-AU"/>
        </w:rPr>
        <w:t>Mr Buzadzic</w:t>
      </w:r>
      <w:r w:rsidR="0080299C">
        <w:rPr>
          <w:szCs w:val="24"/>
          <w:lang w:eastAsia="en-AU"/>
        </w:rPr>
        <w:t xml:space="preserve">.  </w:t>
      </w:r>
      <w:r w:rsidR="00884DC3">
        <w:rPr>
          <w:szCs w:val="24"/>
          <w:lang w:eastAsia="en-AU"/>
        </w:rPr>
        <w:t>No error has been meaningfully identified, much less established.  It follows that appeal ground 8 must fail.</w:t>
      </w:r>
    </w:p>
    <w:p w14:paraId="48AC3EA5" w14:textId="58CE6D1D" w:rsidR="005806D0" w:rsidRDefault="005806D0" w:rsidP="009C7764">
      <w:pPr>
        <w:pStyle w:val="Heading2"/>
      </w:pPr>
      <w:r>
        <w:t>Appeal ground 9 (ground 16</w:t>
      </w:r>
      <w:r w:rsidR="00997C17">
        <w:t xml:space="preserve"> below</w:t>
      </w:r>
      <w:r>
        <w:t>)</w:t>
      </w:r>
      <w:r w:rsidR="004C7DF2">
        <w:t xml:space="preserve"> – denial of procedural fairness</w:t>
      </w:r>
    </w:p>
    <w:p w14:paraId="5CBAE01A" w14:textId="0549894E" w:rsidR="004F60EC" w:rsidRDefault="00B138F7" w:rsidP="004F60EC">
      <w:pPr>
        <w:pStyle w:val="ParaNumbering"/>
      </w:pPr>
      <w:r>
        <w:t>Th</w:t>
      </w:r>
      <w:r w:rsidR="003D7EFA">
        <w:t>is</w:t>
      </w:r>
      <w:r>
        <w:t xml:space="preserve"> ground of appeal cross-references particular parts of the evidence listed in support of appeal grounds 2 and 3 as non</w:t>
      </w:r>
      <w:r w:rsidR="00277BA6">
        <w:t xml:space="preserve">-exhaustive </w:t>
      </w:r>
      <w:r>
        <w:t xml:space="preserve">examples, but does not go further than the bald assertion that the evidence as listed </w:t>
      </w:r>
      <w:r w:rsidR="00277BA6">
        <w:t xml:space="preserve">and </w:t>
      </w:r>
      <w:r w:rsidR="00B142AC">
        <w:t>more,</w:t>
      </w:r>
      <w:r w:rsidR="000C73EE">
        <w:t xml:space="preserve"> </w:t>
      </w:r>
      <w:r>
        <w:t>was either not properly considered or not considered at all</w:t>
      </w:r>
      <w:r w:rsidR="009E37A4">
        <w:t xml:space="preserve"> by the Tribunal to an extent which </w:t>
      </w:r>
      <w:r w:rsidR="00726EB5">
        <w:t>resulted in a failure to afford Mr Buzadzic procedural fairness</w:t>
      </w:r>
      <w:r>
        <w:t xml:space="preserve">.  The primary judge and now this Court is left to guess how this is said to have taken place, remembering it was not for his Honour or this Court or the Commissioner to counter a bare assertion.  </w:t>
      </w:r>
      <w:r w:rsidR="008534AE">
        <w:t xml:space="preserve">The weakness of this ground is best demonstrated by reproducing the entirely of </w:t>
      </w:r>
      <w:r w:rsidR="008534AE" w:rsidRPr="00751EE4">
        <w:t>Mr </w:t>
      </w:r>
      <w:proofErr w:type="spellStart"/>
      <w:r w:rsidR="008534AE" w:rsidRPr="00751EE4">
        <w:t>Buzadzic</w:t>
      </w:r>
      <w:r w:rsidR="008534AE">
        <w:t>’s</w:t>
      </w:r>
      <w:proofErr w:type="spellEnd"/>
      <w:r w:rsidR="008534AE">
        <w:t xml:space="preserve"> written submissions</w:t>
      </w:r>
      <w:r w:rsidR="00726EB5">
        <w:t xml:space="preserve"> in relation to it</w:t>
      </w:r>
      <w:r w:rsidR="008534AE">
        <w:t>,</w:t>
      </w:r>
      <w:r w:rsidR="009A4E71">
        <w:t xml:space="preserve"> which were not enlarged upon orally:</w:t>
      </w:r>
    </w:p>
    <w:p w14:paraId="06DCFBA2" w14:textId="77777777" w:rsidR="00367DF7" w:rsidRDefault="00367DF7" w:rsidP="00367DF7">
      <w:pPr>
        <w:pStyle w:val="Quote1"/>
      </w:pPr>
      <w:r>
        <w:t xml:space="preserve">The appellant contends that the Tribunal failed to afford him procedural fairness in failing to properly consider the evidence tendered by the appellant and/or in failing to give such evidence proper weight. </w:t>
      </w:r>
    </w:p>
    <w:p w14:paraId="53A4F5C0" w14:textId="724D8F7E" w:rsidR="008C6B11" w:rsidRDefault="00AC481D">
      <w:pPr>
        <w:pStyle w:val="ParaNumbering"/>
      </w:pPr>
      <w:r>
        <w:t xml:space="preserve">In those circumstances, the primary judge </w:t>
      </w:r>
      <w:r w:rsidR="003B62E6">
        <w:t>at PJ[</w:t>
      </w:r>
      <w:r w:rsidR="00730B23">
        <w:t>167]</w:t>
      </w:r>
      <w:r w:rsidR="003B62E6">
        <w:t xml:space="preserve"> </w:t>
      </w:r>
      <w:r w:rsidR="00004F27">
        <w:t xml:space="preserve">correctly was unable to be satisfied that the Tribunal </w:t>
      </w:r>
      <w:r w:rsidR="00CE64F4">
        <w:t>had failed to consider any relevant evidence</w:t>
      </w:r>
      <w:r w:rsidR="00730B23">
        <w:t>, finding</w:t>
      </w:r>
      <w:r w:rsidR="00553FC2">
        <w:t xml:space="preserve"> instead</w:t>
      </w:r>
      <w:r w:rsidR="00730B23">
        <w:t xml:space="preserve"> that </w:t>
      </w:r>
      <w:r w:rsidR="00CE64F4">
        <w:t xml:space="preserve">the </w:t>
      </w:r>
      <w:r w:rsidR="007D252B">
        <w:t xml:space="preserve">Tribunal’s reasons demonstrated that it had regard to the evidence that was before it and carefully considered whether </w:t>
      </w:r>
      <w:r w:rsidR="00553FC2">
        <w:t>that evidence</w:t>
      </w:r>
      <w:r w:rsidR="007D252B">
        <w:t xml:space="preserve"> was sufficient to </w:t>
      </w:r>
      <w:r w:rsidR="003B62E6">
        <w:t xml:space="preserve">discharge </w:t>
      </w:r>
      <w:r w:rsidR="003B62E6" w:rsidRPr="00751EE4">
        <w:t>Mr </w:t>
      </w:r>
      <w:proofErr w:type="spellStart"/>
      <w:r w:rsidR="003B62E6" w:rsidRPr="00751EE4">
        <w:t>Buzadzic</w:t>
      </w:r>
      <w:r w:rsidR="003B62E6">
        <w:t>’s</w:t>
      </w:r>
      <w:proofErr w:type="spellEnd"/>
      <w:r w:rsidR="003B62E6">
        <w:t xml:space="preserve"> burden of proof</w:t>
      </w:r>
      <w:r w:rsidR="00553FC2">
        <w:t xml:space="preserve">. </w:t>
      </w:r>
      <w:r w:rsidR="00A02A9B">
        <w:t xml:space="preserve"> </w:t>
      </w:r>
      <w:r w:rsidR="00553FC2">
        <w:t>The primary judge found</w:t>
      </w:r>
      <w:r w:rsidR="00610C7E">
        <w:t xml:space="preserve"> that </w:t>
      </w:r>
      <w:r w:rsidR="00E77850">
        <w:t xml:space="preserve">it was open to the Tribunal to conclude that </w:t>
      </w:r>
      <w:r w:rsidR="00610C7E">
        <w:t xml:space="preserve">he had not done so.  </w:t>
      </w:r>
      <w:r w:rsidR="00121C92">
        <w:t xml:space="preserve">His Honour also </w:t>
      </w:r>
      <w:r w:rsidR="00054FB9">
        <w:t xml:space="preserve">correctly </w:t>
      </w:r>
      <w:r w:rsidR="00121C92">
        <w:t>observed that</w:t>
      </w:r>
      <w:r w:rsidR="00CE5C61">
        <w:t>,</w:t>
      </w:r>
      <w:r w:rsidR="00121C92">
        <w:t xml:space="preserve"> to the extent that </w:t>
      </w:r>
      <w:r w:rsidR="00121C92" w:rsidRPr="00751EE4">
        <w:t>Mr Buzadzic</w:t>
      </w:r>
      <w:r w:rsidR="00121C92">
        <w:t xml:space="preserve"> was contending that </w:t>
      </w:r>
      <w:r w:rsidR="00A56471">
        <w:t xml:space="preserve">there was a failure to </w:t>
      </w:r>
      <w:r w:rsidR="00054FB9">
        <w:t>give evidence “</w:t>
      </w:r>
      <w:r w:rsidR="00054FB9" w:rsidRPr="00A02A9B">
        <w:rPr>
          <w:i/>
          <w:iCs/>
        </w:rPr>
        <w:t>proper weight</w:t>
      </w:r>
      <w:r w:rsidR="00054FB9">
        <w:t xml:space="preserve">”, this </w:t>
      </w:r>
      <w:r w:rsidR="00A56471">
        <w:t xml:space="preserve">was a matter for the </w:t>
      </w:r>
      <w:r w:rsidR="00E73555">
        <w:t xml:space="preserve">Tribunal, such that this was an impermissible attempt at merits review and was </w:t>
      </w:r>
      <w:r w:rsidR="003C541A">
        <w:t xml:space="preserve">therefore </w:t>
      </w:r>
      <w:r w:rsidR="008C6B11">
        <w:t>beyond the scope of an appeal on a question of law.</w:t>
      </w:r>
    </w:p>
    <w:p w14:paraId="2B0B33DF" w14:textId="10F05B07" w:rsidR="00B138F7" w:rsidRDefault="008C6B11">
      <w:pPr>
        <w:pStyle w:val="ParaNumbering"/>
      </w:pPr>
      <w:r>
        <w:t xml:space="preserve">There is no </w:t>
      </w:r>
      <w:r w:rsidR="00611D65">
        <w:t>discernible</w:t>
      </w:r>
      <w:r>
        <w:t xml:space="preserve"> error on the part of the primary judge.  It follows that appeal ground 9 must fail</w:t>
      </w:r>
      <w:r w:rsidR="00E73555">
        <w:t xml:space="preserve">. </w:t>
      </w:r>
    </w:p>
    <w:p w14:paraId="34080E2F" w14:textId="456EFD68" w:rsidR="008C6B11" w:rsidRDefault="008C6B11" w:rsidP="00783D95">
      <w:pPr>
        <w:pStyle w:val="Heading2"/>
      </w:pPr>
      <w:r>
        <w:t>Conclusion</w:t>
      </w:r>
    </w:p>
    <w:p w14:paraId="626839E2" w14:textId="44621B46" w:rsidR="008C6B11" w:rsidRDefault="008C6B11">
      <w:pPr>
        <w:pStyle w:val="ParaNumbering"/>
      </w:pPr>
      <w:r>
        <w:t>As all of the appeal grounds have failed, th</w:t>
      </w:r>
      <w:r w:rsidR="00783D95">
        <w:t>e appeal must be dismissed with costs.</w:t>
      </w:r>
    </w:p>
    <w:p w14:paraId="52056B2B" w14:textId="77777777" w:rsidR="00DF5DEC" w:rsidRDefault="00DF5DEC" w:rsidP="00815065">
      <w:pPr>
        <w:pStyle w:val="BodyText"/>
      </w:pPr>
      <w:bookmarkStart w:id="25" w:name="Certification"/>
    </w:p>
    <w:tbl>
      <w:tblPr>
        <w:tblW w:w="0" w:type="auto"/>
        <w:tblLook w:val="04A0" w:firstRow="1" w:lastRow="0" w:firstColumn="1" w:lastColumn="0" w:noHBand="0" w:noVBand="1"/>
      </w:tblPr>
      <w:tblGrid>
        <w:gridCol w:w="3794"/>
      </w:tblGrid>
      <w:tr w:rsidR="00DF5DEC" w:rsidRPr="00DF5DEC" w14:paraId="096EA373" w14:textId="77777777">
        <w:tc>
          <w:tcPr>
            <w:tcW w:w="3794" w:type="dxa"/>
            <w:shd w:val="clear" w:color="auto" w:fill="auto"/>
          </w:tcPr>
          <w:p w14:paraId="34ED29F0" w14:textId="2F97676B" w:rsidR="00DF5DEC" w:rsidRPr="00DF5DEC" w:rsidRDefault="00DF5DEC" w:rsidP="00DF5DEC">
            <w:pPr>
              <w:pStyle w:val="Normal1linespace"/>
            </w:pPr>
            <w:r w:rsidRPr="00DF5DEC">
              <w:t xml:space="preserve">I certify that the preceding </w:t>
            </w:r>
            <w:bookmarkStart w:id="26" w:name="NumberWord"/>
            <w:r>
              <w:t>fifty-eight</w:t>
            </w:r>
            <w:bookmarkEnd w:id="26"/>
            <w:r w:rsidRPr="00DF5DEC">
              <w:t xml:space="preserve"> (</w:t>
            </w:r>
            <w:bookmarkStart w:id="27" w:name="NumberNumeral"/>
            <w:r>
              <w:t>58</w:t>
            </w:r>
            <w:bookmarkEnd w:id="27"/>
            <w:r w:rsidRPr="00DF5DEC">
              <w:t xml:space="preserve">) numbered </w:t>
            </w:r>
            <w:bookmarkStart w:id="28" w:name="CertPara"/>
            <w:r>
              <w:t>paragraphs are</w:t>
            </w:r>
            <w:bookmarkEnd w:id="28"/>
            <w:r w:rsidRPr="00DF5DEC">
              <w:t xml:space="preserve"> a true </w:t>
            </w:r>
            <w:r w:rsidRPr="00DF5DEC">
              <w:lastRenderedPageBreak/>
              <w:t xml:space="preserve">copy of the Reasons for Judgment of </w:t>
            </w:r>
            <w:bookmarkStart w:id="29" w:name="bkHonourable"/>
            <w:r w:rsidRPr="00DF5DEC">
              <w:t xml:space="preserve">the Honourable </w:t>
            </w:r>
            <w:bookmarkStart w:id="30" w:name="Justice"/>
            <w:bookmarkEnd w:id="29"/>
            <w:r>
              <w:t>Justices Bromwich, Abraham</w:t>
            </w:r>
            <w:r w:rsidR="00D33CDE">
              <w:t xml:space="preserve"> and</w:t>
            </w:r>
            <w:r>
              <w:t xml:space="preserve"> McEvoy</w:t>
            </w:r>
            <w:bookmarkEnd w:id="30"/>
            <w:r w:rsidRPr="00DF5DEC">
              <w:t>.</w:t>
            </w:r>
          </w:p>
        </w:tc>
      </w:tr>
    </w:tbl>
    <w:p w14:paraId="74811C49" w14:textId="77777777" w:rsidR="00DF5DEC" w:rsidRDefault="00DF5DEC" w:rsidP="00815065">
      <w:pPr>
        <w:pStyle w:val="BodyText"/>
      </w:pPr>
    </w:p>
    <w:p w14:paraId="18270E7D" w14:textId="77777777" w:rsidR="00DF5DEC" w:rsidRDefault="00DF5DEC" w:rsidP="00815065">
      <w:pPr>
        <w:pStyle w:val="BodyText"/>
      </w:pPr>
    </w:p>
    <w:p w14:paraId="2D638F87" w14:textId="77777777" w:rsidR="00DF5DEC" w:rsidRDefault="00DF5DEC" w:rsidP="00815065">
      <w:pPr>
        <w:pStyle w:val="BodyText"/>
      </w:pPr>
    </w:p>
    <w:p w14:paraId="5F85F7C5" w14:textId="24025BE9" w:rsidR="00DF5DEC" w:rsidRDefault="00DF5DEC" w:rsidP="00815065">
      <w:pPr>
        <w:pStyle w:val="BodyText"/>
      </w:pPr>
      <w:r>
        <w:t>Associate:</w:t>
      </w:r>
      <w:r w:rsidR="00437DB7">
        <w:t xml:space="preserve"> </w:t>
      </w:r>
    </w:p>
    <w:p w14:paraId="317F3694" w14:textId="77777777" w:rsidR="00DF5DEC" w:rsidRDefault="00DF5DEC" w:rsidP="00815065">
      <w:pPr>
        <w:pStyle w:val="BodyText"/>
      </w:pPr>
    </w:p>
    <w:p w14:paraId="785DA8D3" w14:textId="7931DCEB" w:rsidR="00DF5DEC" w:rsidRDefault="00DF5DEC" w:rsidP="00815065">
      <w:pPr>
        <w:pStyle w:val="BodyText"/>
        <w:tabs>
          <w:tab w:val="left" w:pos="1134"/>
        </w:tabs>
      </w:pPr>
      <w:r>
        <w:t>Dated:</w:t>
      </w:r>
      <w:r>
        <w:tab/>
      </w:r>
      <w:bookmarkStart w:id="31" w:name="CertifyDated"/>
      <w:r>
        <w:t>17 April 2024</w:t>
      </w:r>
      <w:bookmarkEnd w:id="31"/>
    </w:p>
    <w:p w14:paraId="3C22976C" w14:textId="77777777" w:rsidR="00DF5DEC" w:rsidRDefault="00DF5DEC" w:rsidP="00815065">
      <w:pPr>
        <w:pStyle w:val="BodyText"/>
      </w:pPr>
    </w:p>
    <w:bookmarkEnd w:id="25"/>
    <w:p w14:paraId="2AE2989C" w14:textId="77777777" w:rsidR="00DF5DEC" w:rsidRPr="004F60EC" w:rsidRDefault="00DF5DEC" w:rsidP="00DF5DEC">
      <w:pPr>
        <w:pStyle w:val="BodyText"/>
      </w:pPr>
    </w:p>
    <w:sectPr w:rsidR="00DF5DEC" w:rsidRPr="004F60EC" w:rsidSect="00E71444">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4C35" w14:textId="77777777" w:rsidR="0097166F" w:rsidRDefault="0097166F">
      <w:pPr>
        <w:spacing w:line="20" w:lineRule="exact"/>
      </w:pPr>
    </w:p>
    <w:p w14:paraId="38D5782D" w14:textId="77777777" w:rsidR="0097166F" w:rsidRDefault="0097166F"/>
    <w:p w14:paraId="707037E7" w14:textId="77777777" w:rsidR="0097166F" w:rsidRDefault="0097166F"/>
  </w:endnote>
  <w:endnote w:type="continuationSeparator" w:id="0">
    <w:p w14:paraId="33A26D60" w14:textId="77777777" w:rsidR="0097166F" w:rsidRDefault="0097166F">
      <w:r>
        <w:t xml:space="preserve"> </w:t>
      </w:r>
    </w:p>
    <w:p w14:paraId="794AD14A" w14:textId="77777777" w:rsidR="0097166F" w:rsidRDefault="0097166F"/>
    <w:p w14:paraId="464C06C8" w14:textId="77777777" w:rsidR="0097166F" w:rsidRDefault="0097166F"/>
  </w:endnote>
  <w:endnote w:type="continuationNotice" w:id="1">
    <w:p w14:paraId="22DBC415" w14:textId="77777777" w:rsidR="0097166F" w:rsidRDefault="0097166F">
      <w:r>
        <w:t xml:space="preserve"> </w:t>
      </w:r>
    </w:p>
    <w:p w14:paraId="63FE315E" w14:textId="77777777" w:rsidR="0097166F" w:rsidRDefault="0097166F"/>
    <w:p w14:paraId="29B8D7E3" w14:textId="77777777" w:rsidR="0097166F" w:rsidRDefault="00971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8DAB" w14:textId="77777777" w:rsidR="00D568EB" w:rsidRDefault="00D56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F1BF" w14:textId="0E57E1CE"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5979720E" wp14:editId="231963D2">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2F27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AA1655">
          <w:rPr>
            <w:bCs/>
            <w:sz w:val="18"/>
            <w:szCs w:val="18"/>
          </w:rPr>
          <w:t xml:space="preserve">Buzadzic v Commissioner of Taxation [2024] FCAFC 50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6563" w14:textId="7C765406" w:rsidR="00395B24" w:rsidRPr="00127BCB" w:rsidRDefault="00395B24" w:rsidP="00127B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9395" w14:textId="7770024E"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201735E0" wp14:editId="357A89E6">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114C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231B2672CE7543EF9B9D28B691B081EB"/>
        </w:placeholder>
        <w:dataBinding w:prefixMappings="xmlns:ns0='http://schemas.globalmacros.com/FCA'" w:xpath="/ns0:root[1]/ns0:Name[1]" w:storeItemID="{687E7CCB-4AA5-44E7-B148-17BA2B6F57C0}"/>
        <w:text w:multiLine="1"/>
      </w:sdtPr>
      <w:sdtEndPr/>
      <w:sdtContent>
        <w:r w:rsidR="00AA1655">
          <w:rPr>
            <w:bCs/>
            <w:sz w:val="18"/>
            <w:szCs w:val="18"/>
          </w:rPr>
          <w:t xml:space="preserve">Buzadzic v Commissioner of Taxation [2024] FCAFC 50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D7CC" w14:textId="12FB697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390906E2" wp14:editId="2A59ED2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FF79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75A0F7E8E21947FEBE415EA71A91D64A"/>
        </w:placeholder>
        <w:dataBinding w:prefixMappings="xmlns:ns0='http://schemas.globalmacros.com/FCA'" w:xpath="/ns0:root[1]/ns0:Name[1]" w:storeItemID="{687E7CCB-4AA5-44E7-B148-17BA2B6F57C0}"/>
        <w:text w:multiLine="1"/>
      </w:sdtPr>
      <w:sdtEndPr/>
      <w:sdtContent>
        <w:r w:rsidR="00AA1655">
          <w:rPr>
            <w:bCs/>
            <w:sz w:val="18"/>
            <w:szCs w:val="18"/>
          </w:rPr>
          <w:t xml:space="preserve">Buzadzic v Commissioner of Taxation [2024] FCAFC 50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AC0B" w14:textId="31FBA455"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06B905C8" wp14:editId="031F714C">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C1FD4"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170658A0F1074AEF86FA298CE852C646"/>
        </w:placeholder>
        <w:dataBinding w:prefixMappings="xmlns:ns0='http://schemas.globalmacros.com/FCA'" w:xpath="/ns0:root[1]/ns0:Name[1]" w:storeItemID="{687E7CCB-4AA5-44E7-B148-17BA2B6F57C0}"/>
        <w:text w:multiLine="1"/>
      </w:sdtPr>
      <w:sdtEndPr/>
      <w:sdtContent>
        <w:r w:rsidR="00AA1655">
          <w:rPr>
            <w:bCs/>
            <w:sz w:val="18"/>
            <w:szCs w:val="18"/>
          </w:rPr>
          <w:t xml:space="preserve">Buzadzic v Commissioner of Taxation [2024] FCAFC 50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E144" w14:textId="22A78349"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684A2774" wp14:editId="7FD88BD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88B1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2F06479B05454327ADF645A0B2F92F77"/>
        </w:placeholder>
        <w:dataBinding w:prefixMappings="xmlns:ns0='http://schemas.globalmacros.com/FCA'" w:xpath="/ns0:root[1]/ns0:Name[1]" w:storeItemID="{687E7CCB-4AA5-44E7-B148-17BA2B6F57C0}"/>
        <w:text w:multiLine="1"/>
      </w:sdtPr>
      <w:sdtEndPr/>
      <w:sdtContent>
        <w:r w:rsidR="00AA1655">
          <w:rPr>
            <w:bCs/>
            <w:sz w:val="18"/>
            <w:szCs w:val="18"/>
          </w:rPr>
          <w:t xml:space="preserve">Buzadzic v Commissioner of Taxation [2024] FCAFC 50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2097" w14:textId="77777777" w:rsidR="0097166F" w:rsidRDefault="0097166F"/>
  </w:footnote>
  <w:footnote w:type="continuationSeparator" w:id="0">
    <w:p w14:paraId="15C6476A" w14:textId="77777777" w:rsidR="0097166F" w:rsidRDefault="0097166F">
      <w:r>
        <w:continuationSeparator/>
      </w:r>
    </w:p>
    <w:p w14:paraId="72AE7716" w14:textId="77777777" w:rsidR="0097166F" w:rsidRDefault="0097166F"/>
    <w:p w14:paraId="2A1B6F12" w14:textId="77777777" w:rsidR="0097166F" w:rsidRDefault="00971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3F85" w14:textId="77777777" w:rsidR="00D568EB" w:rsidRDefault="00D56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4743" w14:textId="77777777" w:rsidR="00D568EB" w:rsidRDefault="00D56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EC2E" w14:textId="77777777" w:rsidR="00D568EB" w:rsidRDefault="00D568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A101"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6272"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5D26"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4ED7"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D9B9"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EBE7BE6"/>
    <w:multiLevelType w:val="hybridMultilevel"/>
    <w:tmpl w:val="FD8CA8EE"/>
    <w:lvl w:ilvl="0" w:tplc="54CEE2E0">
      <w:start w:val="1"/>
      <w:numFmt w:val="decimal"/>
      <w:lvlText w:val="%1."/>
      <w:lvlJc w:val="left"/>
      <w:pPr>
        <w:ind w:left="1198" w:hanging="681"/>
        <w:jc w:val="left"/>
      </w:pPr>
      <w:rPr>
        <w:rFonts w:hint="default"/>
        <w:spacing w:val="-1"/>
        <w:w w:val="101"/>
        <w:lang w:val="en-US" w:eastAsia="en-US" w:bidi="ar-SA"/>
      </w:rPr>
    </w:lvl>
    <w:lvl w:ilvl="1" w:tplc="44029302">
      <w:start w:val="1"/>
      <w:numFmt w:val="lowerLetter"/>
      <w:lvlText w:val="(%2)"/>
      <w:lvlJc w:val="left"/>
      <w:pPr>
        <w:ind w:left="1878" w:hanging="681"/>
        <w:jc w:val="left"/>
      </w:pPr>
      <w:rPr>
        <w:rFonts w:hint="default"/>
        <w:spacing w:val="-1"/>
        <w:w w:val="101"/>
        <w:lang w:val="en-US" w:eastAsia="en-US" w:bidi="ar-SA"/>
      </w:rPr>
    </w:lvl>
    <w:lvl w:ilvl="2" w:tplc="39586C08">
      <w:start w:val="1"/>
      <w:numFmt w:val="lowerRoman"/>
      <w:lvlText w:val="(%3)"/>
      <w:lvlJc w:val="left"/>
      <w:pPr>
        <w:ind w:left="2570" w:hanging="681"/>
        <w:jc w:val="left"/>
      </w:pPr>
      <w:rPr>
        <w:rFonts w:ascii="Arial" w:eastAsia="Arial" w:hAnsi="Arial" w:cs="Arial" w:hint="default"/>
        <w:b w:val="0"/>
        <w:bCs w:val="0"/>
        <w:i w:val="0"/>
        <w:iCs w:val="0"/>
        <w:spacing w:val="-2"/>
        <w:w w:val="101"/>
        <w:sz w:val="21"/>
        <w:szCs w:val="21"/>
        <w:lang w:val="en-US" w:eastAsia="en-US" w:bidi="ar-SA"/>
      </w:rPr>
    </w:lvl>
    <w:lvl w:ilvl="3" w:tplc="CA4EAAF6">
      <w:numFmt w:val="bullet"/>
      <w:lvlText w:val="•"/>
      <w:lvlJc w:val="left"/>
      <w:pPr>
        <w:ind w:left="2560" w:hanging="681"/>
      </w:pPr>
      <w:rPr>
        <w:rFonts w:hint="default"/>
        <w:lang w:val="en-US" w:eastAsia="en-US" w:bidi="ar-SA"/>
      </w:rPr>
    </w:lvl>
    <w:lvl w:ilvl="4" w:tplc="2B607D46">
      <w:numFmt w:val="bullet"/>
      <w:lvlText w:val="•"/>
      <w:lvlJc w:val="left"/>
      <w:pPr>
        <w:ind w:left="2580" w:hanging="681"/>
      </w:pPr>
      <w:rPr>
        <w:rFonts w:hint="default"/>
        <w:lang w:val="en-US" w:eastAsia="en-US" w:bidi="ar-SA"/>
      </w:rPr>
    </w:lvl>
    <w:lvl w:ilvl="5" w:tplc="86BC6842">
      <w:numFmt w:val="bullet"/>
      <w:lvlText w:val="•"/>
      <w:lvlJc w:val="left"/>
      <w:pPr>
        <w:ind w:left="3841" w:hanging="681"/>
      </w:pPr>
      <w:rPr>
        <w:rFonts w:hint="default"/>
        <w:lang w:val="en-US" w:eastAsia="en-US" w:bidi="ar-SA"/>
      </w:rPr>
    </w:lvl>
    <w:lvl w:ilvl="6" w:tplc="0EA8916C">
      <w:numFmt w:val="bullet"/>
      <w:lvlText w:val="•"/>
      <w:lvlJc w:val="left"/>
      <w:pPr>
        <w:ind w:left="5102" w:hanging="681"/>
      </w:pPr>
      <w:rPr>
        <w:rFonts w:hint="default"/>
        <w:lang w:val="en-US" w:eastAsia="en-US" w:bidi="ar-SA"/>
      </w:rPr>
    </w:lvl>
    <w:lvl w:ilvl="7" w:tplc="7EAAC6E6">
      <w:numFmt w:val="bullet"/>
      <w:lvlText w:val="•"/>
      <w:lvlJc w:val="left"/>
      <w:pPr>
        <w:ind w:left="6363" w:hanging="681"/>
      </w:pPr>
      <w:rPr>
        <w:rFonts w:hint="default"/>
        <w:lang w:val="en-US" w:eastAsia="en-US" w:bidi="ar-SA"/>
      </w:rPr>
    </w:lvl>
    <w:lvl w:ilvl="8" w:tplc="22F6992A">
      <w:numFmt w:val="bullet"/>
      <w:lvlText w:val="•"/>
      <w:lvlJc w:val="left"/>
      <w:pPr>
        <w:ind w:left="7624" w:hanging="681"/>
      </w:pPr>
      <w:rPr>
        <w:rFonts w:hint="default"/>
        <w:lang w:val="en-US" w:eastAsia="en-US" w:bidi="ar-SA"/>
      </w:r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922107054">
    <w:abstractNumId w:val="14"/>
  </w:num>
  <w:num w:numId="2" w16cid:durableId="500194546">
    <w:abstractNumId w:val="9"/>
  </w:num>
  <w:num w:numId="3" w16cid:durableId="1591040182">
    <w:abstractNumId w:val="7"/>
  </w:num>
  <w:num w:numId="4" w16cid:durableId="1376660324">
    <w:abstractNumId w:val="6"/>
  </w:num>
  <w:num w:numId="5" w16cid:durableId="1678993880">
    <w:abstractNumId w:val="5"/>
  </w:num>
  <w:num w:numId="6" w16cid:durableId="1851139136">
    <w:abstractNumId w:val="4"/>
  </w:num>
  <w:num w:numId="7" w16cid:durableId="660232452">
    <w:abstractNumId w:val="8"/>
  </w:num>
  <w:num w:numId="8" w16cid:durableId="943684295">
    <w:abstractNumId w:val="3"/>
  </w:num>
  <w:num w:numId="9" w16cid:durableId="916086410">
    <w:abstractNumId w:val="2"/>
  </w:num>
  <w:num w:numId="10" w16cid:durableId="1162817086">
    <w:abstractNumId w:val="1"/>
  </w:num>
  <w:num w:numId="11" w16cid:durableId="1982877651">
    <w:abstractNumId w:val="0"/>
  </w:num>
  <w:num w:numId="12" w16cid:durableId="264581856">
    <w:abstractNumId w:val="23"/>
  </w:num>
  <w:num w:numId="13" w16cid:durableId="1201240480">
    <w:abstractNumId w:val="20"/>
  </w:num>
  <w:num w:numId="14" w16cid:durableId="1689209402">
    <w:abstractNumId w:val="21"/>
  </w:num>
  <w:num w:numId="15" w16cid:durableId="1873885953">
    <w:abstractNumId w:val="25"/>
  </w:num>
  <w:num w:numId="16" w16cid:durableId="231042951">
    <w:abstractNumId w:val="13"/>
  </w:num>
  <w:num w:numId="17" w16cid:durableId="1344168805">
    <w:abstractNumId w:val="24"/>
  </w:num>
  <w:num w:numId="18" w16cid:durableId="2101559646">
    <w:abstractNumId w:val="11"/>
  </w:num>
  <w:num w:numId="19" w16cid:durableId="613289996">
    <w:abstractNumId w:val="18"/>
  </w:num>
  <w:num w:numId="20" w16cid:durableId="138351576">
    <w:abstractNumId w:val="15"/>
  </w:num>
  <w:num w:numId="21" w16cid:durableId="108087464">
    <w:abstractNumId w:val="16"/>
  </w:num>
  <w:num w:numId="22" w16cid:durableId="206063763">
    <w:abstractNumId w:val="19"/>
  </w:num>
  <w:num w:numId="23" w16cid:durableId="837843728">
    <w:abstractNumId w:val="10"/>
  </w:num>
  <w:num w:numId="24" w16cid:durableId="1390494564">
    <w:abstractNumId w:val="10"/>
  </w:num>
  <w:num w:numId="25" w16cid:durableId="481166429">
    <w:abstractNumId w:val="12"/>
  </w:num>
  <w:num w:numId="26" w16cid:durableId="1660575209">
    <w:abstractNumId w:val="17"/>
  </w:num>
  <w:num w:numId="27" w16cid:durableId="580141438">
    <w:abstractNumId w:val="17"/>
  </w:num>
  <w:num w:numId="28" w16cid:durableId="676881417">
    <w:abstractNumId w:val="17"/>
  </w:num>
  <w:num w:numId="29" w16cid:durableId="202173894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804779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547235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5491856">
    <w:abstractNumId w:val="22"/>
  </w:num>
  <w:num w:numId="33" w16cid:durableId="31171907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5098544">
    <w:abstractNumId w:val="14"/>
  </w:num>
  <w:num w:numId="35" w16cid:durableId="90190799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43540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Buzadzic v Commissioner of Taxation [2023] FCA 954"/>
    <w:docVar w:name="Applicant" w:val="Danny Buzadzic"/>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oA Appeal Division"/>
    <w:docVar w:name="DocCreated" w:val="True"/>
    <w:docVar w:name="EntryList" w:val="Counsel for the Respondent"/>
    <w:docVar w:name="FileNumbers" w:val="VID709/2023"/>
    <w:docVar w:name="Initiators" w:val="(and another named in the Schedule)"/>
    <w:docVar w:name="Judgdate" w:val="17 April 2024"/>
    <w:docVar w:name="Judge" w:val="Bromwich, Abraham, McEvoy"/>
    <w:docVar w:name="JudgeType" w:val="Justices"/>
    <w:docVar w:name="lstEntryList" w:val="1"/>
    <w:docVar w:name="myEntryList" w:val="Counsel for the Applicant=Dr B.F. Orow|Counsel for the Respondent=Ms M Schilling and Ms F Shand|Solicitor for the Applicant=MNG Lawyers|Solicitor for the Respondent=Australian Goverment Solicitor"/>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Melbourne"/>
    <w:docVar w:name="PracticeArea" w:val="Taxation"/>
    <w:docVar w:name="RESAndAnother" w:val="True"/>
    <w:docVar w:name="RESAndOthers" w:val="False"/>
    <w:docVar w:name="Respondent" w:val="Commissioner of Taxation"/>
    <w:docVar w:name="ResState" w:val="Victoria"/>
    <w:docVar w:name="SubArea" w:val="(none)"/>
  </w:docVars>
  <w:rsids>
    <w:rsidRoot w:val="003C20FE"/>
    <w:rsid w:val="00000747"/>
    <w:rsid w:val="00004612"/>
    <w:rsid w:val="00004F27"/>
    <w:rsid w:val="00006A78"/>
    <w:rsid w:val="0000757B"/>
    <w:rsid w:val="00007AC2"/>
    <w:rsid w:val="0001078E"/>
    <w:rsid w:val="000115C5"/>
    <w:rsid w:val="00011C5B"/>
    <w:rsid w:val="00013687"/>
    <w:rsid w:val="00013B61"/>
    <w:rsid w:val="0001469E"/>
    <w:rsid w:val="0001522C"/>
    <w:rsid w:val="00015993"/>
    <w:rsid w:val="00015A95"/>
    <w:rsid w:val="00020DC6"/>
    <w:rsid w:val="00021CCB"/>
    <w:rsid w:val="00022289"/>
    <w:rsid w:val="000222E0"/>
    <w:rsid w:val="00022E12"/>
    <w:rsid w:val="00022E42"/>
    <w:rsid w:val="000237E9"/>
    <w:rsid w:val="00026A0C"/>
    <w:rsid w:val="00027103"/>
    <w:rsid w:val="00027398"/>
    <w:rsid w:val="00030520"/>
    <w:rsid w:val="0003201A"/>
    <w:rsid w:val="0003207A"/>
    <w:rsid w:val="00032F9F"/>
    <w:rsid w:val="0003315F"/>
    <w:rsid w:val="0003329E"/>
    <w:rsid w:val="00041C07"/>
    <w:rsid w:val="00043084"/>
    <w:rsid w:val="0004475F"/>
    <w:rsid w:val="00045BB7"/>
    <w:rsid w:val="00046806"/>
    <w:rsid w:val="0004717F"/>
    <w:rsid w:val="00051353"/>
    <w:rsid w:val="000525B6"/>
    <w:rsid w:val="00054DB2"/>
    <w:rsid w:val="00054FB9"/>
    <w:rsid w:val="00055719"/>
    <w:rsid w:val="000557F4"/>
    <w:rsid w:val="0005641B"/>
    <w:rsid w:val="00060A14"/>
    <w:rsid w:val="0006196A"/>
    <w:rsid w:val="00063ADF"/>
    <w:rsid w:val="000650F0"/>
    <w:rsid w:val="000676B4"/>
    <w:rsid w:val="00071A18"/>
    <w:rsid w:val="00071FB3"/>
    <w:rsid w:val="00074C29"/>
    <w:rsid w:val="00074C81"/>
    <w:rsid w:val="00075D99"/>
    <w:rsid w:val="00077768"/>
    <w:rsid w:val="00081497"/>
    <w:rsid w:val="000831EC"/>
    <w:rsid w:val="00084126"/>
    <w:rsid w:val="00085255"/>
    <w:rsid w:val="0008625B"/>
    <w:rsid w:val="00093334"/>
    <w:rsid w:val="000A121A"/>
    <w:rsid w:val="000A2E76"/>
    <w:rsid w:val="000A4807"/>
    <w:rsid w:val="000A4BE4"/>
    <w:rsid w:val="000A655C"/>
    <w:rsid w:val="000B0B13"/>
    <w:rsid w:val="000B0BFC"/>
    <w:rsid w:val="000B2209"/>
    <w:rsid w:val="000B2A87"/>
    <w:rsid w:val="000B3C28"/>
    <w:rsid w:val="000C023E"/>
    <w:rsid w:val="000C193A"/>
    <w:rsid w:val="000C24CB"/>
    <w:rsid w:val="000C405D"/>
    <w:rsid w:val="000C4CAC"/>
    <w:rsid w:val="000C4DFC"/>
    <w:rsid w:val="000C5195"/>
    <w:rsid w:val="000C62EF"/>
    <w:rsid w:val="000C6F96"/>
    <w:rsid w:val="000C73EE"/>
    <w:rsid w:val="000C7E61"/>
    <w:rsid w:val="000D0A95"/>
    <w:rsid w:val="000D2137"/>
    <w:rsid w:val="000D22DF"/>
    <w:rsid w:val="000D26F4"/>
    <w:rsid w:val="000D3FD2"/>
    <w:rsid w:val="000D4B2E"/>
    <w:rsid w:val="000D5905"/>
    <w:rsid w:val="000D605F"/>
    <w:rsid w:val="000D639E"/>
    <w:rsid w:val="000D7759"/>
    <w:rsid w:val="000E030B"/>
    <w:rsid w:val="000E15B7"/>
    <w:rsid w:val="000E1810"/>
    <w:rsid w:val="000E3FC8"/>
    <w:rsid w:val="000E7BAE"/>
    <w:rsid w:val="000E7CF8"/>
    <w:rsid w:val="000F133D"/>
    <w:rsid w:val="000F1CCB"/>
    <w:rsid w:val="000F3C51"/>
    <w:rsid w:val="000F4679"/>
    <w:rsid w:val="000F7E3A"/>
    <w:rsid w:val="0010045B"/>
    <w:rsid w:val="00102747"/>
    <w:rsid w:val="001039EF"/>
    <w:rsid w:val="0010536B"/>
    <w:rsid w:val="001054A7"/>
    <w:rsid w:val="00107AAD"/>
    <w:rsid w:val="001105C4"/>
    <w:rsid w:val="00111207"/>
    <w:rsid w:val="0011145C"/>
    <w:rsid w:val="0011177A"/>
    <w:rsid w:val="001128BD"/>
    <w:rsid w:val="00113781"/>
    <w:rsid w:val="001140FA"/>
    <w:rsid w:val="0011419D"/>
    <w:rsid w:val="00114B02"/>
    <w:rsid w:val="00120B1A"/>
    <w:rsid w:val="00121C92"/>
    <w:rsid w:val="001221CF"/>
    <w:rsid w:val="001226C0"/>
    <w:rsid w:val="00123EA9"/>
    <w:rsid w:val="001256A5"/>
    <w:rsid w:val="00126EC8"/>
    <w:rsid w:val="0012712F"/>
    <w:rsid w:val="0012731C"/>
    <w:rsid w:val="00127BCB"/>
    <w:rsid w:val="00130F5B"/>
    <w:rsid w:val="00131041"/>
    <w:rsid w:val="00132054"/>
    <w:rsid w:val="0013236D"/>
    <w:rsid w:val="00134964"/>
    <w:rsid w:val="001351B9"/>
    <w:rsid w:val="0013727D"/>
    <w:rsid w:val="001436E1"/>
    <w:rsid w:val="00145219"/>
    <w:rsid w:val="00146353"/>
    <w:rsid w:val="00147214"/>
    <w:rsid w:val="00147B77"/>
    <w:rsid w:val="00152099"/>
    <w:rsid w:val="001527A3"/>
    <w:rsid w:val="0015394C"/>
    <w:rsid w:val="00155CD2"/>
    <w:rsid w:val="00157C62"/>
    <w:rsid w:val="00160129"/>
    <w:rsid w:val="001656AD"/>
    <w:rsid w:val="00165737"/>
    <w:rsid w:val="00165F7B"/>
    <w:rsid w:val="001727A4"/>
    <w:rsid w:val="0017376C"/>
    <w:rsid w:val="001738AB"/>
    <w:rsid w:val="00174C49"/>
    <w:rsid w:val="00174F84"/>
    <w:rsid w:val="001765E0"/>
    <w:rsid w:val="00177759"/>
    <w:rsid w:val="00177779"/>
    <w:rsid w:val="00180BB3"/>
    <w:rsid w:val="00183E41"/>
    <w:rsid w:val="00185DD6"/>
    <w:rsid w:val="00185E6B"/>
    <w:rsid w:val="00185F31"/>
    <w:rsid w:val="00187BBC"/>
    <w:rsid w:val="00191245"/>
    <w:rsid w:val="00191755"/>
    <w:rsid w:val="00191F33"/>
    <w:rsid w:val="0019298F"/>
    <w:rsid w:val="001932F3"/>
    <w:rsid w:val="00193CA9"/>
    <w:rsid w:val="00194A01"/>
    <w:rsid w:val="0019792E"/>
    <w:rsid w:val="001A1504"/>
    <w:rsid w:val="001A2B40"/>
    <w:rsid w:val="001A4309"/>
    <w:rsid w:val="001A46AE"/>
    <w:rsid w:val="001A5151"/>
    <w:rsid w:val="001A61A3"/>
    <w:rsid w:val="001A6515"/>
    <w:rsid w:val="001A672F"/>
    <w:rsid w:val="001A6755"/>
    <w:rsid w:val="001A698E"/>
    <w:rsid w:val="001A6C52"/>
    <w:rsid w:val="001A70B2"/>
    <w:rsid w:val="001B1053"/>
    <w:rsid w:val="001B14AC"/>
    <w:rsid w:val="001B31CB"/>
    <w:rsid w:val="001B7940"/>
    <w:rsid w:val="001C171A"/>
    <w:rsid w:val="001C240A"/>
    <w:rsid w:val="001C2FE0"/>
    <w:rsid w:val="001C37CA"/>
    <w:rsid w:val="001C3A28"/>
    <w:rsid w:val="001C4085"/>
    <w:rsid w:val="001D09A6"/>
    <w:rsid w:val="001D0DA0"/>
    <w:rsid w:val="001D4303"/>
    <w:rsid w:val="001D522D"/>
    <w:rsid w:val="001D5E41"/>
    <w:rsid w:val="001D6746"/>
    <w:rsid w:val="001E03AB"/>
    <w:rsid w:val="001E0745"/>
    <w:rsid w:val="001E09F0"/>
    <w:rsid w:val="001E0C61"/>
    <w:rsid w:val="001E1F06"/>
    <w:rsid w:val="001E3850"/>
    <w:rsid w:val="001E3B49"/>
    <w:rsid w:val="001E452E"/>
    <w:rsid w:val="001E4A05"/>
    <w:rsid w:val="001E5292"/>
    <w:rsid w:val="001E6A19"/>
    <w:rsid w:val="001E6C20"/>
    <w:rsid w:val="001E7388"/>
    <w:rsid w:val="001F13DD"/>
    <w:rsid w:val="001F16CC"/>
    <w:rsid w:val="001F200D"/>
    <w:rsid w:val="001F2473"/>
    <w:rsid w:val="001F2DBC"/>
    <w:rsid w:val="001F4A95"/>
    <w:rsid w:val="001F5B2C"/>
    <w:rsid w:val="001F6B85"/>
    <w:rsid w:val="001F73E8"/>
    <w:rsid w:val="001F745D"/>
    <w:rsid w:val="001F7A58"/>
    <w:rsid w:val="001F7DDB"/>
    <w:rsid w:val="001F7E89"/>
    <w:rsid w:val="0020088F"/>
    <w:rsid w:val="0020262C"/>
    <w:rsid w:val="00202723"/>
    <w:rsid w:val="00203284"/>
    <w:rsid w:val="0020469F"/>
    <w:rsid w:val="002046FD"/>
    <w:rsid w:val="00206D0B"/>
    <w:rsid w:val="00210EA4"/>
    <w:rsid w:val="002115D5"/>
    <w:rsid w:val="00211A3E"/>
    <w:rsid w:val="00211BC6"/>
    <w:rsid w:val="00212205"/>
    <w:rsid w:val="002128A4"/>
    <w:rsid w:val="002136B9"/>
    <w:rsid w:val="00213F20"/>
    <w:rsid w:val="00214055"/>
    <w:rsid w:val="00215503"/>
    <w:rsid w:val="00215BCA"/>
    <w:rsid w:val="002160F5"/>
    <w:rsid w:val="00217A42"/>
    <w:rsid w:val="00217AC4"/>
    <w:rsid w:val="00221461"/>
    <w:rsid w:val="002223C8"/>
    <w:rsid w:val="00222876"/>
    <w:rsid w:val="00223905"/>
    <w:rsid w:val="00224537"/>
    <w:rsid w:val="00226066"/>
    <w:rsid w:val="002276D8"/>
    <w:rsid w:val="00227AAF"/>
    <w:rsid w:val="002301CC"/>
    <w:rsid w:val="00230442"/>
    <w:rsid w:val="00231014"/>
    <w:rsid w:val="0023138E"/>
    <w:rsid w:val="0023162A"/>
    <w:rsid w:val="00231E6C"/>
    <w:rsid w:val="00232A91"/>
    <w:rsid w:val="00234A3B"/>
    <w:rsid w:val="002352F4"/>
    <w:rsid w:val="00235956"/>
    <w:rsid w:val="00241B77"/>
    <w:rsid w:val="00242F1F"/>
    <w:rsid w:val="0024371D"/>
    <w:rsid w:val="00243E5E"/>
    <w:rsid w:val="002448F8"/>
    <w:rsid w:val="002467A6"/>
    <w:rsid w:val="00246E8D"/>
    <w:rsid w:val="002470C8"/>
    <w:rsid w:val="00247C9A"/>
    <w:rsid w:val="0025160C"/>
    <w:rsid w:val="002521ED"/>
    <w:rsid w:val="002535D0"/>
    <w:rsid w:val="002539B3"/>
    <w:rsid w:val="00255C79"/>
    <w:rsid w:val="00256336"/>
    <w:rsid w:val="0025785B"/>
    <w:rsid w:val="00257C3E"/>
    <w:rsid w:val="002602C2"/>
    <w:rsid w:val="0026295E"/>
    <w:rsid w:val="002637E0"/>
    <w:rsid w:val="00266383"/>
    <w:rsid w:val="00266647"/>
    <w:rsid w:val="002666C9"/>
    <w:rsid w:val="0026788D"/>
    <w:rsid w:val="00270136"/>
    <w:rsid w:val="00270FD7"/>
    <w:rsid w:val="00271FFD"/>
    <w:rsid w:val="00273B74"/>
    <w:rsid w:val="002742EE"/>
    <w:rsid w:val="00274862"/>
    <w:rsid w:val="00274F5B"/>
    <w:rsid w:val="00277476"/>
    <w:rsid w:val="00277BA6"/>
    <w:rsid w:val="00277CAE"/>
    <w:rsid w:val="0028078F"/>
    <w:rsid w:val="00280836"/>
    <w:rsid w:val="00280D64"/>
    <w:rsid w:val="00281AC9"/>
    <w:rsid w:val="00282216"/>
    <w:rsid w:val="0028224F"/>
    <w:rsid w:val="00282E1A"/>
    <w:rsid w:val="00283330"/>
    <w:rsid w:val="00283DD3"/>
    <w:rsid w:val="002840F1"/>
    <w:rsid w:val="00285922"/>
    <w:rsid w:val="00285BF4"/>
    <w:rsid w:val="00286FA6"/>
    <w:rsid w:val="00290753"/>
    <w:rsid w:val="0029113B"/>
    <w:rsid w:val="00291D1A"/>
    <w:rsid w:val="002929F0"/>
    <w:rsid w:val="002934C0"/>
    <w:rsid w:val="00293D24"/>
    <w:rsid w:val="00293E1F"/>
    <w:rsid w:val="00296932"/>
    <w:rsid w:val="0029764C"/>
    <w:rsid w:val="002A124D"/>
    <w:rsid w:val="002A1B50"/>
    <w:rsid w:val="002A287A"/>
    <w:rsid w:val="002A4207"/>
    <w:rsid w:val="002A6139"/>
    <w:rsid w:val="002A689D"/>
    <w:rsid w:val="002A7047"/>
    <w:rsid w:val="002B0E91"/>
    <w:rsid w:val="002B12EC"/>
    <w:rsid w:val="002B132C"/>
    <w:rsid w:val="002B1F57"/>
    <w:rsid w:val="002B3DB6"/>
    <w:rsid w:val="002B3F23"/>
    <w:rsid w:val="002B4EB5"/>
    <w:rsid w:val="002B5AF5"/>
    <w:rsid w:val="002B6779"/>
    <w:rsid w:val="002B71C0"/>
    <w:rsid w:val="002B773E"/>
    <w:rsid w:val="002B7A34"/>
    <w:rsid w:val="002C222C"/>
    <w:rsid w:val="002C2367"/>
    <w:rsid w:val="002C31AD"/>
    <w:rsid w:val="002C41A3"/>
    <w:rsid w:val="002C7385"/>
    <w:rsid w:val="002D0941"/>
    <w:rsid w:val="002D0C18"/>
    <w:rsid w:val="002D16C5"/>
    <w:rsid w:val="002D20B5"/>
    <w:rsid w:val="002D251D"/>
    <w:rsid w:val="002D2DBB"/>
    <w:rsid w:val="002D37D8"/>
    <w:rsid w:val="002D3C6A"/>
    <w:rsid w:val="002D53E9"/>
    <w:rsid w:val="002D54A6"/>
    <w:rsid w:val="002D553C"/>
    <w:rsid w:val="002D571A"/>
    <w:rsid w:val="002D6CA3"/>
    <w:rsid w:val="002D73C5"/>
    <w:rsid w:val="002E070A"/>
    <w:rsid w:val="002E070F"/>
    <w:rsid w:val="002E076B"/>
    <w:rsid w:val="002E3779"/>
    <w:rsid w:val="002E50AC"/>
    <w:rsid w:val="002E5BF9"/>
    <w:rsid w:val="002E6A7A"/>
    <w:rsid w:val="002E6A8F"/>
    <w:rsid w:val="002F1CB6"/>
    <w:rsid w:val="002F1E49"/>
    <w:rsid w:val="002F3199"/>
    <w:rsid w:val="002F4C07"/>
    <w:rsid w:val="002F4E9C"/>
    <w:rsid w:val="002F5622"/>
    <w:rsid w:val="002F59D2"/>
    <w:rsid w:val="002F6E15"/>
    <w:rsid w:val="00300FD3"/>
    <w:rsid w:val="00302F4E"/>
    <w:rsid w:val="0030633F"/>
    <w:rsid w:val="00310430"/>
    <w:rsid w:val="00311818"/>
    <w:rsid w:val="0031256C"/>
    <w:rsid w:val="00312667"/>
    <w:rsid w:val="003130DB"/>
    <w:rsid w:val="003146CB"/>
    <w:rsid w:val="00314D6C"/>
    <w:rsid w:val="00315234"/>
    <w:rsid w:val="00316D2A"/>
    <w:rsid w:val="0032124F"/>
    <w:rsid w:val="0032247D"/>
    <w:rsid w:val="00322A7C"/>
    <w:rsid w:val="00322EEC"/>
    <w:rsid w:val="00323061"/>
    <w:rsid w:val="0032353B"/>
    <w:rsid w:val="00323ACF"/>
    <w:rsid w:val="00326030"/>
    <w:rsid w:val="003273C5"/>
    <w:rsid w:val="00327655"/>
    <w:rsid w:val="0032776C"/>
    <w:rsid w:val="00331873"/>
    <w:rsid w:val="003350E2"/>
    <w:rsid w:val="003356C4"/>
    <w:rsid w:val="003402D3"/>
    <w:rsid w:val="0034068E"/>
    <w:rsid w:val="00341FCD"/>
    <w:rsid w:val="00342937"/>
    <w:rsid w:val="00343ABC"/>
    <w:rsid w:val="00344E6D"/>
    <w:rsid w:val="003463FE"/>
    <w:rsid w:val="003472FC"/>
    <w:rsid w:val="00347D41"/>
    <w:rsid w:val="00351BAB"/>
    <w:rsid w:val="003539D3"/>
    <w:rsid w:val="00353AC4"/>
    <w:rsid w:val="00354131"/>
    <w:rsid w:val="003554B3"/>
    <w:rsid w:val="00355BCB"/>
    <w:rsid w:val="00356632"/>
    <w:rsid w:val="00356917"/>
    <w:rsid w:val="00357C7E"/>
    <w:rsid w:val="00361B50"/>
    <w:rsid w:val="00363020"/>
    <w:rsid w:val="003634D4"/>
    <w:rsid w:val="0036398B"/>
    <w:rsid w:val="003653B6"/>
    <w:rsid w:val="00367DF7"/>
    <w:rsid w:val="00370327"/>
    <w:rsid w:val="003709F9"/>
    <w:rsid w:val="00370CFB"/>
    <w:rsid w:val="00372636"/>
    <w:rsid w:val="00372CB9"/>
    <w:rsid w:val="00374658"/>
    <w:rsid w:val="00374CC4"/>
    <w:rsid w:val="00376CBB"/>
    <w:rsid w:val="003774B2"/>
    <w:rsid w:val="00380A40"/>
    <w:rsid w:val="00380F2D"/>
    <w:rsid w:val="00381465"/>
    <w:rsid w:val="00382CA2"/>
    <w:rsid w:val="0038369D"/>
    <w:rsid w:val="00383A6A"/>
    <w:rsid w:val="003845A9"/>
    <w:rsid w:val="003850C9"/>
    <w:rsid w:val="00385493"/>
    <w:rsid w:val="00390883"/>
    <w:rsid w:val="0039097E"/>
    <w:rsid w:val="00390B73"/>
    <w:rsid w:val="003922F8"/>
    <w:rsid w:val="003935C0"/>
    <w:rsid w:val="00395B24"/>
    <w:rsid w:val="003A1791"/>
    <w:rsid w:val="003A2D38"/>
    <w:rsid w:val="003A38F7"/>
    <w:rsid w:val="003A44E2"/>
    <w:rsid w:val="003A451C"/>
    <w:rsid w:val="003A4ADD"/>
    <w:rsid w:val="003A541B"/>
    <w:rsid w:val="003A5711"/>
    <w:rsid w:val="003A6736"/>
    <w:rsid w:val="003A6933"/>
    <w:rsid w:val="003A7ECC"/>
    <w:rsid w:val="003B2C72"/>
    <w:rsid w:val="003B2F5F"/>
    <w:rsid w:val="003B5709"/>
    <w:rsid w:val="003B58B4"/>
    <w:rsid w:val="003B62E6"/>
    <w:rsid w:val="003C1333"/>
    <w:rsid w:val="003C20FE"/>
    <w:rsid w:val="003C20FF"/>
    <w:rsid w:val="003C27FB"/>
    <w:rsid w:val="003C541A"/>
    <w:rsid w:val="003C550A"/>
    <w:rsid w:val="003C6055"/>
    <w:rsid w:val="003D000A"/>
    <w:rsid w:val="003D17D9"/>
    <w:rsid w:val="003D25DD"/>
    <w:rsid w:val="003D2650"/>
    <w:rsid w:val="003D4E4E"/>
    <w:rsid w:val="003D50A8"/>
    <w:rsid w:val="003D560C"/>
    <w:rsid w:val="003D5C00"/>
    <w:rsid w:val="003D79AC"/>
    <w:rsid w:val="003D7EFA"/>
    <w:rsid w:val="003E086C"/>
    <w:rsid w:val="003E0A03"/>
    <w:rsid w:val="003E12A7"/>
    <w:rsid w:val="003E296E"/>
    <w:rsid w:val="003E3154"/>
    <w:rsid w:val="003E3E6B"/>
    <w:rsid w:val="003E432E"/>
    <w:rsid w:val="003E4B2B"/>
    <w:rsid w:val="003E5874"/>
    <w:rsid w:val="003E5F37"/>
    <w:rsid w:val="003E6021"/>
    <w:rsid w:val="003E608A"/>
    <w:rsid w:val="003E6FAD"/>
    <w:rsid w:val="003E72D3"/>
    <w:rsid w:val="003F091C"/>
    <w:rsid w:val="003F193E"/>
    <w:rsid w:val="003F21D0"/>
    <w:rsid w:val="003F242C"/>
    <w:rsid w:val="003F34F1"/>
    <w:rsid w:val="003F38CD"/>
    <w:rsid w:val="003F6E1D"/>
    <w:rsid w:val="003F7646"/>
    <w:rsid w:val="0040115C"/>
    <w:rsid w:val="00402BFA"/>
    <w:rsid w:val="004031D8"/>
    <w:rsid w:val="00403F9A"/>
    <w:rsid w:val="00406239"/>
    <w:rsid w:val="00407261"/>
    <w:rsid w:val="004104B6"/>
    <w:rsid w:val="004117BA"/>
    <w:rsid w:val="00411AE8"/>
    <w:rsid w:val="00412297"/>
    <w:rsid w:val="00413B74"/>
    <w:rsid w:val="00414C9D"/>
    <w:rsid w:val="004218FD"/>
    <w:rsid w:val="004232ED"/>
    <w:rsid w:val="00423830"/>
    <w:rsid w:val="004248B5"/>
    <w:rsid w:val="00425288"/>
    <w:rsid w:val="004252ED"/>
    <w:rsid w:val="00426CE0"/>
    <w:rsid w:val="00427BCD"/>
    <w:rsid w:val="0043158D"/>
    <w:rsid w:val="00432376"/>
    <w:rsid w:val="00432AE3"/>
    <w:rsid w:val="00432C18"/>
    <w:rsid w:val="00433746"/>
    <w:rsid w:val="004342F3"/>
    <w:rsid w:val="00434458"/>
    <w:rsid w:val="0043573C"/>
    <w:rsid w:val="00435C5F"/>
    <w:rsid w:val="00436155"/>
    <w:rsid w:val="00436460"/>
    <w:rsid w:val="00436EC3"/>
    <w:rsid w:val="00437DB7"/>
    <w:rsid w:val="00441E98"/>
    <w:rsid w:val="00442F90"/>
    <w:rsid w:val="00444033"/>
    <w:rsid w:val="00450F3A"/>
    <w:rsid w:val="004532F7"/>
    <w:rsid w:val="00453EC6"/>
    <w:rsid w:val="00456483"/>
    <w:rsid w:val="00456A70"/>
    <w:rsid w:val="00457061"/>
    <w:rsid w:val="004578BB"/>
    <w:rsid w:val="004579D1"/>
    <w:rsid w:val="0046038A"/>
    <w:rsid w:val="00464D51"/>
    <w:rsid w:val="00465A73"/>
    <w:rsid w:val="00466003"/>
    <w:rsid w:val="00466ADE"/>
    <w:rsid w:val="0047075C"/>
    <w:rsid w:val="00471289"/>
    <w:rsid w:val="00471572"/>
    <w:rsid w:val="00472027"/>
    <w:rsid w:val="00472FA1"/>
    <w:rsid w:val="004778D1"/>
    <w:rsid w:val="004804CF"/>
    <w:rsid w:val="00480907"/>
    <w:rsid w:val="00480C2A"/>
    <w:rsid w:val="00483314"/>
    <w:rsid w:val="00484450"/>
    <w:rsid w:val="00484962"/>
    <w:rsid w:val="00484F6D"/>
    <w:rsid w:val="00484FB7"/>
    <w:rsid w:val="00485081"/>
    <w:rsid w:val="0048554D"/>
    <w:rsid w:val="004863E1"/>
    <w:rsid w:val="004875AA"/>
    <w:rsid w:val="0049338A"/>
    <w:rsid w:val="00493635"/>
    <w:rsid w:val="0049417F"/>
    <w:rsid w:val="00495089"/>
    <w:rsid w:val="00496D41"/>
    <w:rsid w:val="004A092E"/>
    <w:rsid w:val="004A09DD"/>
    <w:rsid w:val="004A13F6"/>
    <w:rsid w:val="004A2030"/>
    <w:rsid w:val="004A2ABB"/>
    <w:rsid w:val="004A3410"/>
    <w:rsid w:val="004A3DAB"/>
    <w:rsid w:val="004A4E6B"/>
    <w:rsid w:val="004A6602"/>
    <w:rsid w:val="004A66D1"/>
    <w:rsid w:val="004B1062"/>
    <w:rsid w:val="004B2818"/>
    <w:rsid w:val="004B3EFA"/>
    <w:rsid w:val="004B5E95"/>
    <w:rsid w:val="004B6390"/>
    <w:rsid w:val="004B7583"/>
    <w:rsid w:val="004B7779"/>
    <w:rsid w:val="004C2A87"/>
    <w:rsid w:val="004C3020"/>
    <w:rsid w:val="004C3836"/>
    <w:rsid w:val="004C3ADE"/>
    <w:rsid w:val="004C4367"/>
    <w:rsid w:val="004C4D7B"/>
    <w:rsid w:val="004C4ED3"/>
    <w:rsid w:val="004C55C3"/>
    <w:rsid w:val="004C60F6"/>
    <w:rsid w:val="004C667B"/>
    <w:rsid w:val="004C7845"/>
    <w:rsid w:val="004C7DF2"/>
    <w:rsid w:val="004C7ECD"/>
    <w:rsid w:val="004D174B"/>
    <w:rsid w:val="004D2EA5"/>
    <w:rsid w:val="004D32A6"/>
    <w:rsid w:val="004D53E5"/>
    <w:rsid w:val="004D599A"/>
    <w:rsid w:val="004D59F7"/>
    <w:rsid w:val="004D7950"/>
    <w:rsid w:val="004E0C19"/>
    <w:rsid w:val="004E29EF"/>
    <w:rsid w:val="004E634D"/>
    <w:rsid w:val="004E6DC4"/>
    <w:rsid w:val="004F01C5"/>
    <w:rsid w:val="004F0484"/>
    <w:rsid w:val="004F0DAA"/>
    <w:rsid w:val="004F21C1"/>
    <w:rsid w:val="004F29C4"/>
    <w:rsid w:val="004F3E06"/>
    <w:rsid w:val="004F41F2"/>
    <w:rsid w:val="004F60EC"/>
    <w:rsid w:val="0050002F"/>
    <w:rsid w:val="00500638"/>
    <w:rsid w:val="00501A12"/>
    <w:rsid w:val="0050309C"/>
    <w:rsid w:val="005058BD"/>
    <w:rsid w:val="0050667F"/>
    <w:rsid w:val="00506A36"/>
    <w:rsid w:val="005072D0"/>
    <w:rsid w:val="00510F04"/>
    <w:rsid w:val="00511E20"/>
    <w:rsid w:val="00512800"/>
    <w:rsid w:val="0051327C"/>
    <w:rsid w:val="0051346D"/>
    <w:rsid w:val="00513EAE"/>
    <w:rsid w:val="0051434F"/>
    <w:rsid w:val="00516806"/>
    <w:rsid w:val="005202B3"/>
    <w:rsid w:val="0052098C"/>
    <w:rsid w:val="00520D84"/>
    <w:rsid w:val="00521364"/>
    <w:rsid w:val="00523E6B"/>
    <w:rsid w:val="00525A49"/>
    <w:rsid w:val="005262D1"/>
    <w:rsid w:val="00530876"/>
    <w:rsid w:val="005313D9"/>
    <w:rsid w:val="00535613"/>
    <w:rsid w:val="005359EB"/>
    <w:rsid w:val="00537DB3"/>
    <w:rsid w:val="00541C1A"/>
    <w:rsid w:val="0054254A"/>
    <w:rsid w:val="005428E7"/>
    <w:rsid w:val="00543196"/>
    <w:rsid w:val="0054500B"/>
    <w:rsid w:val="005466B5"/>
    <w:rsid w:val="005513E7"/>
    <w:rsid w:val="0055289C"/>
    <w:rsid w:val="0055296A"/>
    <w:rsid w:val="00553FC2"/>
    <w:rsid w:val="00554182"/>
    <w:rsid w:val="00554314"/>
    <w:rsid w:val="00555F46"/>
    <w:rsid w:val="0055636D"/>
    <w:rsid w:val="00556559"/>
    <w:rsid w:val="00557025"/>
    <w:rsid w:val="005604A3"/>
    <w:rsid w:val="00561747"/>
    <w:rsid w:val="00561E77"/>
    <w:rsid w:val="00562829"/>
    <w:rsid w:val="005629B3"/>
    <w:rsid w:val="00564809"/>
    <w:rsid w:val="00565A76"/>
    <w:rsid w:val="00567172"/>
    <w:rsid w:val="00567AA5"/>
    <w:rsid w:val="005701F7"/>
    <w:rsid w:val="0057128A"/>
    <w:rsid w:val="005715C1"/>
    <w:rsid w:val="005724F6"/>
    <w:rsid w:val="00573AC4"/>
    <w:rsid w:val="0057510A"/>
    <w:rsid w:val="00576F89"/>
    <w:rsid w:val="005801FC"/>
    <w:rsid w:val="005806D0"/>
    <w:rsid w:val="00580BA3"/>
    <w:rsid w:val="00581462"/>
    <w:rsid w:val="005814BE"/>
    <w:rsid w:val="00581A24"/>
    <w:rsid w:val="00582C4C"/>
    <w:rsid w:val="00585BA9"/>
    <w:rsid w:val="00587164"/>
    <w:rsid w:val="00587359"/>
    <w:rsid w:val="005907C1"/>
    <w:rsid w:val="00591DE2"/>
    <w:rsid w:val="00595016"/>
    <w:rsid w:val="005965A7"/>
    <w:rsid w:val="00597AAE"/>
    <w:rsid w:val="005A0582"/>
    <w:rsid w:val="005A222C"/>
    <w:rsid w:val="005A25B8"/>
    <w:rsid w:val="005A4DF8"/>
    <w:rsid w:val="005A64BB"/>
    <w:rsid w:val="005A6748"/>
    <w:rsid w:val="005A6B64"/>
    <w:rsid w:val="005A75BA"/>
    <w:rsid w:val="005A78C8"/>
    <w:rsid w:val="005A7908"/>
    <w:rsid w:val="005B0C5A"/>
    <w:rsid w:val="005B1426"/>
    <w:rsid w:val="005B19B2"/>
    <w:rsid w:val="005B3584"/>
    <w:rsid w:val="005B3A71"/>
    <w:rsid w:val="005B40D3"/>
    <w:rsid w:val="005B7EA5"/>
    <w:rsid w:val="005C0A8E"/>
    <w:rsid w:val="005C0B00"/>
    <w:rsid w:val="005C1767"/>
    <w:rsid w:val="005C185C"/>
    <w:rsid w:val="005C25B4"/>
    <w:rsid w:val="005C3481"/>
    <w:rsid w:val="005C4193"/>
    <w:rsid w:val="005C42EF"/>
    <w:rsid w:val="005C52D0"/>
    <w:rsid w:val="005C679A"/>
    <w:rsid w:val="005C6A32"/>
    <w:rsid w:val="005C6ED8"/>
    <w:rsid w:val="005C7DE2"/>
    <w:rsid w:val="005D0089"/>
    <w:rsid w:val="005D0595"/>
    <w:rsid w:val="005D1282"/>
    <w:rsid w:val="005D2259"/>
    <w:rsid w:val="005D2659"/>
    <w:rsid w:val="005D289B"/>
    <w:rsid w:val="005D433C"/>
    <w:rsid w:val="005D5EED"/>
    <w:rsid w:val="005D5EEE"/>
    <w:rsid w:val="005D6C03"/>
    <w:rsid w:val="005D7140"/>
    <w:rsid w:val="005E0130"/>
    <w:rsid w:val="005E0274"/>
    <w:rsid w:val="005E02F5"/>
    <w:rsid w:val="005E0510"/>
    <w:rsid w:val="005E0A2B"/>
    <w:rsid w:val="005E176E"/>
    <w:rsid w:val="005E218E"/>
    <w:rsid w:val="005E35A0"/>
    <w:rsid w:val="005E39BF"/>
    <w:rsid w:val="005E48FE"/>
    <w:rsid w:val="005E4FD6"/>
    <w:rsid w:val="005F0D1B"/>
    <w:rsid w:val="005F1659"/>
    <w:rsid w:val="005F1865"/>
    <w:rsid w:val="005F1D0D"/>
    <w:rsid w:val="005F1FBF"/>
    <w:rsid w:val="005F3C2C"/>
    <w:rsid w:val="005F56AE"/>
    <w:rsid w:val="005F5C24"/>
    <w:rsid w:val="005F615B"/>
    <w:rsid w:val="005F623D"/>
    <w:rsid w:val="0060059E"/>
    <w:rsid w:val="006007BD"/>
    <w:rsid w:val="00600E58"/>
    <w:rsid w:val="006013C8"/>
    <w:rsid w:val="006019A8"/>
    <w:rsid w:val="0060270D"/>
    <w:rsid w:val="00604342"/>
    <w:rsid w:val="00604611"/>
    <w:rsid w:val="00605F14"/>
    <w:rsid w:val="00606A0B"/>
    <w:rsid w:val="0060704B"/>
    <w:rsid w:val="00607A3E"/>
    <w:rsid w:val="00610C7E"/>
    <w:rsid w:val="00611151"/>
    <w:rsid w:val="006113F7"/>
    <w:rsid w:val="00611586"/>
    <w:rsid w:val="006115D1"/>
    <w:rsid w:val="00611D65"/>
    <w:rsid w:val="00612354"/>
    <w:rsid w:val="00612D26"/>
    <w:rsid w:val="00613855"/>
    <w:rsid w:val="00614470"/>
    <w:rsid w:val="00615855"/>
    <w:rsid w:val="006161BB"/>
    <w:rsid w:val="00616713"/>
    <w:rsid w:val="00617622"/>
    <w:rsid w:val="00620DA8"/>
    <w:rsid w:val="00621887"/>
    <w:rsid w:val="00621CCC"/>
    <w:rsid w:val="00624520"/>
    <w:rsid w:val="006271F5"/>
    <w:rsid w:val="00632300"/>
    <w:rsid w:val="00632BB7"/>
    <w:rsid w:val="00633B83"/>
    <w:rsid w:val="00633E79"/>
    <w:rsid w:val="00634DDF"/>
    <w:rsid w:val="00635B36"/>
    <w:rsid w:val="00636871"/>
    <w:rsid w:val="00636BD5"/>
    <w:rsid w:val="00636CB1"/>
    <w:rsid w:val="00636DFB"/>
    <w:rsid w:val="00637E24"/>
    <w:rsid w:val="00640EE1"/>
    <w:rsid w:val="00640EE7"/>
    <w:rsid w:val="00640F4E"/>
    <w:rsid w:val="00641225"/>
    <w:rsid w:val="00643332"/>
    <w:rsid w:val="00643DE0"/>
    <w:rsid w:val="0064437D"/>
    <w:rsid w:val="00644E85"/>
    <w:rsid w:val="006450B6"/>
    <w:rsid w:val="006479C8"/>
    <w:rsid w:val="00650F19"/>
    <w:rsid w:val="006516D8"/>
    <w:rsid w:val="00651B35"/>
    <w:rsid w:val="00652C52"/>
    <w:rsid w:val="006574A3"/>
    <w:rsid w:val="00657E0C"/>
    <w:rsid w:val="0066063F"/>
    <w:rsid w:val="0066161C"/>
    <w:rsid w:val="00661BAE"/>
    <w:rsid w:val="00662095"/>
    <w:rsid w:val="00662BB0"/>
    <w:rsid w:val="00662F5B"/>
    <w:rsid w:val="00663878"/>
    <w:rsid w:val="00664E4D"/>
    <w:rsid w:val="00666C16"/>
    <w:rsid w:val="00667773"/>
    <w:rsid w:val="00670743"/>
    <w:rsid w:val="00670F23"/>
    <w:rsid w:val="00672EB1"/>
    <w:rsid w:val="006738FA"/>
    <w:rsid w:val="006775FE"/>
    <w:rsid w:val="00680584"/>
    <w:rsid w:val="00680A85"/>
    <w:rsid w:val="00681ADF"/>
    <w:rsid w:val="006828E3"/>
    <w:rsid w:val="0068327D"/>
    <w:rsid w:val="0068354C"/>
    <w:rsid w:val="00685FDF"/>
    <w:rsid w:val="006908B7"/>
    <w:rsid w:val="00690EE2"/>
    <w:rsid w:val="00691E27"/>
    <w:rsid w:val="00693854"/>
    <w:rsid w:val="006949AD"/>
    <w:rsid w:val="00694BEB"/>
    <w:rsid w:val="006954FF"/>
    <w:rsid w:val="00695644"/>
    <w:rsid w:val="00695743"/>
    <w:rsid w:val="00697918"/>
    <w:rsid w:val="006A0D34"/>
    <w:rsid w:val="006A0E20"/>
    <w:rsid w:val="006A24E3"/>
    <w:rsid w:val="006A5695"/>
    <w:rsid w:val="006A5797"/>
    <w:rsid w:val="006A5B34"/>
    <w:rsid w:val="006B0389"/>
    <w:rsid w:val="006B0439"/>
    <w:rsid w:val="006B1183"/>
    <w:rsid w:val="006B2321"/>
    <w:rsid w:val="006B2CB9"/>
    <w:rsid w:val="006B338F"/>
    <w:rsid w:val="006B3904"/>
    <w:rsid w:val="006B5B7D"/>
    <w:rsid w:val="006C0967"/>
    <w:rsid w:val="006C3628"/>
    <w:rsid w:val="006C5B46"/>
    <w:rsid w:val="006C6E39"/>
    <w:rsid w:val="006D0ECF"/>
    <w:rsid w:val="006D3C82"/>
    <w:rsid w:val="006D3D5B"/>
    <w:rsid w:val="006D4C92"/>
    <w:rsid w:val="006D4EB6"/>
    <w:rsid w:val="006D649C"/>
    <w:rsid w:val="006D7BEA"/>
    <w:rsid w:val="006D7FBC"/>
    <w:rsid w:val="006E0A20"/>
    <w:rsid w:val="006E2BEC"/>
    <w:rsid w:val="006E35BF"/>
    <w:rsid w:val="006E484E"/>
    <w:rsid w:val="006E6E8F"/>
    <w:rsid w:val="006E7850"/>
    <w:rsid w:val="006F00FA"/>
    <w:rsid w:val="006F0188"/>
    <w:rsid w:val="006F1117"/>
    <w:rsid w:val="006F19D8"/>
    <w:rsid w:val="006F381F"/>
    <w:rsid w:val="006F3FCF"/>
    <w:rsid w:val="006F46D6"/>
    <w:rsid w:val="006F4BBB"/>
    <w:rsid w:val="006F56ED"/>
    <w:rsid w:val="006F67EC"/>
    <w:rsid w:val="00700279"/>
    <w:rsid w:val="00700753"/>
    <w:rsid w:val="007028D9"/>
    <w:rsid w:val="00702E83"/>
    <w:rsid w:val="00705513"/>
    <w:rsid w:val="00706E66"/>
    <w:rsid w:val="00707118"/>
    <w:rsid w:val="00707218"/>
    <w:rsid w:val="007072B1"/>
    <w:rsid w:val="007102A4"/>
    <w:rsid w:val="00710D04"/>
    <w:rsid w:val="00710DF6"/>
    <w:rsid w:val="00712B1D"/>
    <w:rsid w:val="00713231"/>
    <w:rsid w:val="0071510C"/>
    <w:rsid w:val="00715751"/>
    <w:rsid w:val="007171BA"/>
    <w:rsid w:val="00717616"/>
    <w:rsid w:val="007178B9"/>
    <w:rsid w:val="00717DC8"/>
    <w:rsid w:val="00723C63"/>
    <w:rsid w:val="00724921"/>
    <w:rsid w:val="00726EB5"/>
    <w:rsid w:val="00730A2F"/>
    <w:rsid w:val="00730B23"/>
    <w:rsid w:val="007325D9"/>
    <w:rsid w:val="007327A4"/>
    <w:rsid w:val="0073308F"/>
    <w:rsid w:val="0073413F"/>
    <w:rsid w:val="0073583B"/>
    <w:rsid w:val="007360CA"/>
    <w:rsid w:val="00737D2E"/>
    <w:rsid w:val="00737F88"/>
    <w:rsid w:val="0074067C"/>
    <w:rsid w:val="00740E4D"/>
    <w:rsid w:val="00742837"/>
    <w:rsid w:val="0074335B"/>
    <w:rsid w:val="0074667B"/>
    <w:rsid w:val="00746813"/>
    <w:rsid w:val="00746F89"/>
    <w:rsid w:val="007470BD"/>
    <w:rsid w:val="007502A3"/>
    <w:rsid w:val="00751E4F"/>
    <w:rsid w:val="0075430F"/>
    <w:rsid w:val="00760CBA"/>
    <w:rsid w:val="00760EC0"/>
    <w:rsid w:val="007611D9"/>
    <w:rsid w:val="007668F5"/>
    <w:rsid w:val="00767526"/>
    <w:rsid w:val="00770EEB"/>
    <w:rsid w:val="007711BD"/>
    <w:rsid w:val="0077151D"/>
    <w:rsid w:val="00771FAE"/>
    <w:rsid w:val="00772F54"/>
    <w:rsid w:val="00775325"/>
    <w:rsid w:val="00775C7E"/>
    <w:rsid w:val="00776359"/>
    <w:rsid w:val="00777421"/>
    <w:rsid w:val="0078003A"/>
    <w:rsid w:val="00780771"/>
    <w:rsid w:val="007819F0"/>
    <w:rsid w:val="00783D95"/>
    <w:rsid w:val="00784B32"/>
    <w:rsid w:val="007857FD"/>
    <w:rsid w:val="00790050"/>
    <w:rsid w:val="00790B83"/>
    <w:rsid w:val="00791768"/>
    <w:rsid w:val="0079199B"/>
    <w:rsid w:val="00791FE6"/>
    <w:rsid w:val="007929CF"/>
    <w:rsid w:val="007940F7"/>
    <w:rsid w:val="0079433F"/>
    <w:rsid w:val="007944B1"/>
    <w:rsid w:val="00795F66"/>
    <w:rsid w:val="00797BA8"/>
    <w:rsid w:val="007A081D"/>
    <w:rsid w:val="007A08EB"/>
    <w:rsid w:val="007A30C3"/>
    <w:rsid w:val="007A3901"/>
    <w:rsid w:val="007A49E7"/>
    <w:rsid w:val="007A53A0"/>
    <w:rsid w:val="007A6F28"/>
    <w:rsid w:val="007A75E0"/>
    <w:rsid w:val="007A7C83"/>
    <w:rsid w:val="007A7F7B"/>
    <w:rsid w:val="007B03C6"/>
    <w:rsid w:val="007B09A9"/>
    <w:rsid w:val="007B0DB1"/>
    <w:rsid w:val="007B216D"/>
    <w:rsid w:val="007B341C"/>
    <w:rsid w:val="007B520B"/>
    <w:rsid w:val="007B529A"/>
    <w:rsid w:val="007B5673"/>
    <w:rsid w:val="007B5891"/>
    <w:rsid w:val="007B5ACB"/>
    <w:rsid w:val="007B66BC"/>
    <w:rsid w:val="007B7238"/>
    <w:rsid w:val="007B76FF"/>
    <w:rsid w:val="007C0188"/>
    <w:rsid w:val="007C3B26"/>
    <w:rsid w:val="007C3BF6"/>
    <w:rsid w:val="007C442C"/>
    <w:rsid w:val="007C4C2D"/>
    <w:rsid w:val="007C53A5"/>
    <w:rsid w:val="007C5752"/>
    <w:rsid w:val="007C5B3D"/>
    <w:rsid w:val="007C63ED"/>
    <w:rsid w:val="007C67B3"/>
    <w:rsid w:val="007D071E"/>
    <w:rsid w:val="007D0F1C"/>
    <w:rsid w:val="007D0FD2"/>
    <w:rsid w:val="007D1659"/>
    <w:rsid w:val="007D252B"/>
    <w:rsid w:val="007D2EF8"/>
    <w:rsid w:val="007D561F"/>
    <w:rsid w:val="007D7FD2"/>
    <w:rsid w:val="007E0D6B"/>
    <w:rsid w:val="007E13D9"/>
    <w:rsid w:val="007E2AEC"/>
    <w:rsid w:val="007E41BE"/>
    <w:rsid w:val="007E46BF"/>
    <w:rsid w:val="007E4906"/>
    <w:rsid w:val="007E4BE0"/>
    <w:rsid w:val="007E4DB6"/>
    <w:rsid w:val="007E6733"/>
    <w:rsid w:val="007E7CD4"/>
    <w:rsid w:val="007F00B1"/>
    <w:rsid w:val="007F077A"/>
    <w:rsid w:val="007F12AC"/>
    <w:rsid w:val="007F274B"/>
    <w:rsid w:val="007F29C3"/>
    <w:rsid w:val="007F3A95"/>
    <w:rsid w:val="007F4501"/>
    <w:rsid w:val="007F5F98"/>
    <w:rsid w:val="007F60DF"/>
    <w:rsid w:val="007F69CB"/>
    <w:rsid w:val="007F728C"/>
    <w:rsid w:val="007F7512"/>
    <w:rsid w:val="00801800"/>
    <w:rsid w:val="00801861"/>
    <w:rsid w:val="00801B5B"/>
    <w:rsid w:val="008022D7"/>
    <w:rsid w:val="0080299C"/>
    <w:rsid w:val="00802B83"/>
    <w:rsid w:val="008038CF"/>
    <w:rsid w:val="00803B2E"/>
    <w:rsid w:val="00805A30"/>
    <w:rsid w:val="00806962"/>
    <w:rsid w:val="00806AAA"/>
    <w:rsid w:val="0081165C"/>
    <w:rsid w:val="00812E01"/>
    <w:rsid w:val="00815859"/>
    <w:rsid w:val="00816393"/>
    <w:rsid w:val="00820A30"/>
    <w:rsid w:val="008216E7"/>
    <w:rsid w:val="00825BE6"/>
    <w:rsid w:val="00826312"/>
    <w:rsid w:val="008276B4"/>
    <w:rsid w:val="00831927"/>
    <w:rsid w:val="00831AD0"/>
    <w:rsid w:val="00831CAC"/>
    <w:rsid w:val="0083227C"/>
    <w:rsid w:val="00834A92"/>
    <w:rsid w:val="00834D9C"/>
    <w:rsid w:val="00835361"/>
    <w:rsid w:val="00837288"/>
    <w:rsid w:val="00840072"/>
    <w:rsid w:val="0084152A"/>
    <w:rsid w:val="00841BD3"/>
    <w:rsid w:val="0084273D"/>
    <w:rsid w:val="00843671"/>
    <w:rsid w:val="00843822"/>
    <w:rsid w:val="00843D27"/>
    <w:rsid w:val="00844E3F"/>
    <w:rsid w:val="00845A83"/>
    <w:rsid w:val="00845AB2"/>
    <w:rsid w:val="00846BB9"/>
    <w:rsid w:val="00846F18"/>
    <w:rsid w:val="00847C6D"/>
    <w:rsid w:val="0085049D"/>
    <w:rsid w:val="008534AE"/>
    <w:rsid w:val="0085557B"/>
    <w:rsid w:val="0085596F"/>
    <w:rsid w:val="0085613B"/>
    <w:rsid w:val="00857678"/>
    <w:rsid w:val="008579A1"/>
    <w:rsid w:val="0086017C"/>
    <w:rsid w:val="00864457"/>
    <w:rsid w:val="00864641"/>
    <w:rsid w:val="008649D5"/>
    <w:rsid w:val="008658AA"/>
    <w:rsid w:val="00865FE8"/>
    <w:rsid w:val="008664B2"/>
    <w:rsid w:val="008712BB"/>
    <w:rsid w:val="00871FA8"/>
    <w:rsid w:val="00872EE0"/>
    <w:rsid w:val="008778A5"/>
    <w:rsid w:val="0088162D"/>
    <w:rsid w:val="008830E7"/>
    <w:rsid w:val="00884DC3"/>
    <w:rsid w:val="00886617"/>
    <w:rsid w:val="00887C4A"/>
    <w:rsid w:val="008900CD"/>
    <w:rsid w:val="0089076C"/>
    <w:rsid w:val="00890EDE"/>
    <w:rsid w:val="00891A05"/>
    <w:rsid w:val="0089257F"/>
    <w:rsid w:val="00892B38"/>
    <w:rsid w:val="00896455"/>
    <w:rsid w:val="0089718C"/>
    <w:rsid w:val="008A07A8"/>
    <w:rsid w:val="008A1741"/>
    <w:rsid w:val="008A2484"/>
    <w:rsid w:val="008A2E60"/>
    <w:rsid w:val="008A32E5"/>
    <w:rsid w:val="008A52F3"/>
    <w:rsid w:val="008A59C1"/>
    <w:rsid w:val="008A5D64"/>
    <w:rsid w:val="008A6169"/>
    <w:rsid w:val="008A6253"/>
    <w:rsid w:val="008B3E07"/>
    <w:rsid w:val="008B62AC"/>
    <w:rsid w:val="008B6B69"/>
    <w:rsid w:val="008B7AB7"/>
    <w:rsid w:val="008B7BC3"/>
    <w:rsid w:val="008C0405"/>
    <w:rsid w:val="008C0D15"/>
    <w:rsid w:val="008C1AB2"/>
    <w:rsid w:val="008C1E5C"/>
    <w:rsid w:val="008C1EFC"/>
    <w:rsid w:val="008C26D9"/>
    <w:rsid w:val="008C3463"/>
    <w:rsid w:val="008C3E3B"/>
    <w:rsid w:val="008C4660"/>
    <w:rsid w:val="008C5DBA"/>
    <w:rsid w:val="008C5E89"/>
    <w:rsid w:val="008C6B11"/>
    <w:rsid w:val="008C6D50"/>
    <w:rsid w:val="008C7167"/>
    <w:rsid w:val="008C7503"/>
    <w:rsid w:val="008C7789"/>
    <w:rsid w:val="008D03EA"/>
    <w:rsid w:val="008D0709"/>
    <w:rsid w:val="008D1617"/>
    <w:rsid w:val="008D2151"/>
    <w:rsid w:val="008D330F"/>
    <w:rsid w:val="008D3948"/>
    <w:rsid w:val="008D48C1"/>
    <w:rsid w:val="008D62DF"/>
    <w:rsid w:val="008D78F3"/>
    <w:rsid w:val="008E15EE"/>
    <w:rsid w:val="008E19EE"/>
    <w:rsid w:val="008E4061"/>
    <w:rsid w:val="008E6315"/>
    <w:rsid w:val="008E72C4"/>
    <w:rsid w:val="008F0388"/>
    <w:rsid w:val="008F0480"/>
    <w:rsid w:val="008F07FC"/>
    <w:rsid w:val="008F11E0"/>
    <w:rsid w:val="008F3EA7"/>
    <w:rsid w:val="008F49BC"/>
    <w:rsid w:val="008F52AE"/>
    <w:rsid w:val="008F57CC"/>
    <w:rsid w:val="008F78BC"/>
    <w:rsid w:val="008F7A03"/>
    <w:rsid w:val="008F7B63"/>
    <w:rsid w:val="008F7D6A"/>
    <w:rsid w:val="00901C86"/>
    <w:rsid w:val="009034C6"/>
    <w:rsid w:val="00903603"/>
    <w:rsid w:val="009041C2"/>
    <w:rsid w:val="009054CB"/>
    <w:rsid w:val="00906D99"/>
    <w:rsid w:val="0091055D"/>
    <w:rsid w:val="00911933"/>
    <w:rsid w:val="00911F8D"/>
    <w:rsid w:val="009126DF"/>
    <w:rsid w:val="00912982"/>
    <w:rsid w:val="00912F94"/>
    <w:rsid w:val="0091451E"/>
    <w:rsid w:val="009160CD"/>
    <w:rsid w:val="009171BC"/>
    <w:rsid w:val="00920B55"/>
    <w:rsid w:val="00920CE9"/>
    <w:rsid w:val="00921F47"/>
    <w:rsid w:val="00922969"/>
    <w:rsid w:val="0092497E"/>
    <w:rsid w:val="0092590B"/>
    <w:rsid w:val="00925BF3"/>
    <w:rsid w:val="00925E60"/>
    <w:rsid w:val="009264B3"/>
    <w:rsid w:val="009301F6"/>
    <w:rsid w:val="0093061A"/>
    <w:rsid w:val="00931CCD"/>
    <w:rsid w:val="00931E4C"/>
    <w:rsid w:val="00931E73"/>
    <w:rsid w:val="00933CD2"/>
    <w:rsid w:val="00933E5C"/>
    <w:rsid w:val="009340A3"/>
    <w:rsid w:val="009340E0"/>
    <w:rsid w:val="009355A4"/>
    <w:rsid w:val="009365E0"/>
    <w:rsid w:val="009378FF"/>
    <w:rsid w:val="00940C90"/>
    <w:rsid w:val="00942BA2"/>
    <w:rsid w:val="009432B7"/>
    <w:rsid w:val="009443B6"/>
    <w:rsid w:val="00944C86"/>
    <w:rsid w:val="0094530E"/>
    <w:rsid w:val="0094704D"/>
    <w:rsid w:val="00947C02"/>
    <w:rsid w:val="00950BE6"/>
    <w:rsid w:val="00951B5F"/>
    <w:rsid w:val="0095759C"/>
    <w:rsid w:val="00957DE8"/>
    <w:rsid w:val="009605BE"/>
    <w:rsid w:val="00960ECB"/>
    <w:rsid w:val="009615D6"/>
    <w:rsid w:val="00962392"/>
    <w:rsid w:val="009629FA"/>
    <w:rsid w:val="009633FF"/>
    <w:rsid w:val="00966E6A"/>
    <w:rsid w:val="00967143"/>
    <w:rsid w:val="009675D1"/>
    <w:rsid w:val="00967855"/>
    <w:rsid w:val="0097095F"/>
    <w:rsid w:val="00971413"/>
    <w:rsid w:val="0097166F"/>
    <w:rsid w:val="00971730"/>
    <w:rsid w:val="00971CD1"/>
    <w:rsid w:val="00973100"/>
    <w:rsid w:val="00973868"/>
    <w:rsid w:val="00974709"/>
    <w:rsid w:val="00975CFB"/>
    <w:rsid w:val="009763E6"/>
    <w:rsid w:val="009801AE"/>
    <w:rsid w:val="009802D6"/>
    <w:rsid w:val="00980736"/>
    <w:rsid w:val="00981A39"/>
    <w:rsid w:val="00982D56"/>
    <w:rsid w:val="00983DBF"/>
    <w:rsid w:val="0098601A"/>
    <w:rsid w:val="0098640C"/>
    <w:rsid w:val="00987097"/>
    <w:rsid w:val="00987418"/>
    <w:rsid w:val="00987AF3"/>
    <w:rsid w:val="00987B12"/>
    <w:rsid w:val="00991084"/>
    <w:rsid w:val="00991123"/>
    <w:rsid w:val="00991CAB"/>
    <w:rsid w:val="009924C4"/>
    <w:rsid w:val="00993269"/>
    <w:rsid w:val="0099482C"/>
    <w:rsid w:val="00995E31"/>
    <w:rsid w:val="0099615F"/>
    <w:rsid w:val="009970A9"/>
    <w:rsid w:val="00997C17"/>
    <w:rsid w:val="009A09DD"/>
    <w:rsid w:val="009A0B56"/>
    <w:rsid w:val="009A379E"/>
    <w:rsid w:val="009A3A9C"/>
    <w:rsid w:val="009A42B5"/>
    <w:rsid w:val="009A4E71"/>
    <w:rsid w:val="009A5127"/>
    <w:rsid w:val="009A5A8D"/>
    <w:rsid w:val="009A66FD"/>
    <w:rsid w:val="009B046C"/>
    <w:rsid w:val="009B13FA"/>
    <w:rsid w:val="009B18B0"/>
    <w:rsid w:val="009B1E2D"/>
    <w:rsid w:val="009B33C5"/>
    <w:rsid w:val="009B4364"/>
    <w:rsid w:val="009C0967"/>
    <w:rsid w:val="009C14EB"/>
    <w:rsid w:val="009C1544"/>
    <w:rsid w:val="009C2A67"/>
    <w:rsid w:val="009C4EEF"/>
    <w:rsid w:val="009C54D8"/>
    <w:rsid w:val="009C59FB"/>
    <w:rsid w:val="009C6D9F"/>
    <w:rsid w:val="009C6F3B"/>
    <w:rsid w:val="009C7764"/>
    <w:rsid w:val="009D1467"/>
    <w:rsid w:val="009D328D"/>
    <w:rsid w:val="009D47F5"/>
    <w:rsid w:val="009D493F"/>
    <w:rsid w:val="009D4D3A"/>
    <w:rsid w:val="009E0CBD"/>
    <w:rsid w:val="009E1114"/>
    <w:rsid w:val="009E3326"/>
    <w:rsid w:val="009E37A4"/>
    <w:rsid w:val="009E4029"/>
    <w:rsid w:val="009E4FA6"/>
    <w:rsid w:val="009E58B6"/>
    <w:rsid w:val="009E7D93"/>
    <w:rsid w:val="009F3C34"/>
    <w:rsid w:val="009F462C"/>
    <w:rsid w:val="009F51AB"/>
    <w:rsid w:val="009F5C33"/>
    <w:rsid w:val="00A00A2E"/>
    <w:rsid w:val="00A026F0"/>
    <w:rsid w:val="00A02A9B"/>
    <w:rsid w:val="00A03EAC"/>
    <w:rsid w:val="00A04AEC"/>
    <w:rsid w:val="00A04DBB"/>
    <w:rsid w:val="00A053CA"/>
    <w:rsid w:val="00A07EA0"/>
    <w:rsid w:val="00A07FF0"/>
    <w:rsid w:val="00A11CA6"/>
    <w:rsid w:val="00A122A0"/>
    <w:rsid w:val="00A12D11"/>
    <w:rsid w:val="00A12EF0"/>
    <w:rsid w:val="00A16C6C"/>
    <w:rsid w:val="00A20A62"/>
    <w:rsid w:val="00A20BB7"/>
    <w:rsid w:val="00A20C49"/>
    <w:rsid w:val="00A214A7"/>
    <w:rsid w:val="00A21BC8"/>
    <w:rsid w:val="00A22504"/>
    <w:rsid w:val="00A22932"/>
    <w:rsid w:val="00A23C17"/>
    <w:rsid w:val="00A243A1"/>
    <w:rsid w:val="00A26805"/>
    <w:rsid w:val="00A269CA"/>
    <w:rsid w:val="00A30320"/>
    <w:rsid w:val="00A32EB1"/>
    <w:rsid w:val="00A336EE"/>
    <w:rsid w:val="00A33BB8"/>
    <w:rsid w:val="00A33F46"/>
    <w:rsid w:val="00A3427E"/>
    <w:rsid w:val="00A35433"/>
    <w:rsid w:val="00A35677"/>
    <w:rsid w:val="00A3599C"/>
    <w:rsid w:val="00A359AC"/>
    <w:rsid w:val="00A3675C"/>
    <w:rsid w:val="00A37539"/>
    <w:rsid w:val="00A40F83"/>
    <w:rsid w:val="00A410FB"/>
    <w:rsid w:val="00A41413"/>
    <w:rsid w:val="00A415B0"/>
    <w:rsid w:val="00A43044"/>
    <w:rsid w:val="00A431E6"/>
    <w:rsid w:val="00A436E8"/>
    <w:rsid w:val="00A43F5F"/>
    <w:rsid w:val="00A45FB1"/>
    <w:rsid w:val="00A46A0F"/>
    <w:rsid w:val="00A46AE5"/>
    <w:rsid w:val="00A46CCC"/>
    <w:rsid w:val="00A47996"/>
    <w:rsid w:val="00A51278"/>
    <w:rsid w:val="00A51CFE"/>
    <w:rsid w:val="00A5204D"/>
    <w:rsid w:val="00A5248E"/>
    <w:rsid w:val="00A52B75"/>
    <w:rsid w:val="00A54452"/>
    <w:rsid w:val="00A5633B"/>
    <w:rsid w:val="00A56471"/>
    <w:rsid w:val="00A56E77"/>
    <w:rsid w:val="00A57332"/>
    <w:rsid w:val="00A57F55"/>
    <w:rsid w:val="00A61605"/>
    <w:rsid w:val="00A649B4"/>
    <w:rsid w:val="00A64A77"/>
    <w:rsid w:val="00A65B34"/>
    <w:rsid w:val="00A65E4B"/>
    <w:rsid w:val="00A65F97"/>
    <w:rsid w:val="00A6628E"/>
    <w:rsid w:val="00A66CA2"/>
    <w:rsid w:val="00A677DB"/>
    <w:rsid w:val="00A67C01"/>
    <w:rsid w:val="00A67CFF"/>
    <w:rsid w:val="00A73B04"/>
    <w:rsid w:val="00A74CF7"/>
    <w:rsid w:val="00A76678"/>
    <w:rsid w:val="00A766A5"/>
    <w:rsid w:val="00A76A86"/>
    <w:rsid w:val="00A76C13"/>
    <w:rsid w:val="00A82A81"/>
    <w:rsid w:val="00A84FD0"/>
    <w:rsid w:val="00A871AC"/>
    <w:rsid w:val="00A91882"/>
    <w:rsid w:val="00A92E79"/>
    <w:rsid w:val="00A950B6"/>
    <w:rsid w:val="00A95953"/>
    <w:rsid w:val="00A95D45"/>
    <w:rsid w:val="00AA032E"/>
    <w:rsid w:val="00AA1655"/>
    <w:rsid w:val="00AA3B08"/>
    <w:rsid w:val="00AA3EA8"/>
    <w:rsid w:val="00AA6649"/>
    <w:rsid w:val="00AB07B9"/>
    <w:rsid w:val="00AB1607"/>
    <w:rsid w:val="00AB1BC8"/>
    <w:rsid w:val="00AB2436"/>
    <w:rsid w:val="00AB41C1"/>
    <w:rsid w:val="00AB4CF2"/>
    <w:rsid w:val="00AB6CCA"/>
    <w:rsid w:val="00AB7576"/>
    <w:rsid w:val="00AB7D53"/>
    <w:rsid w:val="00AC223F"/>
    <w:rsid w:val="00AC33B1"/>
    <w:rsid w:val="00AC481D"/>
    <w:rsid w:val="00AC4B31"/>
    <w:rsid w:val="00AC588C"/>
    <w:rsid w:val="00AC65D8"/>
    <w:rsid w:val="00AC6DD0"/>
    <w:rsid w:val="00AD12A8"/>
    <w:rsid w:val="00AD13E0"/>
    <w:rsid w:val="00AD4B13"/>
    <w:rsid w:val="00AD687C"/>
    <w:rsid w:val="00AE023F"/>
    <w:rsid w:val="00AE0ACB"/>
    <w:rsid w:val="00AE0DA8"/>
    <w:rsid w:val="00AE0F8A"/>
    <w:rsid w:val="00AE1BD9"/>
    <w:rsid w:val="00AE1C2B"/>
    <w:rsid w:val="00AE2530"/>
    <w:rsid w:val="00AE2911"/>
    <w:rsid w:val="00AE2F63"/>
    <w:rsid w:val="00AE6092"/>
    <w:rsid w:val="00AF05B9"/>
    <w:rsid w:val="00AF06C0"/>
    <w:rsid w:val="00AF0D05"/>
    <w:rsid w:val="00AF2AE4"/>
    <w:rsid w:val="00AF3407"/>
    <w:rsid w:val="00AF3577"/>
    <w:rsid w:val="00AF35F9"/>
    <w:rsid w:val="00AF55DC"/>
    <w:rsid w:val="00AF5D2A"/>
    <w:rsid w:val="00AF7050"/>
    <w:rsid w:val="00AF7ED5"/>
    <w:rsid w:val="00B0202C"/>
    <w:rsid w:val="00B03882"/>
    <w:rsid w:val="00B0424C"/>
    <w:rsid w:val="00B0461E"/>
    <w:rsid w:val="00B04E63"/>
    <w:rsid w:val="00B05C7D"/>
    <w:rsid w:val="00B06236"/>
    <w:rsid w:val="00B064D5"/>
    <w:rsid w:val="00B123CA"/>
    <w:rsid w:val="00B138F7"/>
    <w:rsid w:val="00B142AC"/>
    <w:rsid w:val="00B14609"/>
    <w:rsid w:val="00B15D57"/>
    <w:rsid w:val="00B16347"/>
    <w:rsid w:val="00B17134"/>
    <w:rsid w:val="00B17B9B"/>
    <w:rsid w:val="00B17D6E"/>
    <w:rsid w:val="00B200A3"/>
    <w:rsid w:val="00B207FE"/>
    <w:rsid w:val="00B22167"/>
    <w:rsid w:val="00B225B1"/>
    <w:rsid w:val="00B22929"/>
    <w:rsid w:val="00B237DE"/>
    <w:rsid w:val="00B2435E"/>
    <w:rsid w:val="00B244D2"/>
    <w:rsid w:val="00B24866"/>
    <w:rsid w:val="00B24FA4"/>
    <w:rsid w:val="00B25936"/>
    <w:rsid w:val="00B27DC7"/>
    <w:rsid w:val="00B30E67"/>
    <w:rsid w:val="00B317DA"/>
    <w:rsid w:val="00B33FBF"/>
    <w:rsid w:val="00B346C3"/>
    <w:rsid w:val="00B4005C"/>
    <w:rsid w:val="00B40E05"/>
    <w:rsid w:val="00B410F5"/>
    <w:rsid w:val="00B4227E"/>
    <w:rsid w:val="00B4251F"/>
    <w:rsid w:val="00B4471C"/>
    <w:rsid w:val="00B451A6"/>
    <w:rsid w:val="00B461A6"/>
    <w:rsid w:val="00B52C8B"/>
    <w:rsid w:val="00B5326C"/>
    <w:rsid w:val="00B5347B"/>
    <w:rsid w:val="00B53C55"/>
    <w:rsid w:val="00B542BD"/>
    <w:rsid w:val="00B56010"/>
    <w:rsid w:val="00B56D6E"/>
    <w:rsid w:val="00B60F05"/>
    <w:rsid w:val="00B62AF3"/>
    <w:rsid w:val="00B62BAD"/>
    <w:rsid w:val="00B6323C"/>
    <w:rsid w:val="00B64347"/>
    <w:rsid w:val="00B656EF"/>
    <w:rsid w:val="00B656F0"/>
    <w:rsid w:val="00B65DC6"/>
    <w:rsid w:val="00B67AC2"/>
    <w:rsid w:val="00B703C4"/>
    <w:rsid w:val="00B717F1"/>
    <w:rsid w:val="00B722DE"/>
    <w:rsid w:val="00B723EC"/>
    <w:rsid w:val="00B7246B"/>
    <w:rsid w:val="00B751E3"/>
    <w:rsid w:val="00B758C0"/>
    <w:rsid w:val="00B75BA6"/>
    <w:rsid w:val="00B76C44"/>
    <w:rsid w:val="00B7771C"/>
    <w:rsid w:val="00B8184A"/>
    <w:rsid w:val="00B82283"/>
    <w:rsid w:val="00B828D8"/>
    <w:rsid w:val="00B83F87"/>
    <w:rsid w:val="00B854B4"/>
    <w:rsid w:val="00B864C4"/>
    <w:rsid w:val="00B867F3"/>
    <w:rsid w:val="00B87CDC"/>
    <w:rsid w:val="00B910C1"/>
    <w:rsid w:val="00B9137E"/>
    <w:rsid w:val="00B91AF5"/>
    <w:rsid w:val="00B928AA"/>
    <w:rsid w:val="00B92EDA"/>
    <w:rsid w:val="00B95C2B"/>
    <w:rsid w:val="00B97860"/>
    <w:rsid w:val="00BA108B"/>
    <w:rsid w:val="00BA12D3"/>
    <w:rsid w:val="00BA2CA4"/>
    <w:rsid w:val="00BA2EFA"/>
    <w:rsid w:val="00BA3DBC"/>
    <w:rsid w:val="00BA4EE4"/>
    <w:rsid w:val="00BA707A"/>
    <w:rsid w:val="00BA797E"/>
    <w:rsid w:val="00BB02EC"/>
    <w:rsid w:val="00BB1AFB"/>
    <w:rsid w:val="00BB27AE"/>
    <w:rsid w:val="00BB2DA2"/>
    <w:rsid w:val="00BB2DEE"/>
    <w:rsid w:val="00BB2F7C"/>
    <w:rsid w:val="00BB543D"/>
    <w:rsid w:val="00BB56DC"/>
    <w:rsid w:val="00BB58B6"/>
    <w:rsid w:val="00BB7BED"/>
    <w:rsid w:val="00BC2A8D"/>
    <w:rsid w:val="00BC4F50"/>
    <w:rsid w:val="00BC61C5"/>
    <w:rsid w:val="00BD1F7B"/>
    <w:rsid w:val="00BD3103"/>
    <w:rsid w:val="00BD4247"/>
    <w:rsid w:val="00BD43BB"/>
    <w:rsid w:val="00BD5EAB"/>
    <w:rsid w:val="00BE027C"/>
    <w:rsid w:val="00BE0E31"/>
    <w:rsid w:val="00BE183D"/>
    <w:rsid w:val="00BE2B08"/>
    <w:rsid w:val="00BE4577"/>
    <w:rsid w:val="00BE79E7"/>
    <w:rsid w:val="00BE7B27"/>
    <w:rsid w:val="00BF24C2"/>
    <w:rsid w:val="00BF2922"/>
    <w:rsid w:val="00BF5D7A"/>
    <w:rsid w:val="00C01C2E"/>
    <w:rsid w:val="00C0221A"/>
    <w:rsid w:val="00C022F3"/>
    <w:rsid w:val="00C028DC"/>
    <w:rsid w:val="00C02D33"/>
    <w:rsid w:val="00C04B53"/>
    <w:rsid w:val="00C05D05"/>
    <w:rsid w:val="00C06098"/>
    <w:rsid w:val="00C06D51"/>
    <w:rsid w:val="00C10F23"/>
    <w:rsid w:val="00C1232C"/>
    <w:rsid w:val="00C12941"/>
    <w:rsid w:val="00C131A1"/>
    <w:rsid w:val="00C151E7"/>
    <w:rsid w:val="00C165C4"/>
    <w:rsid w:val="00C16660"/>
    <w:rsid w:val="00C173E9"/>
    <w:rsid w:val="00C248D6"/>
    <w:rsid w:val="00C251D2"/>
    <w:rsid w:val="00C27C6B"/>
    <w:rsid w:val="00C32D73"/>
    <w:rsid w:val="00C32F4B"/>
    <w:rsid w:val="00C34BEB"/>
    <w:rsid w:val="00C358DD"/>
    <w:rsid w:val="00C3594D"/>
    <w:rsid w:val="00C35C3C"/>
    <w:rsid w:val="00C36442"/>
    <w:rsid w:val="00C36FFD"/>
    <w:rsid w:val="00C37C54"/>
    <w:rsid w:val="00C400CE"/>
    <w:rsid w:val="00C410FD"/>
    <w:rsid w:val="00C41544"/>
    <w:rsid w:val="00C41FBF"/>
    <w:rsid w:val="00C457DE"/>
    <w:rsid w:val="00C45CBD"/>
    <w:rsid w:val="00C4676D"/>
    <w:rsid w:val="00C4683D"/>
    <w:rsid w:val="00C47DD3"/>
    <w:rsid w:val="00C51B73"/>
    <w:rsid w:val="00C521C2"/>
    <w:rsid w:val="00C52B59"/>
    <w:rsid w:val="00C52D14"/>
    <w:rsid w:val="00C5316F"/>
    <w:rsid w:val="00C53562"/>
    <w:rsid w:val="00C539FB"/>
    <w:rsid w:val="00C5494B"/>
    <w:rsid w:val="00C55288"/>
    <w:rsid w:val="00C55535"/>
    <w:rsid w:val="00C60E70"/>
    <w:rsid w:val="00C60F85"/>
    <w:rsid w:val="00C614D8"/>
    <w:rsid w:val="00C61DE0"/>
    <w:rsid w:val="00C63CA2"/>
    <w:rsid w:val="00C655DF"/>
    <w:rsid w:val="00C66AA3"/>
    <w:rsid w:val="00C66E57"/>
    <w:rsid w:val="00C672FB"/>
    <w:rsid w:val="00C70262"/>
    <w:rsid w:val="00C7080B"/>
    <w:rsid w:val="00C70A38"/>
    <w:rsid w:val="00C70BDE"/>
    <w:rsid w:val="00C724D7"/>
    <w:rsid w:val="00C74150"/>
    <w:rsid w:val="00C75594"/>
    <w:rsid w:val="00C77AA7"/>
    <w:rsid w:val="00C81EBA"/>
    <w:rsid w:val="00C826D3"/>
    <w:rsid w:val="00C82CC9"/>
    <w:rsid w:val="00C83B06"/>
    <w:rsid w:val="00C85878"/>
    <w:rsid w:val="00C85982"/>
    <w:rsid w:val="00C866F1"/>
    <w:rsid w:val="00C86719"/>
    <w:rsid w:val="00C90530"/>
    <w:rsid w:val="00C91880"/>
    <w:rsid w:val="00C923E8"/>
    <w:rsid w:val="00C9405A"/>
    <w:rsid w:val="00C96AC3"/>
    <w:rsid w:val="00CA0466"/>
    <w:rsid w:val="00CA221B"/>
    <w:rsid w:val="00CA246D"/>
    <w:rsid w:val="00CA50D9"/>
    <w:rsid w:val="00CA64B1"/>
    <w:rsid w:val="00CA6528"/>
    <w:rsid w:val="00CA6798"/>
    <w:rsid w:val="00CB3054"/>
    <w:rsid w:val="00CB3647"/>
    <w:rsid w:val="00CB5636"/>
    <w:rsid w:val="00CB5F30"/>
    <w:rsid w:val="00CC27F8"/>
    <w:rsid w:val="00CC3E63"/>
    <w:rsid w:val="00CC3EE5"/>
    <w:rsid w:val="00CC4743"/>
    <w:rsid w:val="00CC6E47"/>
    <w:rsid w:val="00CD1346"/>
    <w:rsid w:val="00CD6D36"/>
    <w:rsid w:val="00CD78E2"/>
    <w:rsid w:val="00CE193C"/>
    <w:rsid w:val="00CE25D5"/>
    <w:rsid w:val="00CE425C"/>
    <w:rsid w:val="00CE58AC"/>
    <w:rsid w:val="00CE5C61"/>
    <w:rsid w:val="00CE64F4"/>
    <w:rsid w:val="00CF2112"/>
    <w:rsid w:val="00CF37DD"/>
    <w:rsid w:val="00CF3C1A"/>
    <w:rsid w:val="00CF4356"/>
    <w:rsid w:val="00CF5A80"/>
    <w:rsid w:val="00CF6763"/>
    <w:rsid w:val="00CF6AAF"/>
    <w:rsid w:val="00CF76CD"/>
    <w:rsid w:val="00D00579"/>
    <w:rsid w:val="00D00B1B"/>
    <w:rsid w:val="00D01046"/>
    <w:rsid w:val="00D04221"/>
    <w:rsid w:val="00D045EE"/>
    <w:rsid w:val="00D05091"/>
    <w:rsid w:val="00D056CD"/>
    <w:rsid w:val="00D05D58"/>
    <w:rsid w:val="00D07D44"/>
    <w:rsid w:val="00D10BDC"/>
    <w:rsid w:val="00D10CA6"/>
    <w:rsid w:val="00D10F21"/>
    <w:rsid w:val="00D134CF"/>
    <w:rsid w:val="00D1573B"/>
    <w:rsid w:val="00D16E71"/>
    <w:rsid w:val="00D174F0"/>
    <w:rsid w:val="00D17D06"/>
    <w:rsid w:val="00D17F24"/>
    <w:rsid w:val="00D20048"/>
    <w:rsid w:val="00D21EA4"/>
    <w:rsid w:val="00D229D4"/>
    <w:rsid w:val="00D22C3F"/>
    <w:rsid w:val="00D22D80"/>
    <w:rsid w:val="00D242BF"/>
    <w:rsid w:val="00D243C4"/>
    <w:rsid w:val="00D24806"/>
    <w:rsid w:val="00D25CB5"/>
    <w:rsid w:val="00D33CDE"/>
    <w:rsid w:val="00D34040"/>
    <w:rsid w:val="00D343C3"/>
    <w:rsid w:val="00D34E69"/>
    <w:rsid w:val="00D363DA"/>
    <w:rsid w:val="00D36C78"/>
    <w:rsid w:val="00D375EE"/>
    <w:rsid w:val="00D40920"/>
    <w:rsid w:val="00D41E33"/>
    <w:rsid w:val="00D42429"/>
    <w:rsid w:val="00D449DA"/>
    <w:rsid w:val="00D45BA9"/>
    <w:rsid w:val="00D46D71"/>
    <w:rsid w:val="00D51202"/>
    <w:rsid w:val="00D51FE6"/>
    <w:rsid w:val="00D53B00"/>
    <w:rsid w:val="00D54101"/>
    <w:rsid w:val="00D55AE8"/>
    <w:rsid w:val="00D56056"/>
    <w:rsid w:val="00D5637D"/>
    <w:rsid w:val="00D568EB"/>
    <w:rsid w:val="00D607B6"/>
    <w:rsid w:val="00D6085F"/>
    <w:rsid w:val="00D61624"/>
    <w:rsid w:val="00D62699"/>
    <w:rsid w:val="00D63DEB"/>
    <w:rsid w:val="00D65CD8"/>
    <w:rsid w:val="00D711CC"/>
    <w:rsid w:val="00D73E57"/>
    <w:rsid w:val="00D746BC"/>
    <w:rsid w:val="00D778E9"/>
    <w:rsid w:val="00D77C1D"/>
    <w:rsid w:val="00D812BF"/>
    <w:rsid w:val="00D81747"/>
    <w:rsid w:val="00D82620"/>
    <w:rsid w:val="00D82A03"/>
    <w:rsid w:val="00D842A4"/>
    <w:rsid w:val="00D85446"/>
    <w:rsid w:val="00D85707"/>
    <w:rsid w:val="00D86AD2"/>
    <w:rsid w:val="00D901D1"/>
    <w:rsid w:val="00D90CCB"/>
    <w:rsid w:val="00D949D8"/>
    <w:rsid w:val="00D9725F"/>
    <w:rsid w:val="00D97751"/>
    <w:rsid w:val="00D97C37"/>
    <w:rsid w:val="00DA01B1"/>
    <w:rsid w:val="00DA11A2"/>
    <w:rsid w:val="00DA14ED"/>
    <w:rsid w:val="00DA26D6"/>
    <w:rsid w:val="00DA31A0"/>
    <w:rsid w:val="00DA55E1"/>
    <w:rsid w:val="00DA5DD4"/>
    <w:rsid w:val="00DA674A"/>
    <w:rsid w:val="00DA7CE7"/>
    <w:rsid w:val="00DB2EF1"/>
    <w:rsid w:val="00DB3506"/>
    <w:rsid w:val="00DB3DE1"/>
    <w:rsid w:val="00DB472C"/>
    <w:rsid w:val="00DB5DA0"/>
    <w:rsid w:val="00DB716C"/>
    <w:rsid w:val="00DB7A47"/>
    <w:rsid w:val="00DC02EE"/>
    <w:rsid w:val="00DC28C8"/>
    <w:rsid w:val="00DC31A5"/>
    <w:rsid w:val="00DC4253"/>
    <w:rsid w:val="00DC46D3"/>
    <w:rsid w:val="00DC47EA"/>
    <w:rsid w:val="00DC4960"/>
    <w:rsid w:val="00DC565E"/>
    <w:rsid w:val="00DC5C85"/>
    <w:rsid w:val="00DC7B64"/>
    <w:rsid w:val="00DC7C5D"/>
    <w:rsid w:val="00DD16D8"/>
    <w:rsid w:val="00DD24A7"/>
    <w:rsid w:val="00DD4236"/>
    <w:rsid w:val="00DD44F1"/>
    <w:rsid w:val="00DD5030"/>
    <w:rsid w:val="00DD6957"/>
    <w:rsid w:val="00DD6E7A"/>
    <w:rsid w:val="00DE00F3"/>
    <w:rsid w:val="00DE07D0"/>
    <w:rsid w:val="00DE264B"/>
    <w:rsid w:val="00DE3067"/>
    <w:rsid w:val="00DE4486"/>
    <w:rsid w:val="00DE4CC2"/>
    <w:rsid w:val="00DF0209"/>
    <w:rsid w:val="00DF0617"/>
    <w:rsid w:val="00DF173B"/>
    <w:rsid w:val="00DF2C4F"/>
    <w:rsid w:val="00DF2CF0"/>
    <w:rsid w:val="00DF3EEE"/>
    <w:rsid w:val="00DF457C"/>
    <w:rsid w:val="00DF5DEC"/>
    <w:rsid w:val="00DF6CB1"/>
    <w:rsid w:val="00DF6FA8"/>
    <w:rsid w:val="00DF75E1"/>
    <w:rsid w:val="00DF796A"/>
    <w:rsid w:val="00E027BC"/>
    <w:rsid w:val="00E02AA2"/>
    <w:rsid w:val="00E0376C"/>
    <w:rsid w:val="00E03A37"/>
    <w:rsid w:val="00E04366"/>
    <w:rsid w:val="00E045BE"/>
    <w:rsid w:val="00E05CD0"/>
    <w:rsid w:val="00E102D4"/>
    <w:rsid w:val="00E10F0D"/>
    <w:rsid w:val="00E116E4"/>
    <w:rsid w:val="00E12E3D"/>
    <w:rsid w:val="00E14EA5"/>
    <w:rsid w:val="00E1512E"/>
    <w:rsid w:val="00E155E0"/>
    <w:rsid w:val="00E16BFB"/>
    <w:rsid w:val="00E2070E"/>
    <w:rsid w:val="00E21099"/>
    <w:rsid w:val="00E21133"/>
    <w:rsid w:val="00E22900"/>
    <w:rsid w:val="00E2327E"/>
    <w:rsid w:val="00E232E0"/>
    <w:rsid w:val="00E23577"/>
    <w:rsid w:val="00E23B99"/>
    <w:rsid w:val="00E243A0"/>
    <w:rsid w:val="00E24CB3"/>
    <w:rsid w:val="00E25BD5"/>
    <w:rsid w:val="00E266EF"/>
    <w:rsid w:val="00E26A6E"/>
    <w:rsid w:val="00E26AA1"/>
    <w:rsid w:val="00E277D4"/>
    <w:rsid w:val="00E3073B"/>
    <w:rsid w:val="00E326A8"/>
    <w:rsid w:val="00E3424F"/>
    <w:rsid w:val="00E37015"/>
    <w:rsid w:val="00E412B2"/>
    <w:rsid w:val="00E45B36"/>
    <w:rsid w:val="00E47428"/>
    <w:rsid w:val="00E47E5C"/>
    <w:rsid w:val="00E50502"/>
    <w:rsid w:val="00E5207A"/>
    <w:rsid w:val="00E52412"/>
    <w:rsid w:val="00E52997"/>
    <w:rsid w:val="00E5495F"/>
    <w:rsid w:val="00E55E2C"/>
    <w:rsid w:val="00E56C8E"/>
    <w:rsid w:val="00E5716B"/>
    <w:rsid w:val="00E57F1F"/>
    <w:rsid w:val="00E6002E"/>
    <w:rsid w:val="00E624E7"/>
    <w:rsid w:val="00E6309A"/>
    <w:rsid w:val="00E64744"/>
    <w:rsid w:val="00E65164"/>
    <w:rsid w:val="00E65624"/>
    <w:rsid w:val="00E65E8D"/>
    <w:rsid w:val="00E66834"/>
    <w:rsid w:val="00E66B9F"/>
    <w:rsid w:val="00E70A6A"/>
    <w:rsid w:val="00E710D6"/>
    <w:rsid w:val="00E71444"/>
    <w:rsid w:val="00E724EB"/>
    <w:rsid w:val="00E73555"/>
    <w:rsid w:val="00E73B5F"/>
    <w:rsid w:val="00E73DA4"/>
    <w:rsid w:val="00E75720"/>
    <w:rsid w:val="00E75CFB"/>
    <w:rsid w:val="00E760FB"/>
    <w:rsid w:val="00E76E45"/>
    <w:rsid w:val="00E777C9"/>
    <w:rsid w:val="00E77850"/>
    <w:rsid w:val="00E817D9"/>
    <w:rsid w:val="00E81B36"/>
    <w:rsid w:val="00E81DA6"/>
    <w:rsid w:val="00E82C79"/>
    <w:rsid w:val="00E835D2"/>
    <w:rsid w:val="00E84212"/>
    <w:rsid w:val="00E870C0"/>
    <w:rsid w:val="00E9086C"/>
    <w:rsid w:val="00E90AAA"/>
    <w:rsid w:val="00E915DE"/>
    <w:rsid w:val="00E91A0F"/>
    <w:rsid w:val="00E92D6B"/>
    <w:rsid w:val="00E94A71"/>
    <w:rsid w:val="00E94CBF"/>
    <w:rsid w:val="00E96CB2"/>
    <w:rsid w:val="00EA03CE"/>
    <w:rsid w:val="00EA1671"/>
    <w:rsid w:val="00EA23E5"/>
    <w:rsid w:val="00EA3737"/>
    <w:rsid w:val="00EA41F6"/>
    <w:rsid w:val="00EA4C5F"/>
    <w:rsid w:val="00EA4D66"/>
    <w:rsid w:val="00EA4E2E"/>
    <w:rsid w:val="00EA769B"/>
    <w:rsid w:val="00EA7CAB"/>
    <w:rsid w:val="00EB02CA"/>
    <w:rsid w:val="00EB2417"/>
    <w:rsid w:val="00EB2CCB"/>
    <w:rsid w:val="00EB33CA"/>
    <w:rsid w:val="00EB5DAE"/>
    <w:rsid w:val="00EB6DAA"/>
    <w:rsid w:val="00EB6E2D"/>
    <w:rsid w:val="00EB7A25"/>
    <w:rsid w:val="00EC0F3E"/>
    <w:rsid w:val="00EC1336"/>
    <w:rsid w:val="00EC146D"/>
    <w:rsid w:val="00EC2628"/>
    <w:rsid w:val="00EC551C"/>
    <w:rsid w:val="00EC57A7"/>
    <w:rsid w:val="00EC5DCE"/>
    <w:rsid w:val="00ED0772"/>
    <w:rsid w:val="00ED0817"/>
    <w:rsid w:val="00ED0EE5"/>
    <w:rsid w:val="00ED1A6B"/>
    <w:rsid w:val="00ED31ED"/>
    <w:rsid w:val="00ED3B91"/>
    <w:rsid w:val="00ED57A3"/>
    <w:rsid w:val="00ED7164"/>
    <w:rsid w:val="00ED7DD9"/>
    <w:rsid w:val="00EE14AD"/>
    <w:rsid w:val="00EE37EC"/>
    <w:rsid w:val="00EE389D"/>
    <w:rsid w:val="00EE3C02"/>
    <w:rsid w:val="00EE445B"/>
    <w:rsid w:val="00EE629D"/>
    <w:rsid w:val="00EE6B95"/>
    <w:rsid w:val="00EF0120"/>
    <w:rsid w:val="00EF3113"/>
    <w:rsid w:val="00EF3F84"/>
    <w:rsid w:val="00EF4D0E"/>
    <w:rsid w:val="00EF4D56"/>
    <w:rsid w:val="00EF5D25"/>
    <w:rsid w:val="00EF65BF"/>
    <w:rsid w:val="00EF70F6"/>
    <w:rsid w:val="00EF7975"/>
    <w:rsid w:val="00EF7B03"/>
    <w:rsid w:val="00F004D0"/>
    <w:rsid w:val="00F04995"/>
    <w:rsid w:val="00F05F5F"/>
    <w:rsid w:val="00F0614D"/>
    <w:rsid w:val="00F07F30"/>
    <w:rsid w:val="00F11053"/>
    <w:rsid w:val="00F11250"/>
    <w:rsid w:val="00F127FB"/>
    <w:rsid w:val="00F128A5"/>
    <w:rsid w:val="00F157FD"/>
    <w:rsid w:val="00F1652C"/>
    <w:rsid w:val="00F166F2"/>
    <w:rsid w:val="00F17639"/>
    <w:rsid w:val="00F176AC"/>
    <w:rsid w:val="00F176D5"/>
    <w:rsid w:val="00F1780A"/>
    <w:rsid w:val="00F200F0"/>
    <w:rsid w:val="00F202D0"/>
    <w:rsid w:val="00F220E4"/>
    <w:rsid w:val="00F238D2"/>
    <w:rsid w:val="00F24C47"/>
    <w:rsid w:val="00F26C1D"/>
    <w:rsid w:val="00F26F28"/>
    <w:rsid w:val="00F27714"/>
    <w:rsid w:val="00F30327"/>
    <w:rsid w:val="00F31FDE"/>
    <w:rsid w:val="00F320F5"/>
    <w:rsid w:val="00F3276E"/>
    <w:rsid w:val="00F33D3C"/>
    <w:rsid w:val="00F35AED"/>
    <w:rsid w:val="00F36174"/>
    <w:rsid w:val="00F37010"/>
    <w:rsid w:val="00F371BA"/>
    <w:rsid w:val="00F37A91"/>
    <w:rsid w:val="00F408A0"/>
    <w:rsid w:val="00F43D98"/>
    <w:rsid w:val="00F43E82"/>
    <w:rsid w:val="00F45646"/>
    <w:rsid w:val="00F45CF5"/>
    <w:rsid w:val="00F46520"/>
    <w:rsid w:val="00F47DB0"/>
    <w:rsid w:val="00F50BAB"/>
    <w:rsid w:val="00F50C3F"/>
    <w:rsid w:val="00F50E34"/>
    <w:rsid w:val="00F51AFB"/>
    <w:rsid w:val="00F51C5A"/>
    <w:rsid w:val="00F52A21"/>
    <w:rsid w:val="00F52F62"/>
    <w:rsid w:val="00F53840"/>
    <w:rsid w:val="00F53EF7"/>
    <w:rsid w:val="00F54759"/>
    <w:rsid w:val="00F54BF2"/>
    <w:rsid w:val="00F61C8A"/>
    <w:rsid w:val="00F61DA4"/>
    <w:rsid w:val="00F70C1D"/>
    <w:rsid w:val="00F73F47"/>
    <w:rsid w:val="00F75B55"/>
    <w:rsid w:val="00F775AC"/>
    <w:rsid w:val="00F80223"/>
    <w:rsid w:val="00F81D1A"/>
    <w:rsid w:val="00F82AC4"/>
    <w:rsid w:val="00F83918"/>
    <w:rsid w:val="00F85955"/>
    <w:rsid w:val="00F85DCD"/>
    <w:rsid w:val="00F869C2"/>
    <w:rsid w:val="00F8792F"/>
    <w:rsid w:val="00F90B75"/>
    <w:rsid w:val="00F91952"/>
    <w:rsid w:val="00F9214D"/>
    <w:rsid w:val="00F92355"/>
    <w:rsid w:val="00F929AB"/>
    <w:rsid w:val="00F92AAF"/>
    <w:rsid w:val="00F92F2C"/>
    <w:rsid w:val="00F93418"/>
    <w:rsid w:val="00F93814"/>
    <w:rsid w:val="00F93963"/>
    <w:rsid w:val="00F94184"/>
    <w:rsid w:val="00F94291"/>
    <w:rsid w:val="00F94ADA"/>
    <w:rsid w:val="00FA0BCD"/>
    <w:rsid w:val="00FA298A"/>
    <w:rsid w:val="00FA4872"/>
    <w:rsid w:val="00FA54D3"/>
    <w:rsid w:val="00FA5B66"/>
    <w:rsid w:val="00FA635A"/>
    <w:rsid w:val="00FA6DB2"/>
    <w:rsid w:val="00FB0B9C"/>
    <w:rsid w:val="00FB2A5B"/>
    <w:rsid w:val="00FB30EB"/>
    <w:rsid w:val="00FB3A06"/>
    <w:rsid w:val="00FB41B2"/>
    <w:rsid w:val="00FB4E76"/>
    <w:rsid w:val="00FB52FE"/>
    <w:rsid w:val="00FB633B"/>
    <w:rsid w:val="00FB6914"/>
    <w:rsid w:val="00FB7982"/>
    <w:rsid w:val="00FC0734"/>
    <w:rsid w:val="00FC0FC5"/>
    <w:rsid w:val="00FC31BC"/>
    <w:rsid w:val="00FC5270"/>
    <w:rsid w:val="00FC588F"/>
    <w:rsid w:val="00FC5D66"/>
    <w:rsid w:val="00FC6879"/>
    <w:rsid w:val="00FC73E5"/>
    <w:rsid w:val="00FD25FC"/>
    <w:rsid w:val="00FD2EB4"/>
    <w:rsid w:val="00FD43C2"/>
    <w:rsid w:val="00FD57CC"/>
    <w:rsid w:val="00FD64A4"/>
    <w:rsid w:val="00FD68B3"/>
    <w:rsid w:val="00FD717D"/>
    <w:rsid w:val="00FE04DF"/>
    <w:rsid w:val="00FE1B30"/>
    <w:rsid w:val="00FE213E"/>
    <w:rsid w:val="00FE4D7C"/>
    <w:rsid w:val="00FE65F6"/>
    <w:rsid w:val="00FE755D"/>
    <w:rsid w:val="00FE76F3"/>
    <w:rsid w:val="00FE7B44"/>
    <w:rsid w:val="00FF0370"/>
    <w:rsid w:val="00FF390D"/>
    <w:rsid w:val="00FF700A"/>
    <w:rsid w:val="00FF7BD1"/>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B13CE"/>
  <w15:docId w15:val="{B32FB1FE-1FDD-4BA4-8FE5-8BB89611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link w:val="Quote1Char"/>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1"/>
    <w:qFormat/>
    <w:rsid w:val="00A54452"/>
    <w:pPr>
      <w:widowControl w:val="0"/>
      <w:autoSpaceDE w:val="0"/>
      <w:autoSpaceDN w:val="0"/>
      <w:spacing w:line="240" w:lineRule="auto"/>
      <w:ind w:left="1198" w:right="493" w:hanging="681"/>
    </w:pPr>
    <w:rPr>
      <w:rFonts w:ascii="Arial" w:eastAsia="Arial" w:hAnsi="Arial" w:cs="Arial"/>
      <w:sz w:val="22"/>
      <w:szCs w:val="22"/>
      <w:lang w:val="en-US"/>
    </w:rPr>
  </w:style>
  <w:style w:type="character" w:customStyle="1" w:styleId="Quote1Char">
    <w:name w:val="Quote1 Char"/>
    <w:basedOn w:val="DefaultParagraphFont"/>
    <w:link w:val="Quote1"/>
    <w:locked/>
    <w:rsid w:val="006479C8"/>
    <w:rPr>
      <w:sz w:val="22"/>
      <w:lang w:eastAsia="en-US"/>
    </w:rPr>
  </w:style>
  <w:style w:type="paragraph" w:customStyle="1" w:styleId="Default">
    <w:name w:val="Default"/>
    <w:rsid w:val="00367DF7"/>
    <w:pPr>
      <w:autoSpaceDE w:val="0"/>
      <w:autoSpaceDN w:val="0"/>
      <w:adjustRightInd w:val="0"/>
    </w:pPr>
    <w:rPr>
      <w:color w:val="000000"/>
      <w:sz w:val="24"/>
      <w:szCs w:val="24"/>
    </w:rPr>
  </w:style>
  <w:style w:type="paragraph" w:styleId="Revision">
    <w:name w:val="Revision"/>
    <w:hidden/>
    <w:uiPriority w:val="99"/>
    <w:semiHidden/>
    <w:rsid w:val="00772F54"/>
    <w:rPr>
      <w:sz w:val="24"/>
      <w:lang w:eastAsia="en-US"/>
    </w:rPr>
  </w:style>
  <w:style w:type="paragraph" w:customStyle="1" w:styleId="pf0">
    <w:name w:val="pf0"/>
    <w:basedOn w:val="Normal"/>
    <w:rsid w:val="00FF700A"/>
    <w:pPr>
      <w:spacing w:before="100" w:beforeAutospacing="1" w:after="100" w:afterAutospacing="1" w:line="240" w:lineRule="auto"/>
      <w:jc w:val="left"/>
    </w:pPr>
    <w:rPr>
      <w:rFonts w:eastAsia="Times New Roman"/>
      <w:szCs w:val="24"/>
      <w:lang w:eastAsia="en-AU"/>
    </w:rPr>
  </w:style>
  <w:style w:type="character" w:customStyle="1" w:styleId="cf01">
    <w:name w:val="cf01"/>
    <w:basedOn w:val="DefaultParagraphFont"/>
    <w:rsid w:val="00FF70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1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DA6F19AF243BF9E9F0F1E666A1032"/>
        <w:category>
          <w:name w:val="General"/>
          <w:gallery w:val="placeholder"/>
        </w:category>
        <w:types>
          <w:type w:val="bbPlcHdr"/>
        </w:types>
        <w:behaviors>
          <w:behavior w:val="content"/>
        </w:behaviors>
        <w:guid w:val="{7C26EF27-79D5-47AF-A4FA-D921611D949E}"/>
      </w:docPartPr>
      <w:docPartBody>
        <w:p w:rsidR="009A0E65" w:rsidRDefault="009A0E65">
          <w:pPr>
            <w:pStyle w:val="7E6DA6F19AF243BF9E9F0F1E666A1032"/>
          </w:pPr>
          <w:r>
            <w:rPr>
              <w:rStyle w:val="PlaceholderText"/>
            </w:rPr>
            <w:t>MNC Text</w:t>
          </w:r>
        </w:p>
      </w:docPartBody>
    </w:docPart>
    <w:docPart>
      <w:docPartPr>
        <w:name w:val="231B2672CE7543EF9B9D28B691B081EB"/>
        <w:category>
          <w:name w:val="General"/>
          <w:gallery w:val="placeholder"/>
        </w:category>
        <w:types>
          <w:type w:val="bbPlcHdr"/>
        </w:types>
        <w:behaviors>
          <w:behavior w:val="content"/>
        </w:behaviors>
        <w:guid w:val="{4FFA2233-0D4C-4071-8198-7C05B2E1FD3C}"/>
      </w:docPartPr>
      <w:docPartBody>
        <w:p w:rsidR="009A0E65" w:rsidRDefault="009A0E65">
          <w:pPr>
            <w:pStyle w:val="231B2672CE7543EF9B9D28B691B081EB"/>
          </w:pPr>
          <w:r w:rsidRPr="005C44BE">
            <w:rPr>
              <w:rStyle w:val="PlaceholderText"/>
            </w:rPr>
            <w:t>Click or tap here to enter text.</w:t>
          </w:r>
        </w:p>
      </w:docPartBody>
    </w:docPart>
    <w:docPart>
      <w:docPartPr>
        <w:name w:val="75A0F7E8E21947FEBE415EA71A91D64A"/>
        <w:category>
          <w:name w:val="General"/>
          <w:gallery w:val="placeholder"/>
        </w:category>
        <w:types>
          <w:type w:val="bbPlcHdr"/>
        </w:types>
        <w:behaviors>
          <w:behavior w:val="content"/>
        </w:behaviors>
        <w:guid w:val="{DFE737D5-7F1E-47D6-8EEC-9B41FC4732CD}"/>
      </w:docPartPr>
      <w:docPartBody>
        <w:p w:rsidR="009A0E65" w:rsidRDefault="009A0E65">
          <w:pPr>
            <w:pStyle w:val="75A0F7E8E21947FEBE415EA71A91D64A"/>
          </w:pPr>
          <w:r w:rsidRPr="005C44BE">
            <w:rPr>
              <w:rStyle w:val="PlaceholderText"/>
            </w:rPr>
            <w:t>Click or tap here to enter text.</w:t>
          </w:r>
        </w:p>
      </w:docPartBody>
    </w:docPart>
    <w:docPart>
      <w:docPartPr>
        <w:name w:val="170658A0F1074AEF86FA298CE852C646"/>
        <w:category>
          <w:name w:val="General"/>
          <w:gallery w:val="placeholder"/>
        </w:category>
        <w:types>
          <w:type w:val="bbPlcHdr"/>
        </w:types>
        <w:behaviors>
          <w:behavior w:val="content"/>
        </w:behaviors>
        <w:guid w:val="{87944A32-065D-43D2-8B7A-6E5C3D4D0413}"/>
      </w:docPartPr>
      <w:docPartBody>
        <w:p w:rsidR="009A0E65" w:rsidRDefault="009A0E65">
          <w:pPr>
            <w:pStyle w:val="170658A0F1074AEF86FA298CE852C646"/>
          </w:pPr>
          <w:r w:rsidRPr="005C44BE">
            <w:rPr>
              <w:rStyle w:val="PlaceholderText"/>
            </w:rPr>
            <w:t>Click or tap here to enter text.</w:t>
          </w:r>
        </w:p>
      </w:docPartBody>
    </w:docPart>
    <w:docPart>
      <w:docPartPr>
        <w:name w:val="2F06479B05454327ADF645A0B2F92F77"/>
        <w:category>
          <w:name w:val="General"/>
          <w:gallery w:val="placeholder"/>
        </w:category>
        <w:types>
          <w:type w:val="bbPlcHdr"/>
        </w:types>
        <w:behaviors>
          <w:behavior w:val="content"/>
        </w:behaviors>
        <w:guid w:val="{69D87DBE-8ED1-4F57-8D75-1B75DAB68E17}"/>
      </w:docPartPr>
      <w:docPartBody>
        <w:p w:rsidR="009A0E65" w:rsidRDefault="009A0E65">
          <w:pPr>
            <w:pStyle w:val="2F06479B05454327ADF645A0B2F92F7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65"/>
    <w:rsid w:val="00037D68"/>
    <w:rsid w:val="000B6441"/>
    <w:rsid w:val="003E11E9"/>
    <w:rsid w:val="00444A8C"/>
    <w:rsid w:val="004A20A6"/>
    <w:rsid w:val="006A18EA"/>
    <w:rsid w:val="00922A48"/>
    <w:rsid w:val="00971511"/>
    <w:rsid w:val="009A0E65"/>
    <w:rsid w:val="00AB0C79"/>
    <w:rsid w:val="00BD473B"/>
    <w:rsid w:val="00EC7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6DA6F19AF243BF9E9F0F1E666A1032">
    <w:name w:val="7E6DA6F19AF243BF9E9F0F1E666A1032"/>
  </w:style>
  <w:style w:type="paragraph" w:customStyle="1" w:styleId="231B2672CE7543EF9B9D28B691B081EB">
    <w:name w:val="231B2672CE7543EF9B9D28B691B081EB"/>
  </w:style>
  <w:style w:type="paragraph" w:customStyle="1" w:styleId="75A0F7E8E21947FEBE415EA71A91D64A">
    <w:name w:val="75A0F7E8E21947FEBE415EA71A91D64A"/>
  </w:style>
  <w:style w:type="paragraph" w:customStyle="1" w:styleId="170658A0F1074AEF86FA298CE852C646">
    <w:name w:val="170658A0F1074AEF86FA298CE852C646"/>
  </w:style>
  <w:style w:type="paragraph" w:customStyle="1" w:styleId="2F06479B05454327ADF645A0B2F92F77">
    <w:name w:val="2F06479B05454327ADF645A0B2F92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Buzadzic v Commissioner of Taxation [2024] FCAFC 50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24</Pages>
  <Words>10123</Words>
  <Characters>51685</Characters>
  <Application>Microsoft Office Word</Application>
  <DocSecurity>0</DocSecurity>
  <Lines>891</Lines>
  <Paragraphs>237</Paragraphs>
  <ScaleCrop>false</ScaleCrop>
  <HeadingPairs>
    <vt:vector size="2" baseType="variant">
      <vt:variant>
        <vt:lpstr>Title</vt:lpstr>
      </vt:variant>
      <vt:variant>
        <vt:i4>1</vt:i4>
      </vt:variant>
    </vt:vector>
  </HeadingPairs>
  <TitlesOfParts>
    <vt:vector size="1" baseType="lpstr">
      <vt:lpstr>Buzadzic v Commissioner of Taxation [2024] FCAFC 50   </vt:lpstr>
    </vt:vector>
  </TitlesOfParts>
  <Company>Federal Court of Australia</Company>
  <LinksUpToDate>false</LinksUpToDate>
  <CharactersWithSpaces>61571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Buzadzic v Commissioner of Taxation [2024] FCAFC 50</dc:title>
  <dc:creator>Sandra Casey</dc:creator>
  <dc:description>v1.3</dc:description>
  <cp:lastModifiedBy>Sandra Casey</cp:lastModifiedBy>
  <cp:revision>3</cp:revision>
  <cp:lastPrinted>2024-04-08T06:21:00Z</cp:lastPrinted>
  <dcterms:created xsi:type="dcterms:W3CDTF">2024-04-17T06:19:00Z</dcterms:created>
  <dcterms:modified xsi:type="dcterms:W3CDTF">2024-04-17T06:21:00Z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Melbourne</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Appeal Division</vt:lpwstr>
  </property>
  <property fmtid="{D5CDD505-2E9C-101B-9397-08002B2CF9AE}" pid="14" name="FileNo">
    <vt:lpwstr>&lt;FILE NO&gt;</vt:lpwstr>
  </property>
  <property fmtid="{D5CDD505-2E9C-101B-9397-08002B2CF9AE}" pid="15" name="Practice Area">
    <vt:lpwstr>Taxation</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Buzadzic v Commissioner of Taxation [2023] FCA 954</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