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6B2CB" w14:textId="7944FFD5" w:rsidR="004D7950" w:rsidRDefault="00AB3C33" w:rsidP="00877ECB">
      <w:pPr>
        <w:pStyle w:val="CourtTitle"/>
        <w:spacing w:line="480" w:lineRule="auto"/>
      </w:pPr>
      <w:r>
        <w:fldChar w:fldCharType="begin"/>
      </w:r>
      <w:r>
        <w:instrText xml:space="preserve"> DOCPROPERTY  Court  \* MERGEFORMAT </w:instrText>
      </w:r>
      <w:r>
        <w:fldChar w:fldCharType="separate"/>
      </w:r>
      <w:r w:rsidR="0014389F">
        <w:t>Federal Court of Australia</w:t>
      </w:r>
      <w:r>
        <w:fldChar w:fldCharType="end"/>
      </w:r>
    </w:p>
    <w:bookmarkStart w:id="0" w:name="MNC"/>
    <w:p w14:paraId="01260971" w14:textId="42CAE71E" w:rsidR="00374CC4" w:rsidRDefault="0086115E" w:rsidP="001A2B40">
      <w:pPr>
        <w:pStyle w:val="MNC"/>
      </w:pPr>
      <w:sdt>
        <w:sdtPr>
          <w:alias w:val="MNC"/>
          <w:tag w:val="MNC"/>
          <w:id w:val="343289786"/>
          <w:lock w:val="sdtLocked"/>
          <w:placeholder>
            <w:docPart w:val="D75715D221924E07811C517AB01300DC"/>
          </w:placeholder>
          <w:dataBinding w:prefixMappings="xmlns:ns0='http://schemas.globalmacros.com/FCA'" w:xpath="/ns0:root[1]/ns0:Name[1]" w:storeItemID="{687E7CCB-4AA5-44E7-B148-17BA2B6F57C0}"/>
          <w:text w:multiLine="1"/>
        </w:sdtPr>
        <w:sdtEndPr/>
        <w:sdtContent>
          <w:r w:rsidR="0081761B">
            <w:t>Commissioner of</w:t>
          </w:r>
          <w:r w:rsidR="000A6AE9">
            <w:t xml:space="preserve"> Patents v </w:t>
          </w:r>
          <w:proofErr w:type="spellStart"/>
          <w:r w:rsidR="000A6AE9">
            <w:t>Thaler</w:t>
          </w:r>
          <w:proofErr w:type="spellEnd"/>
          <w:r w:rsidR="000A6AE9">
            <w:t xml:space="preserve"> [2022] FCAFC 62</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14389F" w14:paraId="71923AFC" w14:textId="77777777" w:rsidTr="003D033E">
        <w:tc>
          <w:tcPr>
            <w:tcW w:w="3083" w:type="dxa"/>
            <w:shd w:val="clear" w:color="auto" w:fill="auto"/>
          </w:tcPr>
          <w:p w14:paraId="2B44D28C" w14:textId="77777777" w:rsidR="0014389F" w:rsidRDefault="0014389F" w:rsidP="002539B3">
            <w:pPr>
              <w:pStyle w:val="Normal1linespace"/>
              <w:widowControl w:val="0"/>
              <w:spacing w:after="60"/>
              <w:jc w:val="left"/>
            </w:pPr>
            <w:bookmarkStart w:id="1" w:name="AppealFrom_row" w:colFirst="0" w:colLast="1"/>
            <w:r>
              <w:t>Appeal from:</w:t>
            </w:r>
          </w:p>
        </w:tc>
        <w:tc>
          <w:tcPr>
            <w:tcW w:w="5990" w:type="dxa"/>
            <w:shd w:val="clear" w:color="auto" w:fill="auto"/>
          </w:tcPr>
          <w:p w14:paraId="0A4E1BEE" w14:textId="77777777" w:rsidR="0014389F" w:rsidRDefault="00952739" w:rsidP="002539B3">
            <w:pPr>
              <w:pStyle w:val="CasesLegislationAppealFrom"/>
              <w:spacing w:after="60"/>
            </w:pPr>
            <w:r>
              <w:fldChar w:fldCharType="begin"/>
            </w:r>
            <w:r>
              <w:instrText xml:space="preserve"> DOCPROPERTY  AppealFrom  \* MERGEFORMAT </w:instrText>
            </w:r>
            <w:r>
              <w:fldChar w:fldCharType="separate"/>
            </w:r>
            <w:proofErr w:type="spellStart"/>
            <w:r w:rsidR="0014389F" w:rsidRPr="00877ECB">
              <w:rPr>
                <w:i/>
              </w:rPr>
              <w:t>Thaler</w:t>
            </w:r>
            <w:proofErr w:type="spellEnd"/>
            <w:r w:rsidR="0014389F" w:rsidRPr="00877ECB">
              <w:rPr>
                <w:i/>
              </w:rPr>
              <w:t xml:space="preserve"> v Commissioner of Patents</w:t>
            </w:r>
            <w:r w:rsidR="0014389F">
              <w:t xml:space="preserve"> [2021] FCA 879</w:t>
            </w:r>
            <w:r>
              <w:fldChar w:fldCharType="end"/>
            </w:r>
          </w:p>
        </w:tc>
      </w:tr>
      <w:tr w:rsidR="0014389F" w14:paraId="3559CA3E" w14:textId="77777777" w:rsidTr="003D033E">
        <w:tc>
          <w:tcPr>
            <w:tcW w:w="3083" w:type="dxa"/>
            <w:shd w:val="clear" w:color="auto" w:fill="auto"/>
          </w:tcPr>
          <w:p w14:paraId="11EDBC9D" w14:textId="77777777" w:rsidR="0014389F" w:rsidRDefault="0014389F" w:rsidP="00663878">
            <w:pPr>
              <w:pStyle w:val="Normal1linespace"/>
              <w:widowControl w:val="0"/>
              <w:jc w:val="left"/>
            </w:pPr>
          </w:p>
        </w:tc>
        <w:tc>
          <w:tcPr>
            <w:tcW w:w="5990" w:type="dxa"/>
            <w:shd w:val="clear" w:color="auto" w:fill="auto"/>
          </w:tcPr>
          <w:p w14:paraId="686993D9" w14:textId="77777777" w:rsidR="0014389F" w:rsidRDefault="0014389F" w:rsidP="00663878">
            <w:pPr>
              <w:pStyle w:val="Normal1linespace"/>
              <w:widowControl w:val="0"/>
              <w:jc w:val="left"/>
            </w:pPr>
          </w:p>
        </w:tc>
      </w:tr>
      <w:bookmarkEnd w:id="1"/>
      <w:tr w:rsidR="00395B24" w14:paraId="494F9454" w14:textId="77777777" w:rsidTr="003D033E">
        <w:tc>
          <w:tcPr>
            <w:tcW w:w="3083" w:type="dxa"/>
            <w:shd w:val="clear" w:color="auto" w:fill="auto"/>
          </w:tcPr>
          <w:p w14:paraId="50B08144" w14:textId="31C8E3E2" w:rsidR="00395B24" w:rsidRDefault="002C7385" w:rsidP="0090022A">
            <w:pPr>
              <w:pStyle w:val="Normal1linespace"/>
              <w:widowControl w:val="0"/>
              <w:jc w:val="left"/>
            </w:pPr>
            <w:r>
              <w:t>File number:</w:t>
            </w:r>
          </w:p>
        </w:tc>
        <w:tc>
          <w:tcPr>
            <w:tcW w:w="5990" w:type="dxa"/>
            <w:shd w:val="clear" w:color="auto" w:fill="auto"/>
          </w:tcPr>
          <w:p w14:paraId="1E5BF841" w14:textId="77777777" w:rsidR="00395B24" w:rsidRPr="0014389F" w:rsidRDefault="0086115E" w:rsidP="0014389F">
            <w:pPr>
              <w:pStyle w:val="Normal1linespace"/>
              <w:jc w:val="left"/>
            </w:pPr>
            <w:r>
              <w:fldChar w:fldCharType="begin" w:fldLock="1"/>
            </w:r>
            <w:r>
              <w:instrText xml:space="preserve"> REF  FileNo  \* MERGEFORMAT </w:instrText>
            </w:r>
            <w:r>
              <w:fldChar w:fldCharType="separate"/>
            </w:r>
            <w:r w:rsidR="0014389F" w:rsidRPr="0014389F">
              <w:t>VID 496 of 2021</w:t>
            </w:r>
            <w:r>
              <w:fldChar w:fldCharType="end"/>
            </w:r>
          </w:p>
        </w:tc>
      </w:tr>
      <w:tr w:rsidR="00395B24" w14:paraId="6880DF76" w14:textId="77777777" w:rsidTr="003D033E">
        <w:tc>
          <w:tcPr>
            <w:tcW w:w="3083" w:type="dxa"/>
            <w:shd w:val="clear" w:color="auto" w:fill="auto"/>
          </w:tcPr>
          <w:p w14:paraId="0CFA35A2" w14:textId="77777777" w:rsidR="00395B24" w:rsidRDefault="00395B24" w:rsidP="00663878">
            <w:pPr>
              <w:pStyle w:val="Normal1linespace"/>
              <w:widowControl w:val="0"/>
              <w:jc w:val="left"/>
            </w:pPr>
          </w:p>
        </w:tc>
        <w:tc>
          <w:tcPr>
            <w:tcW w:w="5990" w:type="dxa"/>
            <w:shd w:val="clear" w:color="auto" w:fill="auto"/>
          </w:tcPr>
          <w:p w14:paraId="75E83687" w14:textId="77777777" w:rsidR="00395B24" w:rsidRDefault="00395B24" w:rsidP="00663878">
            <w:pPr>
              <w:pStyle w:val="Normal1linespace"/>
              <w:widowControl w:val="0"/>
              <w:jc w:val="left"/>
            </w:pPr>
          </w:p>
        </w:tc>
      </w:tr>
      <w:tr w:rsidR="00395B24" w14:paraId="7BA28670" w14:textId="77777777" w:rsidTr="003D033E">
        <w:tc>
          <w:tcPr>
            <w:tcW w:w="3083" w:type="dxa"/>
            <w:shd w:val="clear" w:color="auto" w:fill="auto"/>
          </w:tcPr>
          <w:p w14:paraId="3309ACFA"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153DB702" w14:textId="77777777" w:rsidR="00395B24" w:rsidRDefault="002C7385" w:rsidP="00663878">
            <w:pPr>
              <w:pStyle w:val="Normal1linespace"/>
              <w:widowControl w:val="0"/>
              <w:jc w:val="left"/>
              <w:rPr>
                <w:b/>
              </w:rPr>
            </w:pPr>
            <w:r w:rsidRPr="0014389F">
              <w:rPr>
                <w:b/>
              </w:rPr>
              <w:fldChar w:fldCharType="begin" w:fldLock="1"/>
            </w:r>
            <w:r w:rsidRPr="0014389F">
              <w:rPr>
                <w:b/>
              </w:rPr>
              <w:instrText xml:space="preserve"> REF  Judge  \* MERGEFORMAT </w:instrText>
            </w:r>
            <w:r w:rsidRPr="0014389F">
              <w:rPr>
                <w:b/>
              </w:rPr>
              <w:fldChar w:fldCharType="separate"/>
            </w:r>
            <w:r w:rsidR="0014389F" w:rsidRPr="0014389F">
              <w:rPr>
                <w:b/>
                <w:caps/>
                <w:szCs w:val="24"/>
              </w:rPr>
              <w:t>ALLSOP</w:t>
            </w:r>
            <w:r w:rsidR="0014389F">
              <w:rPr>
                <w:b/>
                <w:caps/>
                <w:szCs w:val="24"/>
              </w:rPr>
              <w:t xml:space="preserve"> CJ</w:t>
            </w:r>
            <w:r w:rsidR="0014389F" w:rsidRPr="0014389F">
              <w:rPr>
                <w:b/>
                <w:caps/>
                <w:szCs w:val="24"/>
              </w:rPr>
              <w:t>, NICHOLAS, YATES, MOSHINSKY AND BURLEY JJ</w:t>
            </w:r>
            <w:r w:rsidRPr="0014389F">
              <w:rPr>
                <w:b/>
              </w:rPr>
              <w:fldChar w:fldCharType="end"/>
            </w:r>
          </w:p>
        </w:tc>
      </w:tr>
      <w:tr w:rsidR="00395B24" w14:paraId="1B2D4209" w14:textId="77777777" w:rsidTr="003D033E">
        <w:tc>
          <w:tcPr>
            <w:tcW w:w="3083" w:type="dxa"/>
            <w:shd w:val="clear" w:color="auto" w:fill="auto"/>
          </w:tcPr>
          <w:p w14:paraId="250C782A" w14:textId="77777777" w:rsidR="00395B24" w:rsidRDefault="00395B24" w:rsidP="00663878">
            <w:pPr>
              <w:pStyle w:val="Normal1linespace"/>
              <w:widowControl w:val="0"/>
              <w:jc w:val="left"/>
            </w:pPr>
          </w:p>
        </w:tc>
        <w:tc>
          <w:tcPr>
            <w:tcW w:w="5990" w:type="dxa"/>
            <w:shd w:val="clear" w:color="auto" w:fill="auto"/>
          </w:tcPr>
          <w:p w14:paraId="6A6AB84D" w14:textId="77777777" w:rsidR="00395B24" w:rsidRDefault="00395B24" w:rsidP="00663878">
            <w:pPr>
              <w:pStyle w:val="Normal1linespace"/>
              <w:widowControl w:val="0"/>
              <w:jc w:val="left"/>
            </w:pPr>
          </w:p>
        </w:tc>
      </w:tr>
      <w:tr w:rsidR="00395B24" w14:paraId="52F7E77E" w14:textId="77777777" w:rsidTr="003D033E">
        <w:tc>
          <w:tcPr>
            <w:tcW w:w="3083" w:type="dxa"/>
            <w:shd w:val="clear" w:color="auto" w:fill="auto"/>
          </w:tcPr>
          <w:p w14:paraId="324B0180" w14:textId="77777777" w:rsidR="00395B24" w:rsidRDefault="002C7385" w:rsidP="00663878">
            <w:pPr>
              <w:pStyle w:val="Normal1linespace"/>
              <w:widowControl w:val="0"/>
              <w:jc w:val="left"/>
            </w:pPr>
            <w:r>
              <w:t>Date of judgment:</w:t>
            </w:r>
          </w:p>
        </w:tc>
        <w:tc>
          <w:tcPr>
            <w:tcW w:w="5990" w:type="dxa"/>
            <w:shd w:val="clear" w:color="auto" w:fill="auto"/>
          </w:tcPr>
          <w:p w14:paraId="0285681E" w14:textId="18281AFF" w:rsidR="00395B24" w:rsidRDefault="001B7F2F" w:rsidP="00663878">
            <w:pPr>
              <w:pStyle w:val="Normal1linespace"/>
              <w:widowControl w:val="0"/>
              <w:jc w:val="left"/>
            </w:pPr>
            <w:bookmarkStart w:id="2" w:name="JudgmentDate"/>
            <w:r>
              <w:t>13</w:t>
            </w:r>
            <w:r w:rsidR="0014389F">
              <w:t xml:space="preserve"> </w:t>
            </w:r>
            <w:r w:rsidR="004B69AB">
              <w:t xml:space="preserve">April </w:t>
            </w:r>
            <w:r w:rsidR="0014389F">
              <w:t>2022</w:t>
            </w:r>
            <w:bookmarkEnd w:id="2"/>
          </w:p>
        </w:tc>
      </w:tr>
      <w:tr w:rsidR="00395B24" w14:paraId="5213A4AD" w14:textId="77777777" w:rsidTr="003D033E">
        <w:tc>
          <w:tcPr>
            <w:tcW w:w="3083" w:type="dxa"/>
            <w:shd w:val="clear" w:color="auto" w:fill="auto"/>
          </w:tcPr>
          <w:p w14:paraId="0B78A725" w14:textId="77777777" w:rsidR="00395B24" w:rsidRDefault="00395B24" w:rsidP="00663878">
            <w:pPr>
              <w:pStyle w:val="Normal1linespace"/>
              <w:widowControl w:val="0"/>
              <w:jc w:val="left"/>
            </w:pPr>
          </w:p>
        </w:tc>
        <w:tc>
          <w:tcPr>
            <w:tcW w:w="5990" w:type="dxa"/>
            <w:shd w:val="clear" w:color="auto" w:fill="auto"/>
          </w:tcPr>
          <w:p w14:paraId="2EB0DCCE" w14:textId="77777777" w:rsidR="00395B24" w:rsidRDefault="00395B24" w:rsidP="00663878">
            <w:pPr>
              <w:pStyle w:val="Normal1linespace"/>
              <w:widowControl w:val="0"/>
              <w:jc w:val="left"/>
            </w:pPr>
          </w:p>
        </w:tc>
      </w:tr>
      <w:tr w:rsidR="00395B24" w14:paraId="1FCD9AFB" w14:textId="77777777" w:rsidTr="003D033E">
        <w:tc>
          <w:tcPr>
            <w:tcW w:w="3083" w:type="dxa"/>
            <w:shd w:val="clear" w:color="auto" w:fill="auto"/>
          </w:tcPr>
          <w:p w14:paraId="56A15285" w14:textId="77777777" w:rsidR="00395B24" w:rsidRDefault="002C7385" w:rsidP="00663878">
            <w:pPr>
              <w:pStyle w:val="Normal1linespace"/>
              <w:widowControl w:val="0"/>
              <w:jc w:val="left"/>
            </w:pPr>
            <w:r>
              <w:t>Catchwords:</w:t>
            </w:r>
          </w:p>
        </w:tc>
        <w:tc>
          <w:tcPr>
            <w:tcW w:w="5990" w:type="dxa"/>
            <w:shd w:val="clear" w:color="auto" w:fill="auto"/>
          </w:tcPr>
          <w:p w14:paraId="05E791B6" w14:textId="5EC36529" w:rsidR="00395B24" w:rsidRDefault="007D3014" w:rsidP="00E26AD2">
            <w:pPr>
              <w:pStyle w:val="Normal1linespace"/>
              <w:widowControl w:val="0"/>
              <w:jc w:val="left"/>
            </w:pPr>
            <w:bookmarkStart w:id="3" w:name="Catchwords"/>
            <w:r>
              <w:rPr>
                <w:b/>
              </w:rPr>
              <w:t>PATENTS</w:t>
            </w:r>
            <w:r>
              <w:t xml:space="preserve"> – </w:t>
            </w:r>
            <w:r w:rsidR="0090022A">
              <w:t xml:space="preserve">artificial intelligence – </w:t>
            </w:r>
            <w:r w:rsidR="003B4CCA">
              <w:t xml:space="preserve">where </w:t>
            </w:r>
            <w:r w:rsidR="003B4CCA">
              <w:rPr>
                <w:i/>
              </w:rPr>
              <w:t>Patents Regulations 1991</w:t>
            </w:r>
            <w:r w:rsidR="003B4CCA">
              <w:t xml:space="preserve"> (</w:t>
            </w:r>
            <w:proofErr w:type="spellStart"/>
            <w:r w:rsidR="003B4CCA">
              <w:t>Cth</w:t>
            </w:r>
            <w:proofErr w:type="spellEnd"/>
            <w:r w:rsidR="003B4CCA">
              <w:t>)</w:t>
            </w:r>
            <w:r w:rsidR="00A37D62">
              <w:t xml:space="preserve"> require name of the inventor to be provided in application </w:t>
            </w:r>
            <w:r w:rsidR="00E26AD2">
              <w:t xml:space="preserve">under the Patent Cooperation Treaty </w:t>
            </w:r>
            <w:r w:rsidR="00A37D62">
              <w:t>–</w:t>
            </w:r>
            <w:r w:rsidR="003B4CCA">
              <w:t xml:space="preserve"> </w:t>
            </w:r>
            <w:r w:rsidR="00563022">
              <w:t xml:space="preserve">where </w:t>
            </w:r>
            <w:r w:rsidR="00E26AD2">
              <w:t>patent</w:t>
            </w:r>
            <w:r w:rsidR="00563022">
              <w:t xml:space="preserve"> application </w:t>
            </w:r>
            <w:r w:rsidR="00D308EB">
              <w:t>named</w:t>
            </w:r>
            <w:r w:rsidR="006740AF">
              <w:t xml:space="preserve"> </w:t>
            </w:r>
            <w:r w:rsidR="003C5770">
              <w:t xml:space="preserve">DABUS, an </w:t>
            </w:r>
            <w:r w:rsidR="002235D0">
              <w:t>artificial intelligence machine</w:t>
            </w:r>
            <w:r w:rsidR="003C5770">
              <w:t>,</w:t>
            </w:r>
            <w:r w:rsidR="002235D0">
              <w:t xml:space="preserve"> as inventor </w:t>
            </w:r>
            <w:r w:rsidR="00FF0AD0">
              <w:t>–</w:t>
            </w:r>
            <w:r w:rsidR="002235D0">
              <w:t xml:space="preserve"> </w:t>
            </w:r>
            <w:r w:rsidR="003C5770">
              <w:t xml:space="preserve">where parties agreed that the invention described in the patent application </w:t>
            </w:r>
            <w:r w:rsidR="001D24F7">
              <w:t xml:space="preserve">was the </w:t>
            </w:r>
            <w:r w:rsidR="003C5770">
              <w:t xml:space="preserve">output of the process undertaken by DABUS </w:t>
            </w:r>
            <w:r w:rsidR="001D24F7">
              <w:t xml:space="preserve">– </w:t>
            </w:r>
            <w:r w:rsidR="0064206D">
              <w:t xml:space="preserve">where Deputy Commissioner of Patents determined that </w:t>
            </w:r>
            <w:r w:rsidR="00CB78C5">
              <w:t xml:space="preserve">patent application did not comply with </w:t>
            </w:r>
            <w:r w:rsidR="00CB78C5">
              <w:rPr>
                <w:i/>
              </w:rPr>
              <w:t>Patents Regulations</w:t>
            </w:r>
            <w:r w:rsidR="005477B8" w:rsidRPr="0023379B">
              <w:t xml:space="preserve"> </w:t>
            </w:r>
            <w:r w:rsidR="0064206D">
              <w:t xml:space="preserve">– </w:t>
            </w:r>
            <w:r w:rsidR="00356292">
              <w:t xml:space="preserve">where primary judge </w:t>
            </w:r>
            <w:r w:rsidR="0064206D">
              <w:t xml:space="preserve">set aside decision of Deputy Commissioner </w:t>
            </w:r>
            <w:r w:rsidR="00CA305C">
              <w:t>–</w:t>
            </w:r>
            <w:r w:rsidR="0064206D">
              <w:t xml:space="preserve"> </w:t>
            </w:r>
            <w:r w:rsidR="00C63224">
              <w:t xml:space="preserve">concept of “inventor” under the </w:t>
            </w:r>
            <w:r w:rsidR="0090022A" w:rsidRPr="0090022A">
              <w:rPr>
                <w:i/>
              </w:rPr>
              <w:t>Patents Act 1990</w:t>
            </w:r>
            <w:r w:rsidR="0090022A">
              <w:t xml:space="preserve"> (</w:t>
            </w:r>
            <w:proofErr w:type="spellStart"/>
            <w:r w:rsidR="0090022A">
              <w:t>Cth</w:t>
            </w:r>
            <w:proofErr w:type="spellEnd"/>
            <w:r w:rsidR="0090022A">
              <w:t xml:space="preserve">) </w:t>
            </w:r>
            <w:r w:rsidR="00C63224">
              <w:t>–</w:t>
            </w:r>
            <w:r w:rsidR="0090022A">
              <w:t xml:space="preserve"> </w:t>
            </w:r>
            <w:r w:rsidR="00720D79">
              <w:t xml:space="preserve">whether inventor must be a natural person </w:t>
            </w:r>
            <w:r w:rsidR="00C41597">
              <w:t>–</w:t>
            </w:r>
            <w:r w:rsidR="00720D79">
              <w:t xml:space="preserve"> </w:t>
            </w:r>
            <w:r w:rsidR="0070116A">
              <w:t xml:space="preserve">relationship between inventor and person entitled to </w:t>
            </w:r>
            <w:r w:rsidR="00C63224">
              <w:t xml:space="preserve">be granted a patent </w:t>
            </w:r>
            <w:r w:rsidR="00612DEE">
              <w:t>– appeal allowed</w:t>
            </w:r>
            <w:bookmarkEnd w:id="3"/>
            <w:r w:rsidR="0070116A">
              <w:t xml:space="preserve"> </w:t>
            </w:r>
          </w:p>
        </w:tc>
      </w:tr>
      <w:tr w:rsidR="00395B24" w14:paraId="0F6BAD25" w14:textId="77777777" w:rsidTr="003D033E">
        <w:tc>
          <w:tcPr>
            <w:tcW w:w="3083" w:type="dxa"/>
            <w:shd w:val="clear" w:color="auto" w:fill="auto"/>
          </w:tcPr>
          <w:p w14:paraId="2DBF5AF0" w14:textId="77777777" w:rsidR="00395B24" w:rsidRDefault="00395B24" w:rsidP="00663878">
            <w:pPr>
              <w:pStyle w:val="Normal1linespace"/>
              <w:widowControl w:val="0"/>
              <w:jc w:val="left"/>
            </w:pPr>
          </w:p>
        </w:tc>
        <w:tc>
          <w:tcPr>
            <w:tcW w:w="5990" w:type="dxa"/>
            <w:shd w:val="clear" w:color="auto" w:fill="auto"/>
          </w:tcPr>
          <w:p w14:paraId="2110752B" w14:textId="77777777" w:rsidR="00395B24" w:rsidRDefault="00395B24" w:rsidP="00663878">
            <w:pPr>
              <w:pStyle w:val="Normal1linespace"/>
              <w:widowControl w:val="0"/>
              <w:jc w:val="left"/>
            </w:pPr>
          </w:p>
        </w:tc>
      </w:tr>
      <w:tr w:rsidR="00395B24" w14:paraId="05AB7527" w14:textId="77777777" w:rsidTr="003D033E">
        <w:tc>
          <w:tcPr>
            <w:tcW w:w="3083" w:type="dxa"/>
            <w:shd w:val="clear" w:color="auto" w:fill="auto"/>
          </w:tcPr>
          <w:p w14:paraId="30DE1299" w14:textId="77777777" w:rsidR="00395B24" w:rsidRDefault="002C7385" w:rsidP="00663878">
            <w:pPr>
              <w:pStyle w:val="Normal1linespace"/>
              <w:widowControl w:val="0"/>
              <w:jc w:val="left"/>
            </w:pPr>
            <w:r>
              <w:t>Legislation:</w:t>
            </w:r>
          </w:p>
        </w:tc>
        <w:tc>
          <w:tcPr>
            <w:tcW w:w="5990" w:type="dxa"/>
            <w:shd w:val="clear" w:color="auto" w:fill="auto"/>
          </w:tcPr>
          <w:p w14:paraId="6FAC5104" w14:textId="77777777" w:rsidR="00716B6F" w:rsidRDefault="00716B6F" w:rsidP="002A5FE8">
            <w:pPr>
              <w:pStyle w:val="CasesLegislationAppealFrom"/>
              <w:spacing w:after="60"/>
            </w:pPr>
            <w:bookmarkStart w:id="4" w:name="Legislation"/>
            <w:r w:rsidRPr="00D32A29">
              <w:rPr>
                <w:i/>
              </w:rPr>
              <w:t>Constitution</w:t>
            </w:r>
            <w:r w:rsidRPr="00276C7E">
              <w:rPr>
                <w:i/>
              </w:rPr>
              <w:t xml:space="preserve"> </w:t>
            </w:r>
            <w:r w:rsidRPr="00276C7E">
              <w:t>s 51(xviii)</w:t>
            </w:r>
          </w:p>
          <w:p w14:paraId="60441D02" w14:textId="5FA8F42D" w:rsidR="002A5FE8" w:rsidRDefault="002A5FE8" w:rsidP="002A5FE8">
            <w:pPr>
              <w:pStyle w:val="CasesLegislationAppealFrom"/>
              <w:spacing w:after="60"/>
            </w:pPr>
            <w:r w:rsidRPr="00276C7E">
              <w:rPr>
                <w:i/>
              </w:rPr>
              <w:t xml:space="preserve">Acts Interpretation Act 1901 </w:t>
            </w:r>
            <w:r w:rsidRPr="00276C7E">
              <w:t>(</w:t>
            </w:r>
            <w:proofErr w:type="spellStart"/>
            <w:r w:rsidRPr="00276C7E">
              <w:t>Cth</w:t>
            </w:r>
            <w:proofErr w:type="spellEnd"/>
            <w:r w:rsidRPr="00276C7E">
              <w:t>)</w:t>
            </w:r>
            <w:r>
              <w:t xml:space="preserve"> </w:t>
            </w:r>
            <w:proofErr w:type="spellStart"/>
            <w:r>
              <w:t>ss</w:t>
            </w:r>
            <w:proofErr w:type="spellEnd"/>
            <w:r>
              <w:t xml:space="preserve"> 2(1), 2C, 15AA</w:t>
            </w:r>
          </w:p>
          <w:p w14:paraId="654B9584" w14:textId="77777777" w:rsidR="002A5FE8" w:rsidRDefault="002A5FE8" w:rsidP="002A5FE8">
            <w:pPr>
              <w:pStyle w:val="CasesLegislationAppealFrom"/>
              <w:spacing w:after="60"/>
            </w:pPr>
            <w:r w:rsidRPr="00276C7E">
              <w:rPr>
                <w:i/>
              </w:rPr>
              <w:t>Patents Act 1903</w:t>
            </w:r>
            <w:r>
              <w:t xml:space="preserve"> (</w:t>
            </w:r>
            <w:proofErr w:type="spellStart"/>
            <w:r>
              <w:t>Cth</w:t>
            </w:r>
            <w:proofErr w:type="spellEnd"/>
            <w:r>
              <w:t>) s32(2)</w:t>
            </w:r>
          </w:p>
          <w:p w14:paraId="1FB3E26A" w14:textId="77777777" w:rsidR="002A5FE8" w:rsidRDefault="002A5FE8" w:rsidP="002A5FE8">
            <w:pPr>
              <w:pStyle w:val="CasesLegislationAppealFrom"/>
              <w:spacing w:after="60"/>
            </w:pPr>
            <w:r w:rsidRPr="00276C7E">
              <w:rPr>
                <w:i/>
              </w:rPr>
              <w:t>Patents Act 1952</w:t>
            </w:r>
            <w:r w:rsidRPr="00276C7E">
              <w:t xml:space="preserve"> (</w:t>
            </w:r>
            <w:proofErr w:type="spellStart"/>
            <w:r w:rsidRPr="00276C7E">
              <w:t>Cth</w:t>
            </w:r>
            <w:proofErr w:type="spellEnd"/>
            <w:r w:rsidRPr="00276C7E">
              <w:t>)</w:t>
            </w:r>
            <w:r>
              <w:t xml:space="preserve"> s 34(1)</w:t>
            </w:r>
          </w:p>
          <w:p w14:paraId="5301C0D7" w14:textId="77777777" w:rsidR="002A5FE8" w:rsidRPr="00276C7E" w:rsidRDefault="002A5FE8" w:rsidP="002A5FE8">
            <w:pPr>
              <w:pStyle w:val="CasesLegislationAppealFrom"/>
              <w:spacing w:after="60"/>
            </w:pPr>
            <w:r w:rsidRPr="00276C7E">
              <w:rPr>
                <w:i/>
              </w:rPr>
              <w:t>Patents Act</w:t>
            </w:r>
            <w:r w:rsidRPr="00276C7E">
              <w:rPr>
                <w:b/>
                <w:i/>
              </w:rPr>
              <w:t xml:space="preserve"> </w:t>
            </w:r>
            <w:r w:rsidRPr="00276C7E">
              <w:rPr>
                <w:i/>
              </w:rPr>
              <w:t>1990</w:t>
            </w:r>
            <w:r w:rsidRPr="00276C7E">
              <w:t xml:space="preserve"> (</w:t>
            </w:r>
            <w:proofErr w:type="spellStart"/>
            <w:r w:rsidRPr="00276C7E">
              <w:t>Cth</w:t>
            </w:r>
            <w:proofErr w:type="spellEnd"/>
            <w:r w:rsidRPr="00276C7E">
              <w:t>)</w:t>
            </w:r>
            <w:r>
              <w:t xml:space="preserve"> </w:t>
            </w:r>
            <w:proofErr w:type="spellStart"/>
            <w:r>
              <w:t>ss</w:t>
            </w:r>
            <w:proofErr w:type="spellEnd"/>
            <w:r>
              <w:t xml:space="preserve"> 2A, 13, 14, 15, 29, 29A, 31, 32, 33, 34, 36, 45, 49, 59, 64(2)(a), 101B(2), 101E(1) 113, 138, 172, 182, 188, </w:t>
            </w:r>
            <w:proofErr w:type="spellStart"/>
            <w:r>
              <w:t>sch</w:t>
            </w:r>
            <w:proofErr w:type="spellEnd"/>
            <w:r>
              <w:t xml:space="preserve"> 1</w:t>
            </w:r>
          </w:p>
          <w:p w14:paraId="65FBD721" w14:textId="77777777" w:rsidR="002A5FE8" w:rsidRPr="00276C7E" w:rsidRDefault="002A5FE8" w:rsidP="002A5FE8">
            <w:pPr>
              <w:pStyle w:val="CasesLegislationAppealFrom"/>
              <w:spacing w:after="60"/>
            </w:pPr>
            <w:r w:rsidRPr="00276C7E">
              <w:rPr>
                <w:i/>
              </w:rPr>
              <w:t>Patents Regulations 1991</w:t>
            </w:r>
            <w:r w:rsidRPr="00276C7E">
              <w:t xml:space="preserve"> (</w:t>
            </w:r>
            <w:proofErr w:type="spellStart"/>
            <w:r w:rsidRPr="00276C7E">
              <w:t>Cth</w:t>
            </w:r>
            <w:proofErr w:type="spellEnd"/>
            <w:r w:rsidRPr="00276C7E">
              <w:t>)</w:t>
            </w:r>
            <w:r>
              <w:t xml:space="preserve"> </w:t>
            </w:r>
            <w:proofErr w:type="spellStart"/>
            <w:r>
              <w:t>reg</w:t>
            </w:r>
            <w:proofErr w:type="spellEnd"/>
            <w:r>
              <w:t xml:space="preserve"> 3.1A, </w:t>
            </w:r>
            <w:r w:rsidRPr="00276C7E">
              <w:t>3.2C</w:t>
            </w:r>
            <w:r>
              <w:t>, 3.2C(2)(aa), 3.18(2)(a)(</w:t>
            </w:r>
            <w:proofErr w:type="spellStart"/>
            <w:r>
              <w:t>i</w:t>
            </w:r>
            <w:proofErr w:type="spellEnd"/>
            <w:r>
              <w:t>),</w:t>
            </w:r>
            <w:r w:rsidRPr="00276C7E">
              <w:t xml:space="preserve"> 3.18(2)(f)</w:t>
            </w:r>
          </w:p>
          <w:p w14:paraId="09790926" w14:textId="53F9FAEC" w:rsidR="002A5FE8" w:rsidRDefault="00716B6F" w:rsidP="002A5FE8">
            <w:pPr>
              <w:pStyle w:val="CasesLegislationAppealFrom"/>
              <w:spacing w:after="60"/>
            </w:pPr>
            <w:r w:rsidRPr="00276C7E">
              <w:rPr>
                <w:i/>
              </w:rPr>
              <w:t xml:space="preserve">Statute of Monopolies 1624 </w:t>
            </w:r>
            <w:r w:rsidRPr="00276C7E">
              <w:t xml:space="preserve">(21 </w:t>
            </w:r>
            <w:proofErr w:type="spellStart"/>
            <w:r w:rsidRPr="00276C7E">
              <w:t>Jac</w:t>
            </w:r>
            <w:proofErr w:type="spellEnd"/>
            <w:r w:rsidRPr="00276C7E">
              <w:t xml:space="preserve"> c 3)</w:t>
            </w:r>
            <w:r>
              <w:t xml:space="preserve"> s 6</w:t>
            </w:r>
          </w:p>
          <w:p w14:paraId="381C1E2E" w14:textId="77777777" w:rsidR="00716B6F" w:rsidRDefault="00716B6F" w:rsidP="002A5FE8">
            <w:pPr>
              <w:pStyle w:val="CasesLegislationAppealFrom"/>
              <w:spacing w:after="60"/>
            </w:pPr>
          </w:p>
          <w:p w14:paraId="0360A976" w14:textId="77777777" w:rsidR="002A5FE8" w:rsidRPr="00276C7E" w:rsidRDefault="002A5FE8" w:rsidP="002A5FE8">
            <w:pPr>
              <w:pStyle w:val="CasesLegislationAppealFrom"/>
              <w:spacing w:after="60"/>
            </w:pPr>
            <w:r w:rsidRPr="00566CCD">
              <w:t>Blackstone’s</w:t>
            </w:r>
            <w:r w:rsidRPr="00276C7E">
              <w:rPr>
                <w:i/>
              </w:rPr>
              <w:t xml:space="preserve"> Commentaries of the Laws of England</w:t>
            </w:r>
            <w:r w:rsidRPr="00276C7E">
              <w:t xml:space="preserve"> (Clarendon Press, Book 2, 1766)</w:t>
            </w:r>
          </w:p>
          <w:p w14:paraId="2E51BF41" w14:textId="77777777" w:rsidR="002A5FE8" w:rsidRPr="00276C7E" w:rsidRDefault="002A5FE8" w:rsidP="002A5FE8">
            <w:pPr>
              <w:pStyle w:val="CasesLegislationAppealFrom"/>
              <w:spacing w:after="60"/>
            </w:pPr>
            <w:r w:rsidRPr="00276C7E">
              <w:t>Explanatory Memorandum</w:t>
            </w:r>
            <w:r>
              <w:t>,</w:t>
            </w:r>
            <w:r w:rsidRPr="00566CCD">
              <w:t xml:space="preserve"> Intellectual Property Laws Amendment (Productivity Commission Response Part 2 and other Measures) Bill 2019</w:t>
            </w:r>
            <w:r w:rsidRPr="00276C7E">
              <w:t xml:space="preserve"> (</w:t>
            </w:r>
            <w:proofErr w:type="spellStart"/>
            <w:r w:rsidRPr="00276C7E">
              <w:t>Cth</w:t>
            </w:r>
            <w:proofErr w:type="spellEnd"/>
            <w:r w:rsidRPr="00276C7E">
              <w:t>)</w:t>
            </w:r>
          </w:p>
          <w:p w14:paraId="1122DA9C" w14:textId="77777777" w:rsidR="002A5FE8" w:rsidRPr="00276C7E" w:rsidRDefault="002A5FE8" w:rsidP="002A5FE8">
            <w:pPr>
              <w:pStyle w:val="CasesLegislationAppealFrom"/>
              <w:spacing w:after="60"/>
            </w:pPr>
            <w:r w:rsidRPr="00566CCD">
              <w:t>Explanatory Memorandum</w:t>
            </w:r>
            <w:r>
              <w:t>,</w:t>
            </w:r>
            <w:r w:rsidRPr="00276C7E">
              <w:t xml:space="preserve"> </w:t>
            </w:r>
            <w:r w:rsidRPr="00566CCD">
              <w:t>Patents Bill 1989</w:t>
            </w:r>
            <w:r w:rsidRPr="00276C7E">
              <w:t xml:space="preserve"> (</w:t>
            </w:r>
            <w:proofErr w:type="spellStart"/>
            <w:r w:rsidRPr="00276C7E">
              <w:t>Cth</w:t>
            </w:r>
            <w:proofErr w:type="spellEnd"/>
            <w:r w:rsidRPr="00276C7E">
              <w:t>)</w:t>
            </w:r>
          </w:p>
          <w:p w14:paraId="01295CC8" w14:textId="77777777" w:rsidR="002A5FE8" w:rsidRPr="00276C7E" w:rsidRDefault="002A5FE8" w:rsidP="002A5FE8">
            <w:pPr>
              <w:pStyle w:val="CasesLegislationAppealFrom"/>
              <w:spacing w:after="60"/>
              <w:rPr>
                <w:i/>
              </w:rPr>
            </w:pPr>
            <w:r>
              <w:t xml:space="preserve">Explanatory Statement, </w:t>
            </w:r>
            <w:r w:rsidRPr="00276C7E">
              <w:rPr>
                <w:i/>
              </w:rPr>
              <w:t xml:space="preserve">Select Legislative Instrument No. </w:t>
            </w:r>
            <w:r w:rsidRPr="00276C7E">
              <w:rPr>
                <w:i/>
              </w:rPr>
              <w:lastRenderedPageBreak/>
              <w:t>88, 2015</w:t>
            </w:r>
          </w:p>
          <w:p w14:paraId="2AD90A6C" w14:textId="77777777" w:rsidR="002A5FE8" w:rsidRDefault="002A5FE8" w:rsidP="002A5FE8">
            <w:pPr>
              <w:pStyle w:val="CasesLegislationAppealFrom"/>
              <w:spacing w:after="60"/>
            </w:pPr>
            <w:proofErr w:type="spellStart"/>
            <w:r w:rsidRPr="00276C7E">
              <w:t>Hindmarch</w:t>
            </w:r>
            <w:proofErr w:type="spellEnd"/>
            <w:r w:rsidRPr="00276C7E">
              <w:t xml:space="preserve">, </w:t>
            </w:r>
            <w:r w:rsidRPr="00276C7E">
              <w:rPr>
                <w:i/>
              </w:rPr>
              <w:t>The Law Relating to Patents</w:t>
            </w:r>
            <w:r w:rsidRPr="00276C7E">
              <w:t xml:space="preserve"> (1846)</w:t>
            </w:r>
          </w:p>
          <w:p w14:paraId="637199B0" w14:textId="77777777" w:rsidR="002A5FE8" w:rsidRPr="00276C7E" w:rsidRDefault="002A5FE8" w:rsidP="002A5FE8">
            <w:pPr>
              <w:pStyle w:val="CasesLegislationAppealFrom"/>
              <w:spacing w:after="60"/>
              <w:rPr>
                <w:i/>
              </w:rPr>
            </w:pPr>
            <w:r w:rsidRPr="00276C7E">
              <w:t>Industr</w:t>
            </w:r>
            <w:r>
              <w:t xml:space="preserve">ial Property Advisory Committee (1984) </w:t>
            </w:r>
            <w:r w:rsidRPr="00211607">
              <w:rPr>
                <w:i/>
              </w:rPr>
              <w:t>Patents, Innovation and Competition in Australia</w:t>
            </w:r>
            <w:r w:rsidRPr="006D3DFB">
              <w:rPr>
                <w:i/>
              </w:rPr>
              <w:t>: a report to the Hon. Barry O. Jones, MP, Minister for Science and Technology, 29 August 1984</w:t>
            </w:r>
            <w:r w:rsidRPr="00211607">
              <w:t xml:space="preserve"> </w:t>
            </w:r>
          </w:p>
          <w:p w14:paraId="527C4D39" w14:textId="1821F315" w:rsidR="00276C7E" w:rsidRPr="00276C7E" w:rsidRDefault="002A5FE8" w:rsidP="002A5FE8">
            <w:pPr>
              <w:pStyle w:val="CasesLegislationAppealFrom"/>
              <w:spacing w:after="60"/>
            </w:pPr>
            <w:r>
              <w:t xml:space="preserve">Terrell, T, Terrell C, Jones JR, </w:t>
            </w:r>
            <w:r w:rsidRPr="00276C7E">
              <w:rPr>
                <w:i/>
              </w:rPr>
              <w:t>Terrell on the Law of Patents</w:t>
            </w:r>
            <w:r w:rsidRPr="00276C7E">
              <w:t xml:space="preserve"> (8</w:t>
            </w:r>
            <w:r w:rsidRPr="00276C7E">
              <w:rPr>
                <w:vertAlign w:val="superscript"/>
              </w:rPr>
              <w:t>th</w:t>
            </w:r>
            <w:r w:rsidRPr="00276C7E">
              <w:t xml:space="preserve"> </w:t>
            </w:r>
            <w:proofErr w:type="spellStart"/>
            <w:r w:rsidRPr="00276C7E">
              <w:t>ed</w:t>
            </w:r>
            <w:proofErr w:type="spellEnd"/>
            <w:r w:rsidRPr="00276C7E">
              <w:t>, Sweet &amp; Maxwell, London, 1934</w:t>
            </w:r>
            <w:r w:rsidR="00276C7E" w:rsidRPr="00276C7E">
              <w:t>)</w:t>
            </w:r>
            <w:bookmarkEnd w:id="4"/>
          </w:p>
        </w:tc>
      </w:tr>
      <w:tr w:rsidR="00395B24" w14:paraId="0CE61F36" w14:textId="77777777" w:rsidTr="003D033E">
        <w:tc>
          <w:tcPr>
            <w:tcW w:w="3083" w:type="dxa"/>
            <w:shd w:val="clear" w:color="auto" w:fill="auto"/>
          </w:tcPr>
          <w:p w14:paraId="1DBA0CCC" w14:textId="77777777" w:rsidR="00395B24" w:rsidRDefault="00395B24" w:rsidP="00663878">
            <w:pPr>
              <w:pStyle w:val="Normal1linespace"/>
              <w:widowControl w:val="0"/>
              <w:jc w:val="left"/>
            </w:pPr>
          </w:p>
        </w:tc>
        <w:tc>
          <w:tcPr>
            <w:tcW w:w="5990" w:type="dxa"/>
            <w:shd w:val="clear" w:color="auto" w:fill="auto"/>
          </w:tcPr>
          <w:p w14:paraId="0589A75C" w14:textId="77777777" w:rsidR="00395B24" w:rsidRDefault="00395B24" w:rsidP="00663878">
            <w:pPr>
              <w:pStyle w:val="Normal1linespace"/>
              <w:widowControl w:val="0"/>
              <w:jc w:val="left"/>
            </w:pPr>
          </w:p>
        </w:tc>
      </w:tr>
      <w:tr w:rsidR="00395B24" w14:paraId="11D55BA6" w14:textId="77777777" w:rsidTr="003D033E">
        <w:tc>
          <w:tcPr>
            <w:tcW w:w="3083" w:type="dxa"/>
            <w:shd w:val="clear" w:color="auto" w:fill="auto"/>
          </w:tcPr>
          <w:p w14:paraId="7348033A" w14:textId="77777777" w:rsidR="00395B24" w:rsidRDefault="002C7385" w:rsidP="00663878">
            <w:pPr>
              <w:pStyle w:val="Normal1linespace"/>
              <w:widowControl w:val="0"/>
              <w:jc w:val="left"/>
            </w:pPr>
            <w:r>
              <w:t>Cases cited:</w:t>
            </w:r>
          </w:p>
        </w:tc>
        <w:tc>
          <w:tcPr>
            <w:tcW w:w="5990" w:type="dxa"/>
            <w:shd w:val="clear" w:color="auto" w:fill="auto"/>
          </w:tcPr>
          <w:p w14:paraId="07BC5AFA" w14:textId="77777777" w:rsidR="002A5FE8" w:rsidRPr="00D72A99" w:rsidRDefault="002A5FE8" w:rsidP="002A5FE8">
            <w:pPr>
              <w:pStyle w:val="CasesLegislationAppealFrom"/>
              <w:spacing w:after="60"/>
            </w:pPr>
            <w:bookmarkStart w:id="5" w:name="Cases_Cited"/>
            <w:r w:rsidRPr="00D72A99">
              <w:rPr>
                <w:i/>
              </w:rPr>
              <w:t xml:space="preserve">Alcan (NT) Alumina Pty Ltd v Commissioner of Territory Revenue (Northern Territory) </w:t>
            </w:r>
            <w:r w:rsidRPr="00D72A99">
              <w:t>[2009] HCA 41; 239 CLR 27</w:t>
            </w:r>
          </w:p>
          <w:p w14:paraId="5FFADD45" w14:textId="77777777" w:rsidR="002A5FE8" w:rsidRPr="00D72A99" w:rsidRDefault="002A5FE8" w:rsidP="002A5FE8">
            <w:pPr>
              <w:pStyle w:val="CasesLegislationAppealFrom"/>
              <w:spacing w:after="60"/>
            </w:pPr>
            <w:proofErr w:type="spellStart"/>
            <w:r w:rsidRPr="00D72A99">
              <w:rPr>
                <w:i/>
              </w:rPr>
              <w:t>Alphapharm</w:t>
            </w:r>
            <w:proofErr w:type="spellEnd"/>
            <w:r w:rsidRPr="00D72A99">
              <w:rPr>
                <w:i/>
              </w:rPr>
              <w:t xml:space="preserve"> Pty Ltd v </w:t>
            </w:r>
            <w:proofErr w:type="spellStart"/>
            <w:r w:rsidRPr="00D72A99">
              <w:rPr>
                <w:i/>
              </w:rPr>
              <w:t>Lundbeck</w:t>
            </w:r>
            <w:proofErr w:type="spellEnd"/>
            <w:r w:rsidRPr="00D72A99">
              <w:rPr>
                <w:i/>
              </w:rPr>
              <w:t xml:space="preserve"> A/S </w:t>
            </w:r>
            <w:r w:rsidRPr="00D72A99">
              <w:t>[2014] HCA 42; 254 CLR 247</w:t>
            </w:r>
          </w:p>
          <w:p w14:paraId="36077F9A" w14:textId="77777777" w:rsidR="002A5FE8" w:rsidRPr="00D72A99" w:rsidRDefault="002A5FE8" w:rsidP="002A5FE8">
            <w:pPr>
              <w:pStyle w:val="CasesLegislationAppealFrom"/>
              <w:spacing w:after="60"/>
            </w:pPr>
            <w:r w:rsidRPr="00D72A99">
              <w:rPr>
                <w:i/>
              </w:rPr>
              <w:t xml:space="preserve">Atlantis Corporation v Schindler </w:t>
            </w:r>
            <w:r w:rsidRPr="00D72A99">
              <w:t>[1997] FCA 1105; 39 IPR 29</w:t>
            </w:r>
          </w:p>
          <w:p w14:paraId="58B70120" w14:textId="77777777" w:rsidR="002A5FE8" w:rsidRPr="00D72A99" w:rsidRDefault="002A5FE8" w:rsidP="002A5FE8">
            <w:pPr>
              <w:pStyle w:val="CasesLegislationAppealFrom"/>
              <w:spacing w:after="60"/>
            </w:pPr>
            <w:r w:rsidRPr="00D72A99">
              <w:rPr>
                <w:i/>
              </w:rPr>
              <w:t xml:space="preserve">D’Arcy v Myriad Genetics </w:t>
            </w:r>
            <w:proofErr w:type="spellStart"/>
            <w:r w:rsidRPr="00D72A99">
              <w:rPr>
                <w:i/>
              </w:rPr>
              <w:t>Inc</w:t>
            </w:r>
            <w:proofErr w:type="spellEnd"/>
            <w:r w:rsidRPr="00D72A99">
              <w:rPr>
                <w:i/>
              </w:rPr>
              <w:t xml:space="preserve"> </w:t>
            </w:r>
            <w:r w:rsidRPr="00D72A99">
              <w:t>[2015] HCA 35; 258 CLR 334</w:t>
            </w:r>
          </w:p>
          <w:p w14:paraId="7FB2FBB8" w14:textId="77777777" w:rsidR="002A5FE8" w:rsidRPr="00D72A99" w:rsidRDefault="002A5FE8" w:rsidP="002A5FE8">
            <w:pPr>
              <w:pStyle w:val="CasesLegislationAppealFrom"/>
              <w:spacing w:after="60"/>
            </w:pPr>
            <w:r w:rsidRPr="00D72A99">
              <w:rPr>
                <w:i/>
              </w:rPr>
              <w:t xml:space="preserve">Deal v Father Pius </w:t>
            </w:r>
            <w:proofErr w:type="spellStart"/>
            <w:r w:rsidRPr="00D72A99">
              <w:rPr>
                <w:i/>
              </w:rPr>
              <w:t>Kodakkathanath</w:t>
            </w:r>
            <w:proofErr w:type="spellEnd"/>
            <w:r w:rsidRPr="00D72A99">
              <w:rPr>
                <w:i/>
              </w:rPr>
              <w:t xml:space="preserve"> </w:t>
            </w:r>
            <w:r w:rsidRPr="00D72A99">
              <w:t>[2016] HCA 31; 258 CLR 281</w:t>
            </w:r>
          </w:p>
          <w:p w14:paraId="106FAC8B" w14:textId="77777777" w:rsidR="002A5FE8" w:rsidRPr="00D72A99" w:rsidRDefault="002A5FE8" w:rsidP="002A5FE8">
            <w:pPr>
              <w:pStyle w:val="CasesLegislationAppealFrom"/>
              <w:spacing w:after="60"/>
            </w:pPr>
            <w:r w:rsidRPr="00D72A99">
              <w:rPr>
                <w:i/>
              </w:rPr>
              <w:t xml:space="preserve">Dunlop v Cooper </w:t>
            </w:r>
            <w:r w:rsidRPr="00D72A99">
              <w:t>[1908] HCA 67;</w:t>
            </w:r>
            <w:r w:rsidRPr="00D72A99">
              <w:rPr>
                <w:i/>
              </w:rPr>
              <w:t xml:space="preserve"> </w:t>
            </w:r>
            <w:r w:rsidRPr="00D72A99">
              <w:t>7 CLR 146</w:t>
            </w:r>
          </w:p>
          <w:p w14:paraId="273B1D26" w14:textId="77777777" w:rsidR="002A5FE8" w:rsidRPr="00D72A99" w:rsidRDefault="002A5FE8" w:rsidP="002A5FE8">
            <w:pPr>
              <w:pStyle w:val="CasesLegislationAppealFrom"/>
              <w:spacing w:after="60"/>
            </w:pPr>
            <w:r w:rsidRPr="00D72A99">
              <w:rPr>
                <w:i/>
              </w:rPr>
              <w:t xml:space="preserve">JMVB Enterprises Pty Ltd v </w:t>
            </w:r>
            <w:proofErr w:type="spellStart"/>
            <w:r w:rsidRPr="00D72A99">
              <w:rPr>
                <w:i/>
              </w:rPr>
              <w:t>Camoflag</w:t>
            </w:r>
            <w:proofErr w:type="spellEnd"/>
            <w:r w:rsidRPr="00D72A99">
              <w:rPr>
                <w:i/>
              </w:rPr>
              <w:t xml:space="preserve"> Pty Ltd</w:t>
            </w:r>
            <w:r w:rsidRPr="00D72A99">
              <w:t xml:space="preserve"> [2005] FCA 1474; 67 IPR 68</w:t>
            </w:r>
          </w:p>
          <w:p w14:paraId="21DA0DAD" w14:textId="77777777" w:rsidR="002A5FE8" w:rsidRPr="00D72A99" w:rsidRDefault="002A5FE8" w:rsidP="002A5FE8">
            <w:pPr>
              <w:pStyle w:val="CasesLegislationAppealFrom"/>
              <w:spacing w:after="60"/>
            </w:pPr>
            <w:r w:rsidRPr="00D72A99">
              <w:rPr>
                <w:i/>
              </w:rPr>
              <w:t xml:space="preserve">JMVB Enterprises Pty Ltd v </w:t>
            </w:r>
            <w:proofErr w:type="spellStart"/>
            <w:r w:rsidRPr="00D72A99">
              <w:rPr>
                <w:i/>
              </w:rPr>
              <w:t>Camoflag</w:t>
            </w:r>
            <w:proofErr w:type="spellEnd"/>
            <w:r w:rsidRPr="00D72A99">
              <w:rPr>
                <w:i/>
              </w:rPr>
              <w:t xml:space="preserve"> Pty Ltd </w:t>
            </w:r>
            <w:r w:rsidRPr="00D72A99">
              <w:t>[2006] FCAFC 141; 154 FCR 348</w:t>
            </w:r>
          </w:p>
          <w:p w14:paraId="454B7BA4" w14:textId="77777777" w:rsidR="002A5FE8" w:rsidRPr="00D72A99" w:rsidRDefault="002A5FE8" w:rsidP="002A5FE8">
            <w:pPr>
              <w:pStyle w:val="CasesLegislationAppealFrom"/>
              <w:spacing w:after="60"/>
            </w:pPr>
            <w:proofErr w:type="spellStart"/>
            <w:r w:rsidRPr="00D72A99">
              <w:rPr>
                <w:i/>
              </w:rPr>
              <w:t>Kafataris</w:t>
            </w:r>
            <w:proofErr w:type="spellEnd"/>
            <w:r w:rsidRPr="00D72A99">
              <w:rPr>
                <w:i/>
              </w:rPr>
              <w:t xml:space="preserve"> v Davis </w:t>
            </w:r>
            <w:r w:rsidRPr="00D72A99">
              <w:t>[2016] FCAFC 134; 120 IPR 206</w:t>
            </w:r>
          </w:p>
          <w:p w14:paraId="7BD31B97" w14:textId="77777777" w:rsidR="002A5FE8" w:rsidRPr="00D72A99" w:rsidRDefault="002A5FE8" w:rsidP="002A5FE8">
            <w:pPr>
              <w:pStyle w:val="CasesLegislationAppealFrom"/>
              <w:spacing w:after="60"/>
            </w:pPr>
            <w:r w:rsidRPr="00D72A99">
              <w:rPr>
                <w:i/>
              </w:rPr>
              <w:t xml:space="preserve">Kimberly-Clark Australia Pty Ltd v </w:t>
            </w:r>
            <w:proofErr w:type="spellStart"/>
            <w:r w:rsidRPr="00D72A99">
              <w:rPr>
                <w:i/>
              </w:rPr>
              <w:t>Arico</w:t>
            </w:r>
            <w:proofErr w:type="spellEnd"/>
            <w:r w:rsidRPr="00D72A99">
              <w:rPr>
                <w:i/>
              </w:rPr>
              <w:t xml:space="preserve"> Trading International Pty Ltd</w:t>
            </w:r>
            <w:r w:rsidRPr="00D72A99">
              <w:t xml:space="preserve"> [2001] HCA 8; 207 CLR 1</w:t>
            </w:r>
          </w:p>
          <w:p w14:paraId="6CD667F7" w14:textId="77777777" w:rsidR="002A5FE8" w:rsidRPr="00D72A99" w:rsidRDefault="002A5FE8" w:rsidP="002A5FE8">
            <w:pPr>
              <w:pStyle w:val="CasesLegislationAppealFrom"/>
              <w:spacing w:after="60"/>
            </w:pPr>
            <w:r w:rsidRPr="00D72A99">
              <w:rPr>
                <w:i/>
              </w:rPr>
              <w:t xml:space="preserve">Marsden v The Saville Street Foundry and Engineering Co Ltd </w:t>
            </w:r>
            <w:r w:rsidRPr="00D72A99">
              <w:t>(1878) 3 Ex D 203</w:t>
            </w:r>
          </w:p>
          <w:p w14:paraId="785F4F29" w14:textId="77777777" w:rsidR="002A5FE8" w:rsidRPr="00276C7E" w:rsidRDefault="002A5FE8" w:rsidP="002A5FE8">
            <w:pPr>
              <w:pStyle w:val="CasesLegislationAppealFrom"/>
              <w:spacing w:after="60"/>
            </w:pPr>
            <w:r w:rsidRPr="00D72A99">
              <w:rPr>
                <w:i/>
              </w:rPr>
              <w:t xml:space="preserve">Miller v Miller </w:t>
            </w:r>
            <w:r w:rsidRPr="00D72A99">
              <w:t>[2011] HCA 9; 242 CLR 446</w:t>
            </w:r>
          </w:p>
          <w:p w14:paraId="7B6CCF67" w14:textId="77777777" w:rsidR="002A5FE8" w:rsidRPr="00D72A99" w:rsidRDefault="002A5FE8" w:rsidP="002A5FE8">
            <w:pPr>
              <w:pStyle w:val="CasesLegislationAppealFrom"/>
              <w:spacing w:after="60"/>
            </w:pPr>
            <w:r w:rsidRPr="00D72A99">
              <w:rPr>
                <w:i/>
              </w:rPr>
              <w:t>National Resource Development Corporation v Commissioner of Patents</w:t>
            </w:r>
            <w:r w:rsidRPr="00D72A99">
              <w:t xml:space="preserve"> [1959] HCA 67; 102 CLR 252</w:t>
            </w:r>
          </w:p>
          <w:p w14:paraId="185D97D5" w14:textId="77777777" w:rsidR="002A5FE8" w:rsidRPr="00D72A99" w:rsidRDefault="002A5FE8" w:rsidP="002A5FE8">
            <w:pPr>
              <w:pStyle w:val="CasesLegislationAppealFrom"/>
              <w:spacing w:after="60"/>
            </w:pPr>
            <w:r w:rsidRPr="00D72A99">
              <w:rPr>
                <w:i/>
              </w:rPr>
              <w:t xml:space="preserve">No-Fume Ltd v Frank </w:t>
            </w:r>
            <w:proofErr w:type="spellStart"/>
            <w:r w:rsidRPr="00D72A99">
              <w:rPr>
                <w:i/>
              </w:rPr>
              <w:t>Pitchford</w:t>
            </w:r>
            <w:proofErr w:type="spellEnd"/>
            <w:r w:rsidRPr="00D72A99">
              <w:rPr>
                <w:i/>
              </w:rPr>
              <w:t xml:space="preserve"> &amp; Co Ltd</w:t>
            </w:r>
            <w:r w:rsidRPr="00D72A99">
              <w:t xml:space="preserve"> (1935) 52 RPC 231</w:t>
            </w:r>
          </w:p>
          <w:p w14:paraId="59969221" w14:textId="77777777" w:rsidR="002A5FE8" w:rsidRPr="00D72A99" w:rsidRDefault="002A5FE8" w:rsidP="002A5FE8">
            <w:pPr>
              <w:pStyle w:val="CasesLegislationAppealFrom"/>
              <w:spacing w:after="60"/>
            </w:pPr>
            <w:proofErr w:type="spellStart"/>
            <w:r w:rsidRPr="00D72A99">
              <w:rPr>
                <w:i/>
              </w:rPr>
              <w:t>Polwood</w:t>
            </w:r>
            <w:proofErr w:type="spellEnd"/>
            <w:r w:rsidRPr="00D72A99">
              <w:rPr>
                <w:i/>
              </w:rPr>
              <w:t xml:space="preserve"> Pty Ltd v </w:t>
            </w:r>
            <w:proofErr w:type="spellStart"/>
            <w:r w:rsidRPr="00D72A99">
              <w:rPr>
                <w:i/>
              </w:rPr>
              <w:t>Foxworth</w:t>
            </w:r>
            <w:proofErr w:type="spellEnd"/>
            <w:r w:rsidRPr="00D72A99">
              <w:rPr>
                <w:i/>
              </w:rPr>
              <w:t xml:space="preserve"> Pty Ltd </w:t>
            </w:r>
            <w:r w:rsidRPr="00D72A99">
              <w:t>[2008] FCAFC9; 165 FCR 527</w:t>
            </w:r>
          </w:p>
          <w:p w14:paraId="0070EE55" w14:textId="77777777" w:rsidR="002A5FE8" w:rsidRPr="00D72A99" w:rsidRDefault="002A5FE8" w:rsidP="002A5FE8">
            <w:pPr>
              <w:pStyle w:val="CasesLegislationAppealFrom"/>
              <w:spacing w:after="60"/>
            </w:pPr>
            <w:r w:rsidRPr="00D72A99">
              <w:rPr>
                <w:i/>
              </w:rPr>
              <w:t xml:space="preserve">Prestige Group v Dart Industries </w:t>
            </w:r>
            <w:proofErr w:type="spellStart"/>
            <w:r w:rsidRPr="00D72A99">
              <w:rPr>
                <w:i/>
              </w:rPr>
              <w:t>Inc</w:t>
            </w:r>
            <w:proofErr w:type="spellEnd"/>
            <w:r w:rsidRPr="00D72A99">
              <w:rPr>
                <w:i/>
              </w:rPr>
              <w:t xml:space="preserve"> </w:t>
            </w:r>
            <w:r w:rsidRPr="00D72A99">
              <w:t>[1990] FCA 406; 26 FCR 197</w:t>
            </w:r>
          </w:p>
          <w:p w14:paraId="0773ED67" w14:textId="77777777" w:rsidR="002A5FE8" w:rsidRPr="00D72A99" w:rsidRDefault="002A5FE8" w:rsidP="002A5FE8">
            <w:pPr>
              <w:pStyle w:val="CasesLegislationAppealFrom"/>
              <w:spacing w:after="60"/>
            </w:pPr>
            <w:r w:rsidRPr="00D72A99">
              <w:rPr>
                <w:i/>
              </w:rPr>
              <w:t xml:space="preserve">R v Wheeler </w:t>
            </w:r>
            <w:r w:rsidRPr="00D72A99">
              <w:t>(1819) 2 B &amp; Ald. 345</w:t>
            </w:r>
          </w:p>
          <w:p w14:paraId="05673694" w14:textId="77777777" w:rsidR="002A5FE8" w:rsidRPr="00D72A99" w:rsidRDefault="002A5FE8" w:rsidP="002A5FE8">
            <w:pPr>
              <w:pStyle w:val="CasesLegislationAppealFrom"/>
              <w:spacing w:after="60"/>
            </w:pPr>
            <w:r w:rsidRPr="00D72A99">
              <w:rPr>
                <w:i/>
              </w:rPr>
              <w:t xml:space="preserve">Regional Express Holdings Ltd v Australian Federation of Air Pilots </w:t>
            </w:r>
            <w:r w:rsidRPr="00D72A99">
              <w:t>[2017] HCA 55; 262 CLR 456</w:t>
            </w:r>
          </w:p>
          <w:p w14:paraId="63A5868C" w14:textId="77777777" w:rsidR="002A5FE8" w:rsidRPr="00D72A99" w:rsidRDefault="002A5FE8" w:rsidP="002A5FE8">
            <w:pPr>
              <w:pStyle w:val="CasesLegislationAppealFrom"/>
              <w:spacing w:after="60"/>
            </w:pPr>
            <w:r w:rsidRPr="00D72A99">
              <w:rPr>
                <w:i/>
              </w:rPr>
              <w:t xml:space="preserve">Stack v Davies </w:t>
            </w:r>
            <w:proofErr w:type="spellStart"/>
            <w:r w:rsidRPr="00D72A99">
              <w:rPr>
                <w:i/>
              </w:rPr>
              <w:t>Shephard</w:t>
            </w:r>
            <w:proofErr w:type="spellEnd"/>
            <w:r w:rsidRPr="00D72A99">
              <w:rPr>
                <w:i/>
              </w:rPr>
              <w:t xml:space="preserve"> Pty Ltd </w:t>
            </w:r>
            <w:r w:rsidRPr="00D72A99">
              <w:t>[2001] FCA 501; 108 FCR 422</w:t>
            </w:r>
          </w:p>
          <w:p w14:paraId="60278296" w14:textId="77777777" w:rsidR="002A5FE8" w:rsidRPr="00D72A99" w:rsidRDefault="002A5FE8" w:rsidP="002A5FE8">
            <w:pPr>
              <w:pStyle w:val="CasesLegislationAppealFrom"/>
              <w:spacing w:after="60"/>
            </w:pPr>
            <w:r w:rsidRPr="00D72A99">
              <w:rPr>
                <w:i/>
              </w:rPr>
              <w:t xml:space="preserve">Stephen L. </w:t>
            </w:r>
            <w:proofErr w:type="spellStart"/>
            <w:r w:rsidRPr="00D72A99">
              <w:rPr>
                <w:i/>
              </w:rPr>
              <w:t>Thaler</w:t>
            </w:r>
            <w:proofErr w:type="spellEnd"/>
            <w:r w:rsidRPr="00D72A99">
              <w:t xml:space="preserve"> [2021] APO 5</w:t>
            </w:r>
          </w:p>
          <w:p w14:paraId="66C98EDB" w14:textId="77777777" w:rsidR="002A5FE8" w:rsidRPr="00D72A99" w:rsidRDefault="002A5FE8" w:rsidP="002A5FE8">
            <w:pPr>
              <w:pStyle w:val="CasesLegislationAppealFrom"/>
              <w:spacing w:after="60"/>
            </w:pPr>
            <w:r w:rsidRPr="00D72A99">
              <w:rPr>
                <w:i/>
              </w:rPr>
              <w:t xml:space="preserve">Tate v Haskins </w:t>
            </w:r>
            <w:r w:rsidRPr="00D72A99">
              <w:t>[1935] HCA 40; 53 CLR 594</w:t>
            </w:r>
          </w:p>
          <w:p w14:paraId="5D7A43A5" w14:textId="77777777" w:rsidR="002A5FE8" w:rsidRPr="00D72A99" w:rsidRDefault="002A5FE8" w:rsidP="002A5FE8">
            <w:pPr>
              <w:pStyle w:val="CasesLegislationAppealFrom"/>
              <w:spacing w:after="60"/>
            </w:pPr>
            <w:proofErr w:type="spellStart"/>
            <w:r w:rsidRPr="00D72A99">
              <w:rPr>
                <w:i/>
              </w:rPr>
              <w:lastRenderedPageBreak/>
              <w:t>Thaler</w:t>
            </w:r>
            <w:proofErr w:type="spellEnd"/>
            <w:r w:rsidRPr="00D72A99">
              <w:rPr>
                <w:i/>
              </w:rPr>
              <w:t xml:space="preserve"> v Commissioner of Patents </w:t>
            </w:r>
            <w:r w:rsidRPr="00D72A99">
              <w:t>[2021] FCA 879; 160 IPR 72</w:t>
            </w:r>
          </w:p>
          <w:p w14:paraId="3681F3D9" w14:textId="77777777" w:rsidR="002A5FE8" w:rsidRPr="00D72A99" w:rsidRDefault="002A5FE8" w:rsidP="002A5FE8">
            <w:pPr>
              <w:pStyle w:val="CasesLegislationAppealFrom"/>
              <w:spacing w:after="60"/>
            </w:pPr>
            <w:proofErr w:type="spellStart"/>
            <w:r w:rsidRPr="00D72A99">
              <w:rPr>
                <w:i/>
              </w:rPr>
              <w:t>Thaler</w:t>
            </w:r>
            <w:proofErr w:type="spellEnd"/>
            <w:r w:rsidRPr="00D72A99">
              <w:rPr>
                <w:i/>
              </w:rPr>
              <w:t xml:space="preserve"> v Comptroller General of Patents, Trade Marks and Designs </w:t>
            </w:r>
            <w:r w:rsidRPr="00D72A99">
              <w:t xml:space="preserve">[2021] EWCA </w:t>
            </w:r>
            <w:proofErr w:type="spellStart"/>
            <w:r w:rsidRPr="00D72A99">
              <w:t>Civ</w:t>
            </w:r>
            <w:proofErr w:type="spellEnd"/>
            <w:r w:rsidRPr="00D72A99">
              <w:t xml:space="preserve"> 1374</w:t>
            </w:r>
          </w:p>
          <w:p w14:paraId="32749CAE" w14:textId="77777777" w:rsidR="002A5FE8" w:rsidRPr="00D72A99" w:rsidRDefault="002A5FE8" w:rsidP="002A5FE8">
            <w:pPr>
              <w:pStyle w:val="CasesLegislationAppealFrom"/>
              <w:spacing w:after="60"/>
            </w:pPr>
            <w:r w:rsidRPr="00D72A99">
              <w:rPr>
                <w:i/>
              </w:rPr>
              <w:t xml:space="preserve">The </w:t>
            </w:r>
            <w:proofErr w:type="spellStart"/>
            <w:r w:rsidRPr="00D72A99">
              <w:rPr>
                <w:i/>
              </w:rPr>
              <w:t>Clothworkers</w:t>
            </w:r>
            <w:proofErr w:type="spellEnd"/>
            <w:r w:rsidRPr="00D72A99">
              <w:rPr>
                <w:i/>
              </w:rPr>
              <w:t xml:space="preserve"> of Ipswich Case </w:t>
            </w:r>
            <w:r w:rsidRPr="00D72A99">
              <w:t xml:space="preserve">(1615) </w:t>
            </w:r>
            <w:proofErr w:type="spellStart"/>
            <w:r w:rsidRPr="00D72A99">
              <w:t>Godb</w:t>
            </w:r>
            <w:proofErr w:type="spellEnd"/>
            <w:r w:rsidRPr="00D72A99">
              <w:t xml:space="preserve"> 252; 78 ER 147</w:t>
            </w:r>
          </w:p>
          <w:p w14:paraId="3EAB98AD" w14:textId="77777777" w:rsidR="002A5FE8" w:rsidRPr="00D72A99" w:rsidRDefault="002A5FE8" w:rsidP="002A5FE8">
            <w:pPr>
              <w:pStyle w:val="CasesLegislationAppealFrom"/>
              <w:spacing w:after="60"/>
            </w:pPr>
            <w:r w:rsidRPr="00D72A99">
              <w:rPr>
                <w:i/>
              </w:rPr>
              <w:t xml:space="preserve">University of Western Australia v </w:t>
            </w:r>
            <w:proofErr w:type="spellStart"/>
            <w:r w:rsidRPr="00D72A99">
              <w:rPr>
                <w:i/>
              </w:rPr>
              <w:t>Gray</w:t>
            </w:r>
            <w:proofErr w:type="spellEnd"/>
            <w:r w:rsidRPr="00D72A99">
              <w:rPr>
                <w:i/>
              </w:rPr>
              <w:t xml:space="preserve"> (No 20)</w:t>
            </w:r>
            <w:r w:rsidRPr="00D72A99">
              <w:t xml:space="preserve"> [2008] FCA 498; 76 IPR 222</w:t>
            </w:r>
          </w:p>
          <w:p w14:paraId="580CFA0A" w14:textId="77777777" w:rsidR="002A5FE8" w:rsidRPr="00D72A99" w:rsidRDefault="002A5FE8" w:rsidP="002A5FE8">
            <w:pPr>
              <w:pStyle w:val="CasesLegislationAppealFrom"/>
              <w:spacing w:after="60"/>
            </w:pPr>
            <w:r w:rsidRPr="00D72A99">
              <w:rPr>
                <w:i/>
              </w:rPr>
              <w:t xml:space="preserve">University of Western Australia v </w:t>
            </w:r>
            <w:proofErr w:type="spellStart"/>
            <w:r w:rsidRPr="00D72A99">
              <w:rPr>
                <w:i/>
              </w:rPr>
              <w:t>Gray</w:t>
            </w:r>
            <w:proofErr w:type="spellEnd"/>
            <w:r w:rsidRPr="00D72A99">
              <w:rPr>
                <w:i/>
              </w:rPr>
              <w:t xml:space="preserve"> </w:t>
            </w:r>
            <w:r w:rsidRPr="00D72A99">
              <w:t>[2009] FCAFC 116; 179 FCR 346</w:t>
            </w:r>
          </w:p>
          <w:p w14:paraId="04E13FA2" w14:textId="77777777" w:rsidR="002A5FE8" w:rsidRPr="00D72A99" w:rsidRDefault="002A5FE8" w:rsidP="002A5FE8">
            <w:pPr>
              <w:pStyle w:val="CasesLegislationAppealFrom"/>
              <w:spacing w:after="60"/>
            </w:pPr>
            <w:r w:rsidRPr="00D72A99">
              <w:rPr>
                <w:i/>
              </w:rPr>
              <w:t xml:space="preserve">Vehicle Monitoring Systems Pty Ltd v SARB Management Group Pty Ltd </w:t>
            </w:r>
            <w:r w:rsidRPr="00D72A99">
              <w:t xml:space="preserve"> [2020] FCA 408; 150 IPR 216</w:t>
            </w:r>
          </w:p>
          <w:bookmarkEnd w:id="5"/>
          <w:p w14:paraId="2CB0B325" w14:textId="5052CFD7" w:rsidR="00276C7E" w:rsidRPr="00276C7E" w:rsidRDefault="002A5FE8" w:rsidP="002A5FE8">
            <w:pPr>
              <w:pStyle w:val="CasesLegislationAppealFrom"/>
              <w:spacing w:after="60"/>
            </w:pPr>
            <w:r w:rsidRPr="00D72A99">
              <w:rPr>
                <w:i/>
              </w:rPr>
              <w:t>Vehicle Monitoring Systems Pty Ltd v SARB Management Group Pty Ltd</w:t>
            </w:r>
            <w:r w:rsidRPr="00D72A99">
              <w:t xml:space="preserve"> [2021] FCAFC 224</w:t>
            </w:r>
          </w:p>
        </w:tc>
      </w:tr>
      <w:tr w:rsidR="0014389F" w14:paraId="2F1B0BFE" w14:textId="77777777" w:rsidTr="003D033E">
        <w:tc>
          <w:tcPr>
            <w:tcW w:w="3083" w:type="dxa"/>
            <w:shd w:val="clear" w:color="auto" w:fill="auto"/>
          </w:tcPr>
          <w:p w14:paraId="4129B48A" w14:textId="77777777" w:rsidR="0014389F" w:rsidRDefault="0014389F" w:rsidP="00A817F8">
            <w:pPr>
              <w:pStyle w:val="Normal1linespace"/>
              <w:widowControl w:val="0"/>
            </w:pPr>
          </w:p>
        </w:tc>
        <w:tc>
          <w:tcPr>
            <w:tcW w:w="5990" w:type="dxa"/>
            <w:shd w:val="clear" w:color="auto" w:fill="auto"/>
          </w:tcPr>
          <w:p w14:paraId="77FFE5AD" w14:textId="77777777" w:rsidR="0014389F" w:rsidRDefault="0014389F" w:rsidP="00A817F8">
            <w:pPr>
              <w:pStyle w:val="Normal1linespace"/>
              <w:widowControl w:val="0"/>
              <w:jc w:val="left"/>
            </w:pPr>
          </w:p>
        </w:tc>
      </w:tr>
      <w:tr w:rsidR="0014389F" w14:paraId="139B4CC6" w14:textId="77777777" w:rsidTr="003D033E">
        <w:tc>
          <w:tcPr>
            <w:tcW w:w="3083" w:type="dxa"/>
            <w:shd w:val="clear" w:color="auto" w:fill="auto"/>
          </w:tcPr>
          <w:p w14:paraId="3BA7E9B6" w14:textId="77777777" w:rsidR="0014389F" w:rsidRDefault="0014389F" w:rsidP="00501A12">
            <w:pPr>
              <w:pStyle w:val="Normal1linespace"/>
              <w:widowControl w:val="0"/>
            </w:pPr>
            <w:r>
              <w:t>Division:</w:t>
            </w:r>
          </w:p>
        </w:tc>
        <w:tc>
          <w:tcPr>
            <w:tcW w:w="5990" w:type="dxa"/>
            <w:shd w:val="clear" w:color="auto" w:fill="auto"/>
          </w:tcPr>
          <w:p w14:paraId="33BDCE2C" w14:textId="77777777" w:rsidR="0014389F" w:rsidRPr="00F17599" w:rsidRDefault="0086115E" w:rsidP="00501A12">
            <w:pPr>
              <w:pStyle w:val="Normal1linespace"/>
              <w:widowControl w:val="0"/>
              <w:jc w:val="left"/>
            </w:pPr>
            <w:r>
              <w:fldChar w:fldCharType="begin"/>
            </w:r>
            <w:r>
              <w:instrText xml:space="preserve"> DOCPROPERTY  Division </w:instrText>
            </w:r>
            <w:r>
              <w:fldChar w:fldCharType="separate"/>
            </w:r>
            <w:r w:rsidR="0014389F">
              <w:t>General Division</w:t>
            </w:r>
            <w:r>
              <w:fldChar w:fldCharType="end"/>
            </w:r>
          </w:p>
        </w:tc>
      </w:tr>
      <w:tr w:rsidR="0014389F" w14:paraId="78E8281A" w14:textId="77777777" w:rsidTr="003D033E">
        <w:tc>
          <w:tcPr>
            <w:tcW w:w="3083" w:type="dxa"/>
            <w:shd w:val="clear" w:color="auto" w:fill="auto"/>
          </w:tcPr>
          <w:p w14:paraId="47DCF2CA" w14:textId="77777777" w:rsidR="0014389F" w:rsidRDefault="0014389F" w:rsidP="00501A12">
            <w:pPr>
              <w:pStyle w:val="Normal1linespace"/>
              <w:widowControl w:val="0"/>
            </w:pPr>
            <w:bookmarkStart w:id="6" w:name="Registry_rows" w:colFirst="0" w:colLast="1"/>
          </w:p>
        </w:tc>
        <w:tc>
          <w:tcPr>
            <w:tcW w:w="5990" w:type="dxa"/>
            <w:shd w:val="clear" w:color="auto" w:fill="auto"/>
          </w:tcPr>
          <w:p w14:paraId="025B0554" w14:textId="77777777" w:rsidR="0014389F" w:rsidRDefault="0014389F" w:rsidP="00501A12">
            <w:pPr>
              <w:pStyle w:val="Normal1linespace"/>
              <w:widowControl w:val="0"/>
              <w:jc w:val="left"/>
            </w:pPr>
          </w:p>
        </w:tc>
      </w:tr>
      <w:tr w:rsidR="0014389F" w14:paraId="73C37E6A" w14:textId="77777777" w:rsidTr="003D033E">
        <w:tc>
          <w:tcPr>
            <w:tcW w:w="3083" w:type="dxa"/>
            <w:shd w:val="clear" w:color="auto" w:fill="auto"/>
          </w:tcPr>
          <w:p w14:paraId="7D575D50" w14:textId="77777777" w:rsidR="0014389F" w:rsidRDefault="0014389F" w:rsidP="00501A12">
            <w:pPr>
              <w:pStyle w:val="Normal1linespace"/>
              <w:widowControl w:val="0"/>
            </w:pPr>
            <w:r>
              <w:t>Registry:</w:t>
            </w:r>
          </w:p>
        </w:tc>
        <w:tc>
          <w:tcPr>
            <w:tcW w:w="5990" w:type="dxa"/>
            <w:shd w:val="clear" w:color="auto" w:fill="auto"/>
          </w:tcPr>
          <w:p w14:paraId="1BA3BE2D" w14:textId="77777777" w:rsidR="0014389F" w:rsidRPr="00F17599" w:rsidRDefault="0086115E" w:rsidP="0014389F">
            <w:pPr>
              <w:pStyle w:val="Normal1linespace"/>
              <w:widowControl w:val="0"/>
              <w:jc w:val="left"/>
            </w:pPr>
            <w:r>
              <w:fldChar w:fldCharType="begin"/>
            </w:r>
            <w:r>
              <w:instrText xml:space="preserve"> DOCPROPERTY  Registry </w:instrText>
            </w:r>
            <w:r>
              <w:fldChar w:fldCharType="separate"/>
            </w:r>
            <w:r w:rsidR="0014389F">
              <w:t>Victoria</w:t>
            </w:r>
            <w:r>
              <w:fldChar w:fldCharType="end"/>
            </w:r>
          </w:p>
        </w:tc>
      </w:tr>
      <w:tr w:rsidR="0014389F" w14:paraId="17C5BC4F" w14:textId="77777777" w:rsidTr="003D033E">
        <w:tc>
          <w:tcPr>
            <w:tcW w:w="3083" w:type="dxa"/>
            <w:shd w:val="clear" w:color="auto" w:fill="auto"/>
          </w:tcPr>
          <w:p w14:paraId="2DD59FF2" w14:textId="77777777" w:rsidR="0014389F" w:rsidRDefault="0014389F" w:rsidP="00501A12">
            <w:pPr>
              <w:pStyle w:val="Normal1linespace"/>
              <w:widowControl w:val="0"/>
            </w:pPr>
            <w:bookmarkStart w:id="7" w:name="NPARow" w:colFirst="0" w:colLast="1"/>
            <w:bookmarkEnd w:id="6"/>
          </w:p>
        </w:tc>
        <w:tc>
          <w:tcPr>
            <w:tcW w:w="5990" w:type="dxa"/>
            <w:shd w:val="clear" w:color="auto" w:fill="auto"/>
          </w:tcPr>
          <w:p w14:paraId="7765CF11" w14:textId="77777777" w:rsidR="0014389F" w:rsidRPr="00F17599" w:rsidRDefault="0014389F" w:rsidP="00501A12">
            <w:pPr>
              <w:pStyle w:val="Normal1linespace"/>
              <w:widowControl w:val="0"/>
              <w:jc w:val="left"/>
              <w:rPr>
                <w:b/>
              </w:rPr>
            </w:pPr>
          </w:p>
        </w:tc>
      </w:tr>
      <w:tr w:rsidR="0014389F" w14:paraId="68D4BBF6" w14:textId="77777777" w:rsidTr="003D033E">
        <w:tc>
          <w:tcPr>
            <w:tcW w:w="3083" w:type="dxa"/>
            <w:shd w:val="clear" w:color="auto" w:fill="auto"/>
          </w:tcPr>
          <w:p w14:paraId="17D5E35D" w14:textId="77777777" w:rsidR="0014389F" w:rsidRDefault="0014389F" w:rsidP="00501A12">
            <w:pPr>
              <w:pStyle w:val="Normal1linespace"/>
              <w:widowControl w:val="0"/>
            </w:pPr>
            <w:r>
              <w:t>National Practice Area:</w:t>
            </w:r>
          </w:p>
        </w:tc>
        <w:tc>
          <w:tcPr>
            <w:tcW w:w="5990" w:type="dxa"/>
            <w:shd w:val="clear" w:color="auto" w:fill="auto"/>
          </w:tcPr>
          <w:p w14:paraId="03803743" w14:textId="77777777" w:rsidR="0014389F" w:rsidRPr="00F17599" w:rsidRDefault="0086115E" w:rsidP="00A817F8">
            <w:pPr>
              <w:pStyle w:val="Normal1linespace"/>
              <w:widowControl w:val="0"/>
              <w:jc w:val="left"/>
              <w:rPr>
                <w:b/>
              </w:rPr>
            </w:pPr>
            <w:r>
              <w:fldChar w:fldCharType="begin"/>
            </w:r>
            <w:r>
              <w:instrText xml:space="preserve"> DOCPROPERTY  "Practice Area"  \* MERGEFORMAT </w:instrText>
            </w:r>
            <w:r>
              <w:fldChar w:fldCharType="separate"/>
            </w:r>
            <w:r w:rsidR="0014389F">
              <w:t>Intellectual Property</w:t>
            </w:r>
            <w:r>
              <w:fldChar w:fldCharType="end"/>
            </w:r>
          </w:p>
        </w:tc>
      </w:tr>
      <w:tr w:rsidR="0014389F" w14:paraId="3D804833" w14:textId="77777777" w:rsidTr="003D033E">
        <w:tc>
          <w:tcPr>
            <w:tcW w:w="3083" w:type="dxa"/>
            <w:shd w:val="clear" w:color="auto" w:fill="auto"/>
          </w:tcPr>
          <w:p w14:paraId="443BB62A" w14:textId="77777777" w:rsidR="0014389F" w:rsidRDefault="0014389F" w:rsidP="00501A12">
            <w:pPr>
              <w:pStyle w:val="Normal1linespace"/>
              <w:widowControl w:val="0"/>
            </w:pPr>
            <w:bookmarkStart w:id="8" w:name="SubAreaRow" w:colFirst="0" w:colLast="1"/>
            <w:bookmarkEnd w:id="7"/>
          </w:p>
        </w:tc>
        <w:tc>
          <w:tcPr>
            <w:tcW w:w="5990" w:type="dxa"/>
            <w:shd w:val="clear" w:color="auto" w:fill="auto"/>
          </w:tcPr>
          <w:p w14:paraId="41C85561" w14:textId="77777777" w:rsidR="0014389F" w:rsidRDefault="0014389F" w:rsidP="00A817F8">
            <w:pPr>
              <w:pStyle w:val="Normal1linespace"/>
              <w:widowControl w:val="0"/>
              <w:jc w:val="left"/>
            </w:pPr>
          </w:p>
        </w:tc>
      </w:tr>
      <w:tr w:rsidR="0014389F" w14:paraId="00BF6B26" w14:textId="77777777" w:rsidTr="003D033E">
        <w:tc>
          <w:tcPr>
            <w:tcW w:w="3083" w:type="dxa"/>
            <w:shd w:val="clear" w:color="auto" w:fill="auto"/>
          </w:tcPr>
          <w:p w14:paraId="7D5E9DD2" w14:textId="77777777" w:rsidR="0014389F" w:rsidRDefault="0014389F" w:rsidP="00501A12">
            <w:pPr>
              <w:pStyle w:val="Normal1linespace"/>
              <w:widowControl w:val="0"/>
            </w:pPr>
            <w:r>
              <w:t>Sub-area:</w:t>
            </w:r>
          </w:p>
        </w:tc>
        <w:tc>
          <w:tcPr>
            <w:tcW w:w="5990" w:type="dxa"/>
            <w:shd w:val="clear" w:color="auto" w:fill="auto"/>
          </w:tcPr>
          <w:p w14:paraId="31D98491" w14:textId="77777777" w:rsidR="0014389F" w:rsidRPr="00837288" w:rsidRDefault="0086115E" w:rsidP="00A817F8">
            <w:pPr>
              <w:pStyle w:val="Normal1linespace"/>
              <w:widowControl w:val="0"/>
              <w:jc w:val="left"/>
            </w:pPr>
            <w:r>
              <w:fldChar w:fldCharType="begin"/>
            </w:r>
            <w:r>
              <w:instrText xml:space="preserve"> DOCPROPERTY  "Sub Area"  \* MERGEFORMAT </w:instrText>
            </w:r>
            <w:r>
              <w:fldChar w:fldCharType="separate"/>
            </w:r>
            <w:r w:rsidR="0014389F" w:rsidRPr="0014389F">
              <w:rPr>
                <w:lang w:val="en-US"/>
              </w:rPr>
              <w:t>Patents and associated</w:t>
            </w:r>
            <w:r w:rsidR="0014389F">
              <w:t xml:space="preserve"> Statutes</w:t>
            </w:r>
            <w:r>
              <w:fldChar w:fldCharType="end"/>
            </w:r>
          </w:p>
        </w:tc>
      </w:tr>
      <w:bookmarkEnd w:id="8"/>
      <w:tr w:rsidR="0014389F" w14:paraId="24834229" w14:textId="77777777" w:rsidTr="003D033E">
        <w:tc>
          <w:tcPr>
            <w:tcW w:w="3083" w:type="dxa"/>
            <w:shd w:val="clear" w:color="auto" w:fill="auto"/>
          </w:tcPr>
          <w:p w14:paraId="4A7E3452" w14:textId="77777777" w:rsidR="0014389F" w:rsidRDefault="0014389F" w:rsidP="00501A12">
            <w:pPr>
              <w:pStyle w:val="Normal1linespace"/>
              <w:widowControl w:val="0"/>
            </w:pPr>
          </w:p>
        </w:tc>
        <w:tc>
          <w:tcPr>
            <w:tcW w:w="5990" w:type="dxa"/>
            <w:shd w:val="clear" w:color="auto" w:fill="auto"/>
          </w:tcPr>
          <w:p w14:paraId="66AA0B60" w14:textId="77777777" w:rsidR="0014389F" w:rsidRDefault="0014389F" w:rsidP="00501A12">
            <w:pPr>
              <w:pStyle w:val="Normal1linespace"/>
              <w:widowControl w:val="0"/>
              <w:jc w:val="left"/>
            </w:pPr>
          </w:p>
        </w:tc>
      </w:tr>
      <w:tr w:rsidR="0014389F" w14:paraId="7ADC4F9C" w14:textId="77777777" w:rsidTr="003D033E">
        <w:tc>
          <w:tcPr>
            <w:tcW w:w="3083" w:type="dxa"/>
            <w:shd w:val="clear" w:color="auto" w:fill="auto"/>
          </w:tcPr>
          <w:p w14:paraId="5A8DE207" w14:textId="77777777" w:rsidR="0014389F" w:rsidRDefault="0014389F" w:rsidP="00501A12">
            <w:pPr>
              <w:pStyle w:val="Normal1linespace"/>
              <w:widowControl w:val="0"/>
            </w:pPr>
            <w:r>
              <w:t>Number of paragraphs:</w:t>
            </w:r>
          </w:p>
        </w:tc>
        <w:tc>
          <w:tcPr>
            <w:tcW w:w="5990" w:type="dxa"/>
            <w:shd w:val="clear" w:color="auto" w:fill="auto"/>
          </w:tcPr>
          <w:p w14:paraId="10251D28" w14:textId="1F0511BD" w:rsidR="0014389F" w:rsidRDefault="004B69AB" w:rsidP="00501A12">
            <w:pPr>
              <w:pStyle w:val="Normal1linespace"/>
              <w:widowControl w:val="0"/>
              <w:jc w:val="left"/>
            </w:pPr>
            <w:bookmarkStart w:id="9" w:name="PlaceCategoryParagraphs"/>
            <w:r>
              <w:t>123</w:t>
            </w:r>
            <w:bookmarkEnd w:id="9"/>
          </w:p>
        </w:tc>
      </w:tr>
      <w:tr w:rsidR="0014389F" w14:paraId="1036FA59" w14:textId="77777777" w:rsidTr="003D033E">
        <w:tc>
          <w:tcPr>
            <w:tcW w:w="3083" w:type="dxa"/>
            <w:shd w:val="clear" w:color="auto" w:fill="auto"/>
          </w:tcPr>
          <w:p w14:paraId="70E709D5" w14:textId="77777777" w:rsidR="0014389F" w:rsidRDefault="0014389F" w:rsidP="0014389F">
            <w:pPr>
              <w:pStyle w:val="Normal1linespace"/>
              <w:widowControl w:val="0"/>
              <w:jc w:val="left"/>
            </w:pPr>
          </w:p>
        </w:tc>
        <w:tc>
          <w:tcPr>
            <w:tcW w:w="5990" w:type="dxa"/>
            <w:shd w:val="clear" w:color="auto" w:fill="auto"/>
          </w:tcPr>
          <w:p w14:paraId="6A711B73" w14:textId="77777777" w:rsidR="0014389F" w:rsidRDefault="0014389F" w:rsidP="0014389F">
            <w:pPr>
              <w:pStyle w:val="Normal1linespace"/>
              <w:widowControl w:val="0"/>
              <w:jc w:val="left"/>
            </w:pPr>
          </w:p>
        </w:tc>
      </w:tr>
      <w:tr w:rsidR="0014389F" w14:paraId="46F7276F" w14:textId="77777777" w:rsidTr="003D033E">
        <w:tc>
          <w:tcPr>
            <w:tcW w:w="3083" w:type="dxa"/>
            <w:shd w:val="clear" w:color="auto" w:fill="auto"/>
          </w:tcPr>
          <w:p w14:paraId="43BF9411" w14:textId="77777777" w:rsidR="0014389F" w:rsidRDefault="0014389F" w:rsidP="0014389F">
            <w:pPr>
              <w:pStyle w:val="Normal1linespace"/>
              <w:widowControl w:val="0"/>
              <w:jc w:val="left"/>
            </w:pPr>
            <w:bookmarkStart w:id="10" w:name="CounselDate" w:colFirst="0" w:colLast="2"/>
            <w:r w:rsidRPr="006A24E3">
              <w:t>Date of hearing:</w:t>
            </w:r>
          </w:p>
        </w:tc>
        <w:tc>
          <w:tcPr>
            <w:tcW w:w="5990" w:type="dxa"/>
            <w:shd w:val="clear" w:color="auto" w:fill="auto"/>
          </w:tcPr>
          <w:p w14:paraId="27A02D50" w14:textId="77777777" w:rsidR="0014389F" w:rsidRDefault="0014389F" w:rsidP="0014389F">
            <w:pPr>
              <w:pStyle w:val="Normal1linespace"/>
              <w:widowControl w:val="0"/>
              <w:jc w:val="left"/>
            </w:pPr>
            <w:bookmarkStart w:id="11" w:name="HearingDate"/>
            <w:r>
              <w:t xml:space="preserve">9 February 2022 </w:t>
            </w:r>
            <w:bookmarkEnd w:id="11"/>
          </w:p>
        </w:tc>
      </w:tr>
      <w:tr w:rsidR="0014389F" w14:paraId="31233C33" w14:textId="77777777" w:rsidTr="003D033E">
        <w:tc>
          <w:tcPr>
            <w:tcW w:w="3083" w:type="dxa"/>
            <w:shd w:val="clear" w:color="auto" w:fill="auto"/>
          </w:tcPr>
          <w:p w14:paraId="12B0B135" w14:textId="77777777" w:rsidR="0014389F" w:rsidRDefault="0014389F" w:rsidP="0014389F">
            <w:pPr>
              <w:pStyle w:val="Normal1linespace"/>
              <w:widowControl w:val="0"/>
              <w:jc w:val="left"/>
            </w:pPr>
          </w:p>
        </w:tc>
        <w:tc>
          <w:tcPr>
            <w:tcW w:w="5990" w:type="dxa"/>
            <w:shd w:val="clear" w:color="auto" w:fill="auto"/>
          </w:tcPr>
          <w:p w14:paraId="1F8AF69A" w14:textId="77777777" w:rsidR="0014389F" w:rsidRDefault="0014389F" w:rsidP="0014389F">
            <w:pPr>
              <w:pStyle w:val="Normal1linespace"/>
              <w:widowControl w:val="0"/>
              <w:jc w:val="left"/>
            </w:pPr>
          </w:p>
        </w:tc>
      </w:tr>
      <w:tr w:rsidR="004B69AB" w14:paraId="137AEE44" w14:textId="77777777" w:rsidTr="003D033E">
        <w:tc>
          <w:tcPr>
            <w:tcW w:w="3083" w:type="dxa"/>
            <w:shd w:val="clear" w:color="auto" w:fill="auto"/>
          </w:tcPr>
          <w:p w14:paraId="1C074AE5" w14:textId="6E135442" w:rsidR="004B69AB" w:rsidRDefault="004B69AB" w:rsidP="003D033E">
            <w:pPr>
              <w:pStyle w:val="Normal1linespace"/>
              <w:widowControl w:val="0"/>
              <w:jc w:val="left"/>
            </w:pPr>
            <w:bookmarkStart w:id="12" w:name="Counsel" w:colFirst="0" w:colLast="2"/>
            <w:bookmarkStart w:id="13" w:name="CompletionTable"/>
            <w:bookmarkEnd w:id="10"/>
            <w:r>
              <w:t>Counsel for the Appellant:</w:t>
            </w:r>
          </w:p>
        </w:tc>
        <w:tc>
          <w:tcPr>
            <w:tcW w:w="5990" w:type="dxa"/>
            <w:shd w:val="clear" w:color="auto" w:fill="auto"/>
          </w:tcPr>
          <w:p w14:paraId="5ED1035D" w14:textId="76945299" w:rsidR="004B69AB" w:rsidRDefault="004B69AB" w:rsidP="004B69AB">
            <w:pPr>
              <w:pStyle w:val="Normal1linespace"/>
              <w:widowControl w:val="0"/>
              <w:jc w:val="left"/>
            </w:pPr>
            <w:bookmarkStart w:id="14" w:name="AppCounsel"/>
            <w:bookmarkEnd w:id="14"/>
            <w:r>
              <w:t>Ms S Goddard SC with Mr H Bevan SC</w:t>
            </w:r>
          </w:p>
        </w:tc>
      </w:tr>
      <w:tr w:rsidR="004B69AB" w14:paraId="3568121C" w14:textId="77777777" w:rsidTr="003D033E">
        <w:tc>
          <w:tcPr>
            <w:tcW w:w="3083" w:type="dxa"/>
            <w:shd w:val="clear" w:color="auto" w:fill="auto"/>
          </w:tcPr>
          <w:p w14:paraId="56D043DD" w14:textId="77777777" w:rsidR="004B69AB" w:rsidRDefault="004B69AB" w:rsidP="004B69AB">
            <w:pPr>
              <w:pStyle w:val="Normal1linespace"/>
              <w:widowControl w:val="0"/>
              <w:jc w:val="left"/>
            </w:pPr>
          </w:p>
        </w:tc>
        <w:tc>
          <w:tcPr>
            <w:tcW w:w="5990" w:type="dxa"/>
            <w:shd w:val="clear" w:color="auto" w:fill="auto"/>
          </w:tcPr>
          <w:p w14:paraId="0EC84E14" w14:textId="77777777" w:rsidR="004B69AB" w:rsidRDefault="004B69AB" w:rsidP="004B69AB">
            <w:pPr>
              <w:pStyle w:val="Normal1linespace"/>
              <w:widowControl w:val="0"/>
              <w:jc w:val="left"/>
            </w:pPr>
          </w:p>
        </w:tc>
      </w:tr>
      <w:tr w:rsidR="004B69AB" w14:paraId="1AB713FE" w14:textId="77777777" w:rsidTr="003D033E">
        <w:tc>
          <w:tcPr>
            <w:tcW w:w="3083" w:type="dxa"/>
            <w:shd w:val="clear" w:color="auto" w:fill="auto"/>
          </w:tcPr>
          <w:p w14:paraId="60E700CE" w14:textId="7C86B682" w:rsidR="004B69AB" w:rsidRDefault="004B69AB" w:rsidP="004B69AB">
            <w:pPr>
              <w:pStyle w:val="Normal1linespace"/>
              <w:widowControl w:val="0"/>
              <w:jc w:val="left"/>
            </w:pPr>
            <w:r>
              <w:t>Solicitor for the Appellant:</w:t>
            </w:r>
          </w:p>
        </w:tc>
        <w:tc>
          <w:tcPr>
            <w:tcW w:w="5990" w:type="dxa"/>
            <w:shd w:val="clear" w:color="auto" w:fill="auto"/>
          </w:tcPr>
          <w:p w14:paraId="1916CCAF" w14:textId="5714A51E" w:rsidR="004B69AB" w:rsidRDefault="004B69AB" w:rsidP="004B69AB">
            <w:pPr>
              <w:pStyle w:val="Normal1linespace"/>
              <w:widowControl w:val="0"/>
              <w:jc w:val="left"/>
            </w:pPr>
            <w:r>
              <w:t>Australian Government Solicitor</w:t>
            </w:r>
          </w:p>
        </w:tc>
      </w:tr>
      <w:tr w:rsidR="004B69AB" w14:paraId="77D0649C" w14:textId="77777777" w:rsidTr="003D033E">
        <w:tc>
          <w:tcPr>
            <w:tcW w:w="3083" w:type="dxa"/>
            <w:shd w:val="clear" w:color="auto" w:fill="auto"/>
          </w:tcPr>
          <w:p w14:paraId="2FE37446" w14:textId="77777777" w:rsidR="004B69AB" w:rsidRDefault="004B69AB" w:rsidP="004B69AB">
            <w:pPr>
              <w:pStyle w:val="Normal1linespace"/>
              <w:widowControl w:val="0"/>
              <w:jc w:val="left"/>
            </w:pPr>
          </w:p>
        </w:tc>
        <w:tc>
          <w:tcPr>
            <w:tcW w:w="5990" w:type="dxa"/>
            <w:shd w:val="clear" w:color="auto" w:fill="auto"/>
          </w:tcPr>
          <w:p w14:paraId="43F06145" w14:textId="77777777" w:rsidR="004B69AB" w:rsidRDefault="004B69AB" w:rsidP="004B69AB">
            <w:pPr>
              <w:pStyle w:val="Normal1linespace"/>
              <w:widowControl w:val="0"/>
              <w:jc w:val="left"/>
            </w:pPr>
          </w:p>
        </w:tc>
      </w:tr>
      <w:tr w:rsidR="004B69AB" w14:paraId="6AC84CCA" w14:textId="77777777" w:rsidTr="003D033E">
        <w:tc>
          <w:tcPr>
            <w:tcW w:w="3083" w:type="dxa"/>
            <w:shd w:val="clear" w:color="auto" w:fill="auto"/>
          </w:tcPr>
          <w:p w14:paraId="606387BA" w14:textId="2136DF7D" w:rsidR="004B69AB" w:rsidRDefault="004B69AB" w:rsidP="004B69AB">
            <w:pPr>
              <w:pStyle w:val="Normal1linespace"/>
              <w:widowControl w:val="0"/>
              <w:jc w:val="left"/>
            </w:pPr>
            <w:r>
              <w:t>Counsel for the Respondent:</w:t>
            </w:r>
          </w:p>
        </w:tc>
        <w:tc>
          <w:tcPr>
            <w:tcW w:w="5990" w:type="dxa"/>
            <w:shd w:val="clear" w:color="auto" w:fill="auto"/>
          </w:tcPr>
          <w:p w14:paraId="655AE321" w14:textId="51288CDC" w:rsidR="004B69AB" w:rsidRDefault="004B69AB" w:rsidP="004B69AB">
            <w:pPr>
              <w:pStyle w:val="Normal1linespace"/>
              <w:widowControl w:val="0"/>
              <w:jc w:val="left"/>
            </w:pPr>
            <w:r>
              <w:t xml:space="preserve">Mr D </w:t>
            </w:r>
            <w:proofErr w:type="spellStart"/>
            <w:r>
              <w:t>Shavin</w:t>
            </w:r>
            <w:proofErr w:type="spellEnd"/>
            <w:r>
              <w:t xml:space="preserve"> QC with Ms C </w:t>
            </w:r>
            <w:proofErr w:type="spellStart"/>
            <w:r>
              <w:t>Cunliffe</w:t>
            </w:r>
            <w:proofErr w:type="spellEnd"/>
          </w:p>
        </w:tc>
      </w:tr>
      <w:tr w:rsidR="004B69AB" w14:paraId="0E882E7B" w14:textId="77777777" w:rsidTr="003D033E">
        <w:tc>
          <w:tcPr>
            <w:tcW w:w="3083" w:type="dxa"/>
            <w:shd w:val="clear" w:color="auto" w:fill="auto"/>
          </w:tcPr>
          <w:p w14:paraId="2A5A9608" w14:textId="77777777" w:rsidR="004B69AB" w:rsidRDefault="004B69AB" w:rsidP="004B69AB">
            <w:pPr>
              <w:pStyle w:val="Normal1linespace"/>
              <w:widowControl w:val="0"/>
              <w:jc w:val="left"/>
            </w:pPr>
          </w:p>
        </w:tc>
        <w:tc>
          <w:tcPr>
            <w:tcW w:w="5990" w:type="dxa"/>
            <w:shd w:val="clear" w:color="auto" w:fill="auto"/>
          </w:tcPr>
          <w:p w14:paraId="703A7ADC" w14:textId="77777777" w:rsidR="004B69AB" w:rsidRDefault="004B69AB" w:rsidP="004B69AB">
            <w:pPr>
              <w:pStyle w:val="Normal1linespace"/>
              <w:widowControl w:val="0"/>
              <w:jc w:val="left"/>
            </w:pPr>
          </w:p>
        </w:tc>
      </w:tr>
      <w:tr w:rsidR="004B69AB" w14:paraId="1B9352E5" w14:textId="77777777" w:rsidTr="003D033E">
        <w:tc>
          <w:tcPr>
            <w:tcW w:w="3083" w:type="dxa"/>
            <w:shd w:val="clear" w:color="auto" w:fill="auto"/>
          </w:tcPr>
          <w:p w14:paraId="4CACE72F" w14:textId="7DDFD22F" w:rsidR="004B69AB" w:rsidRDefault="004B69AB" w:rsidP="004B69AB">
            <w:pPr>
              <w:pStyle w:val="Normal1linespace"/>
              <w:widowControl w:val="0"/>
              <w:jc w:val="left"/>
            </w:pPr>
            <w:r>
              <w:t>Solicitor for the Respondent:</w:t>
            </w:r>
          </w:p>
        </w:tc>
        <w:tc>
          <w:tcPr>
            <w:tcW w:w="5990" w:type="dxa"/>
            <w:shd w:val="clear" w:color="auto" w:fill="auto"/>
          </w:tcPr>
          <w:p w14:paraId="202DE412" w14:textId="0E8F61B8" w:rsidR="004B69AB" w:rsidRDefault="004B69AB" w:rsidP="004B69AB">
            <w:pPr>
              <w:pStyle w:val="Normal1linespace"/>
              <w:widowControl w:val="0"/>
              <w:jc w:val="left"/>
            </w:pPr>
            <w:r>
              <w:t>Allens</w:t>
            </w:r>
          </w:p>
        </w:tc>
      </w:tr>
      <w:bookmarkEnd w:id="12"/>
      <w:bookmarkEnd w:id="13"/>
    </w:tbl>
    <w:p w14:paraId="583F696E" w14:textId="77777777" w:rsidR="007470BD" w:rsidRDefault="007470BD">
      <w:pPr>
        <w:pStyle w:val="Normal1linespace"/>
      </w:pPr>
    </w:p>
    <w:p w14:paraId="13BC945B" w14:textId="77777777" w:rsidR="00E94CBF" w:rsidRDefault="00E94CBF">
      <w:pPr>
        <w:pStyle w:val="Normal1linespace"/>
      </w:pPr>
    </w:p>
    <w:p w14:paraId="4494100B"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7F385D8B"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01982FC3" w14:textId="77777777" w:rsidTr="00E81DA6">
        <w:tc>
          <w:tcPr>
            <w:tcW w:w="6912" w:type="dxa"/>
            <w:gridSpan w:val="2"/>
          </w:tcPr>
          <w:p w14:paraId="30699EC0" w14:textId="77777777" w:rsidR="00A46CCC" w:rsidRPr="001765E0" w:rsidRDefault="00A46CCC" w:rsidP="00525A49">
            <w:pPr>
              <w:pStyle w:val="NormalHeadings"/>
            </w:pPr>
          </w:p>
        </w:tc>
        <w:tc>
          <w:tcPr>
            <w:tcW w:w="2330" w:type="dxa"/>
          </w:tcPr>
          <w:p w14:paraId="5EFBEBF6" w14:textId="77777777" w:rsidR="00A46CCC" w:rsidRDefault="0014389F" w:rsidP="00F92355">
            <w:pPr>
              <w:pStyle w:val="NormalHeadings"/>
              <w:jc w:val="right"/>
            </w:pPr>
            <w:bookmarkStart w:id="15" w:name="FileNo"/>
            <w:r>
              <w:t>VID 496 of 2021</w:t>
            </w:r>
            <w:bookmarkEnd w:id="15"/>
          </w:p>
        </w:tc>
      </w:tr>
      <w:tr w:rsidR="00A76C13" w14:paraId="5CF92A34" w14:textId="77777777" w:rsidTr="00A817F8">
        <w:tc>
          <w:tcPr>
            <w:tcW w:w="9242" w:type="dxa"/>
            <w:gridSpan w:val="3"/>
          </w:tcPr>
          <w:p w14:paraId="466CF4D3" w14:textId="77777777" w:rsidR="00A76C13" w:rsidRPr="00A76C13" w:rsidRDefault="0014389F" w:rsidP="0014389F">
            <w:pPr>
              <w:pStyle w:val="NormalHeadings"/>
              <w:jc w:val="left"/>
            </w:pPr>
            <w:bookmarkStart w:id="16" w:name="InTheMatterOf"/>
            <w:r>
              <w:t xml:space="preserve"> </w:t>
            </w:r>
            <w:bookmarkEnd w:id="16"/>
          </w:p>
        </w:tc>
      </w:tr>
      <w:tr w:rsidR="00A46CCC" w14:paraId="73C6690F" w14:textId="77777777" w:rsidTr="00A817F8">
        <w:trPr>
          <w:trHeight w:val="386"/>
        </w:trPr>
        <w:tc>
          <w:tcPr>
            <w:tcW w:w="2376" w:type="dxa"/>
          </w:tcPr>
          <w:p w14:paraId="5DD4F33E" w14:textId="77777777" w:rsidR="00A46CCC" w:rsidRDefault="00A46CCC" w:rsidP="00A817F8">
            <w:pPr>
              <w:pStyle w:val="NormalHeadings"/>
              <w:jc w:val="left"/>
              <w:rPr>
                <w:caps/>
                <w:szCs w:val="24"/>
              </w:rPr>
            </w:pPr>
            <w:bookmarkStart w:id="17" w:name="Parties"/>
            <w:r>
              <w:rPr>
                <w:caps/>
                <w:szCs w:val="24"/>
              </w:rPr>
              <w:t>BETWEEN:</w:t>
            </w:r>
          </w:p>
        </w:tc>
        <w:tc>
          <w:tcPr>
            <w:tcW w:w="6866" w:type="dxa"/>
            <w:gridSpan w:val="2"/>
          </w:tcPr>
          <w:p w14:paraId="4D847002" w14:textId="77777777" w:rsidR="0014389F" w:rsidRDefault="0014389F" w:rsidP="0014389F">
            <w:pPr>
              <w:pStyle w:val="NormalHeadings"/>
              <w:jc w:val="left"/>
            </w:pPr>
            <w:bookmarkStart w:id="18" w:name="Applicant"/>
            <w:r>
              <w:t>COMMISSIONER OF PATENTS</w:t>
            </w:r>
          </w:p>
          <w:p w14:paraId="6CC9D870" w14:textId="77777777" w:rsidR="0014389F" w:rsidRDefault="0014389F" w:rsidP="0014389F">
            <w:pPr>
              <w:pStyle w:val="PartyType"/>
            </w:pPr>
            <w:r>
              <w:t>Appellant</w:t>
            </w:r>
          </w:p>
          <w:bookmarkEnd w:id="18"/>
          <w:p w14:paraId="1681271E" w14:textId="77777777" w:rsidR="00A46CCC" w:rsidRPr="006555B4" w:rsidRDefault="00A46CCC" w:rsidP="00A817F8">
            <w:pPr>
              <w:pStyle w:val="NormalHeadings"/>
              <w:jc w:val="left"/>
            </w:pPr>
          </w:p>
        </w:tc>
      </w:tr>
      <w:tr w:rsidR="00A46CCC" w14:paraId="34C20C6F" w14:textId="77777777" w:rsidTr="00A817F8">
        <w:trPr>
          <w:trHeight w:val="386"/>
        </w:trPr>
        <w:tc>
          <w:tcPr>
            <w:tcW w:w="2376" w:type="dxa"/>
          </w:tcPr>
          <w:p w14:paraId="1DB96960" w14:textId="77777777" w:rsidR="00A46CCC" w:rsidRDefault="00A46CCC" w:rsidP="00A817F8">
            <w:pPr>
              <w:pStyle w:val="NormalHeadings"/>
              <w:jc w:val="left"/>
              <w:rPr>
                <w:caps/>
                <w:szCs w:val="24"/>
              </w:rPr>
            </w:pPr>
            <w:r>
              <w:rPr>
                <w:caps/>
                <w:szCs w:val="24"/>
              </w:rPr>
              <w:t>AND:</w:t>
            </w:r>
          </w:p>
        </w:tc>
        <w:tc>
          <w:tcPr>
            <w:tcW w:w="6866" w:type="dxa"/>
            <w:gridSpan w:val="2"/>
          </w:tcPr>
          <w:p w14:paraId="6D0C4457" w14:textId="77777777" w:rsidR="0014389F" w:rsidRDefault="0014389F" w:rsidP="0014389F">
            <w:pPr>
              <w:pStyle w:val="NormalHeadings"/>
              <w:jc w:val="left"/>
            </w:pPr>
            <w:bookmarkStart w:id="19" w:name="Respondent"/>
            <w:r>
              <w:t>STEPHEN THALER</w:t>
            </w:r>
          </w:p>
          <w:p w14:paraId="0AA6ADDA" w14:textId="77777777" w:rsidR="0014389F" w:rsidRDefault="0014389F" w:rsidP="0014389F">
            <w:pPr>
              <w:pStyle w:val="PartyType"/>
            </w:pPr>
            <w:r>
              <w:t>Respondent</w:t>
            </w:r>
          </w:p>
          <w:bookmarkEnd w:id="19"/>
          <w:p w14:paraId="37683B91" w14:textId="77777777" w:rsidR="00A46CCC" w:rsidRPr="006555B4" w:rsidRDefault="00A46CCC" w:rsidP="00A817F8">
            <w:pPr>
              <w:pStyle w:val="NormalHeadings"/>
              <w:jc w:val="left"/>
            </w:pPr>
          </w:p>
        </w:tc>
      </w:tr>
    </w:tbl>
    <w:p w14:paraId="1363C13D" w14:textId="77777777" w:rsidR="00395B24" w:rsidRDefault="00395B24">
      <w:pPr>
        <w:pStyle w:val="NormalHeadings"/>
      </w:pPr>
      <w:bookmarkStart w:id="20" w:name="CrossClaimPosition"/>
      <w:bookmarkEnd w:id="17"/>
      <w:bookmarkEnd w:id="20"/>
    </w:p>
    <w:tbl>
      <w:tblPr>
        <w:tblW w:w="0" w:type="auto"/>
        <w:tblLayout w:type="fixed"/>
        <w:tblLook w:val="0000" w:firstRow="0" w:lastRow="0" w:firstColumn="0" w:lastColumn="0" w:noHBand="0" w:noVBand="0"/>
        <w:tblCaption w:val="Judge"/>
        <w:tblDescription w:val="Judge"/>
      </w:tblPr>
      <w:tblGrid>
        <w:gridCol w:w="2376"/>
        <w:gridCol w:w="6866"/>
      </w:tblGrid>
      <w:tr w:rsidR="00395B24" w14:paraId="69676672" w14:textId="77777777">
        <w:tc>
          <w:tcPr>
            <w:tcW w:w="2376" w:type="dxa"/>
          </w:tcPr>
          <w:p w14:paraId="74F8FC80" w14:textId="77777777" w:rsidR="00395B24" w:rsidRDefault="00974709">
            <w:pPr>
              <w:pStyle w:val="NormalHeadings"/>
              <w:spacing w:after="120"/>
              <w:jc w:val="left"/>
              <w:rPr>
                <w:caps/>
                <w:szCs w:val="24"/>
              </w:rPr>
            </w:pPr>
            <w:bookmarkStart w:id="21" w:name="JudgeText"/>
            <w:r>
              <w:rPr>
                <w:caps/>
                <w:szCs w:val="24"/>
              </w:rPr>
              <w:t>order made by</w:t>
            </w:r>
            <w:bookmarkEnd w:id="21"/>
            <w:r w:rsidR="002C7385">
              <w:rPr>
                <w:caps/>
                <w:szCs w:val="24"/>
              </w:rPr>
              <w:t>:</w:t>
            </w:r>
          </w:p>
        </w:tc>
        <w:tc>
          <w:tcPr>
            <w:tcW w:w="6866" w:type="dxa"/>
          </w:tcPr>
          <w:p w14:paraId="0EFBB550" w14:textId="77777777" w:rsidR="00395B24" w:rsidRDefault="0014389F">
            <w:pPr>
              <w:pStyle w:val="NormalHeadings"/>
              <w:jc w:val="left"/>
              <w:rPr>
                <w:caps/>
                <w:szCs w:val="24"/>
              </w:rPr>
            </w:pPr>
            <w:bookmarkStart w:id="22" w:name="Judge"/>
            <w:r>
              <w:rPr>
                <w:caps/>
                <w:szCs w:val="24"/>
              </w:rPr>
              <w:t>ALLSOP CJ, NICHOLAS, YATES, MOSHINSKY AND BURLEY JJ</w:t>
            </w:r>
            <w:bookmarkEnd w:id="22"/>
          </w:p>
        </w:tc>
      </w:tr>
      <w:tr w:rsidR="00395B24" w14:paraId="5A85E549" w14:textId="77777777">
        <w:tc>
          <w:tcPr>
            <w:tcW w:w="2376" w:type="dxa"/>
          </w:tcPr>
          <w:p w14:paraId="3ED21FF2" w14:textId="77777777" w:rsidR="00395B24" w:rsidRDefault="002C7385">
            <w:pPr>
              <w:pStyle w:val="NormalHeadings"/>
              <w:spacing w:after="120"/>
              <w:jc w:val="left"/>
              <w:rPr>
                <w:caps/>
                <w:szCs w:val="24"/>
              </w:rPr>
            </w:pPr>
            <w:r>
              <w:rPr>
                <w:caps/>
                <w:szCs w:val="24"/>
              </w:rPr>
              <w:t>DATE OF ORDER:</w:t>
            </w:r>
          </w:p>
        </w:tc>
        <w:tc>
          <w:tcPr>
            <w:tcW w:w="6866" w:type="dxa"/>
          </w:tcPr>
          <w:p w14:paraId="1E205C69" w14:textId="42A8A8D5" w:rsidR="00395B24" w:rsidRDefault="001B7F2F">
            <w:pPr>
              <w:pStyle w:val="NormalHeadings"/>
              <w:jc w:val="left"/>
              <w:rPr>
                <w:caps/>
                <w:szCs w:val="24"/>
              </w:rPr>
            </w:pPr>
            <w:bookmarkStart w:id="23" w:name="Judgment_Dated"/>
            <w:r>
              <w:rPr>
                <w:caps/>
                <w:szCs w:val="24"/>
              </w:rPr>
              <w:t>13</w:t>
            </w:r>
            <w:r w:rsidR="0014389F">
              <w:rPr>
                <w:caps/>
                <w:szCs w:val="24"/>
              </w:rPr>
              <w:t xml:space="preserve"> </w:t>
            </w:r>
            <w:r w:rsidR="004B69AB">
              <w:rPr>
                <w:caps/>
                <w:szCs w:val="24"/>
              </w:rPr>
              <w:t xml:space="preserve">April </w:t>
            </w:r>
            <w:r w:rsidR="0014389F">
              <w:rPr>
                <w:caps/>
                <w:szCs w:val="24"/>
              </w:rPr>
              <w:t>2022</w:t>
            </w:r>
            <w:bookmarkEnd w:id="23"/>
          </w:p>
        </w:tc>
      </w:tr>
    </w:tbl>
    <w:p w14:paraId="5DBA03C0" w14:textId="77777777" w:rsidR="00395B24" w:rsidRDefault="00395B24">
      <w:pPr>
        <w:pStyle w:val="NormalHeadings"/>
        <w:rPr>
          <w:b w:val="0"/>
        </w:rPr>
      </w:pPr>
    </w:p>
    <w:p w14:paraId="442EBB9C" w14:textId="77777777" w:rsidR="008D1617" w:rsidRDefault="008D1617">
      <w:pPr>
        <w:pStyle w:val="NormalHeadings"/>
        <w:rPr>
          <w:b w:val="0"/>
        </w:rPr>
      </w:pPr>
    </w:p>
    <w:p w14:paraId="4FE027DD" w14:textId="77777777" w:rsidR="00395B24" w:rsidRDefault="002C7385">
      <w:pPr>
        <w:pStyle w:val="NormalHeadings"/>
      </w:pPr>
      <w:r>
        <w:t>THE COURT ORDERS THAT:</w:t>
      </w:r>
    </w:p>
    <w:p w14:paraId="65661B1B" w14:textId="77777777" w:rsidR="007F60DF" w:rsidRDefault="007F60DF" w:rsidP="00243E5E">
      <w:pPr>
        <w:pStyle w:val="NormalHeadings"/>
      </w:pPr>
    </w:p>
    <w:p w14:paraId="192AC223" w14:textId="7DEF4C77" w:rsidR="001A6C52" w:rsidRDefault="004B69AB" w:rsidP="001A6C52">
      <w:pPr>
        <w:pStyle w:val="Order1"/>
      </w:pPr>
      <w:r>
        <w:t>The appeal be allowed.</w:t>
      </w:r>
    </w:p>
    <w:p w14:paraId="605562BF" w14:textId="6DE821A9" w:rsidR="004B69AB" w:rsidRDefault="00AB7D85" w:rsidP="005721F9">
      <w:pPr>
        <w:pStyle w:val="Order1"/>
      </w:pPr>
      <w:r>
        <w:t>Orders 1, 2 and 3</w:t>
      </w:r>
      <w:r w:rsidR="00F81AE0">
        <w:t xml:space="preserve"> of the orders </w:t>
      </w:r>
      <w:r w:rsidR="00273859">
        <w:t xml:space="preserve">made on </w:t>
      </w:r>
      <w:r>
        <w:t>30 July 2021 be set aside</w:t>
      </w:r>
      <w:r w:rsidR="004B69AB">
        <w:t>.</w:t>
      </w:r>
    </w:p>
    <w:p w14:paraId="443E060C" w14:textId="02B9CB03" w:rsidR="00CB7096" w:rsidRDefault="00CB7096" w:rsidP="001A6C52">
      <w:pPr>
        <w:pStyle w:val="Order1"/>
      </w:pPr>
      <w:r>
        <w:t>There be no order as to costs</w:t>
      </w:r>
      <w:r w:rsidR="005721F9">
        <w:t>.</w:t>
      </w:r>
    </w:p>
    <w:p w14:paraId="18667EB3" w14:textId="77777777" w:rsidR="001A6C52" w:rsidRDefault="001A6C52" w:rsidP="001A6C52">
      <w:pPr>
        <w:pStyle w:val="BodyText"/>
      </w:pPr>
    </w:p>
    <w:p w14:paraId="2F176588" w14:textId="77777777" w:rsidR="00A431E6" w:rsidRDefault="00A431E6" w:rsidP="001A6C52">
      <w:pPr>
        <w:pStyle w:val="BodyText"/>
      </w:pPr>
    </w:p>
    <w:p w14:paraId="2F9ED757" w14:textId="77777777" w:rsidR="0050309C" w:rsidRDefault="0014389F" w:rsidP="004D53E5">
      <w:pPr>
        <w:pStyle w:val="SingleSpace"/>
      </w:pPr>
      <w:bookmarkStart w:id="24" w:name="OrdersStatement"/>
      <w:r>
        <w:t>Note:</w:t>
      </w:r>
      <w:r>
        <w:tab/>
        <w:t xml:space="preserve">Entry of orders is dealt with in Rule 39.32 of the </w:t>
      </w:r>
      <w:r>
        <w:rPr>
          <w:i/>
        </w:rPr>
        <w:t>Federal Court Rules 2011</w:t>
      </w:r>
      <w:r>
        <w:t>.</w:t>
      </w:r>
      <w:bookmarkEnd w:id="24"/>
    </w:p>
    <w:p w14:paraId="7BB802A3" w14:textId="77777777" w:rsidR="00E23577" w:rsidRDefault="00E23577" w:rsidP="002B0E91">
      <w:pPr>
        <w:pStyle w:val="BodyText"/>
      </w:pPr>
    </w:p>
    <w:p w14:paraId="5D4A25D8"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009AA86A" w14:textId="77777777" w:rsidR="00484F6D" w:rsidRPr="00045BB7" w:rsidRDefault="00484F6D" w:rsidP="00045BB7">
      <w:pPr>
        <w:pStyle w:val="NormalHeadings"/>
        <w:spacing w:line="480" w:lineRule="auto"/>
        <w:jc w:val="center"/>
        <w:rPr>
          <w:sz w:val="28"/>
          <w:szCs w:val="28"/>
        </w:rPr>
      </w:pPr>
      <w:bookmarkStart w:id="25" w:name="ReasonsPage"/>
      <w:bookmarkEnd w:id="25"/>
      <w:r w:rsidRPr="00045BB7">
        <w:rPr>
          <w:sz w:val="28"/>
          <w:szCs w:val="28"/>
        </w:rPr>
        <w:lastRenderedPageBreak/>
        <w:t>REASONS FOR JUDGMENT</w:t>
      </w:r>
    </w:p>
    <w:p w14:paraId="483B8EEC" w14:textId="4865E037" w:rsidR="00694BEB" w:rsidRDefault="005B5795" w:rsidP="005E0510">
      <w:pPr>
        <w:pStyle w:val="NormalHeadings"/>
        <w:spacing w:line="360" w:lineRule="auto"/>
        <w:jc w:val="left"/>
        <w:rPr>
          <w:sz w:val="26"/>
          <w:szCs w:val="26"/>
        </w:rPr>
      </w:pPr>
      <w:r>
        <w:rPr>
          <w:sz w:val="26"/>
          <w:szCs w:val="26"/>
        </w:rPr>
        <w:t>THE COURT:</w:t>
      </w:r>
    </w:p>
    <w:tbl>
      <w:tblPr>
        <w:tblW w:w="9291" w:type="dxa"/>
        <w:tblLook w:val="01E0" w:firstRow="1" w:lastRow="1" w:firstColumn="1" w:lastColumn="1" w:noHBand="0" w:noVBand="0"/>
      </w:tblPr>
      <w:tblGrid>
        <w:gridCol w:w="8291"/>
        <w:gridCol w:w="1000"/>
      </w:tblGrid>
      <w:tr w:rsidR="00695821" w:rsidRPr="00D326DB" w14:paraId="4C2C6C5A" w14:textId="77777777" w:rsidTr="00695821">
        <w:tc>
          <w:tcPr>
            <w:tcW w:w="8291" w:type="dxa"/>
            <w:shd w:val="clear" w:color="auto" w:fill="auto"/>
          </w:tcPr>
          <w:bookmarkStart w:id="26" w:name="PTOC"/>
          <w:p w14:paraId="5C545401" w14:textId="533264DD" w:rsidR="00695821" w:rsidRPr="00695821" w:rsidRDefault="00695821" w:rsidP="00695821">
            <w:pPr>
              <w:pStyle w:val="FTOC5"/>
              <w:tabs>
                <w:tab w:val="clear" w:pos="9072"/>
              </w:tabs>
              <w:rPr>
                <w:lang w:eastAsia="en-AU"/>
              </w:rPr>
            </w:pPr>
            <w:r>
              <w:rPr>
                <w:lang w:eastAsia="en-AU"/>
              </w:rPr>
              <w:fldChar w:fldCharType="begin"/>
            </w:r>
            <w:r>
              <w:rPr>
                <w:lang w:eastAsia="en-AU"/>
              </w:rPr>
              <w:instrText xml:space="preserve"> REF _Ref100588668 \w \h </w:instrText>
            </w:r>
            <w:r>
              <w:rPr>
                <w:lang w:eastAsia="en-AU"/>
              </w:rPr>
            </w:r>
            <w:r>
              <w:rPr>
                <w:lang w:eastAsia="en-AU"/>
              </w:rPr>
              <w:fldChar w:fldCharType="separate"/>
            </w:r>
            <w:r w:rsidR="00952739">
              <w:rPr>
                <w:lang w:eastAsia="en-AU"/>
              </w:rPr>
              <w:t>1</w:t>
            </w:r>
            <w:r>
              <w:rPr>
                <w:lang w:eastAsia="en-AU"/>
              </w:rPr>
              <w:fldChar w:fldCharType="end"/>
            </w:r>
            <w:r>
              <w:rPr>
                <w:lang w:eastAsia="en-AU"/>
              </w:rPr>
              <w:tab/>
            </w:r>
            <w:r>
              <w:rPr>
                <w:lang w:eastAsia="en-AU"/>
              </w:rPr>
              <w:fldChar w:fldCharType="begin"/>
            </w:r>
            <w:r>
              <w:rPr>
                <w:lang w:eastAsia="en-AU"/>
              </w:rPr>
              <w:instrText xml:space="preserve"> REF _Ref100588668 \h </w:instrText>
            </w:r>
            <w:r>
              <w:rPr>
                <w:lang w:eastAsia="en-AU"/>
              </w:rPr>
            </w:r>
            <w:r>
              <w:rPr>
                <w:lang w:eastAsia="en-AU"/>
              </w:rPr>
              <w:fldChar w:fldCharType="separate"/>
            </w:r>
            <w:r w:rsidR="00952739">
              <w:t>INTRODUCTION</w:t>
            </w:r>
            <w:r>
              <w:rPr>
                <w:lang w:eastAsia="en-AU"/>
              </w:rPr>
              <w:fldChar w:fldCharType="end"/>
            </w:r>
          </w:p>
        </w:tc>
        <w:tc>
          <w:tcPr>
            <w:tcW w:w="1000" w:type="dxa"/>
            <w:shd w:val="clear" w:color="auto" w:fill="auto"/>
            <w:vAlign w:val="bottom"/>
          </w:tcPr>
          <w:p w14:paraId="2A27992F" w14:textId="22CFA513" w:rsidR="00695821" w:rsidRDefault="00695821" w:rsidP="00640103">
            <w:pPr>
              <w:spacing w:before="120" w:after="60" w:line="240" w:lineRule="auto"/>
              <w:jc w:val="right"/>
              <w:rPr>
                <w:szCs w:val="24"/>
              </w:rPr>
            </w:pPr>
            <w:r>
              <w:rPr>
                <w:szCs w:val="24"/>
              </w:rPr>
              <w:t>[1]</w:t>
            </w:r>
          </w:p>
        </w:tc>
      </w:tr>
      <w:tr w:rsidR="00695821" w:rsidRPr="00D326DB" w14:paraId="196A7872" w14:textId="77777777" w:rsidTr="00695821">
        <w:tc>
          <w:tcPr>
            <w:tcW w:w="8291" w:type="dxa"/>
            <w:shd w:val="clear" w:color="auto" w:fill="auto"/>
          </w:tcPr>
          <w:p w14:paraId="0CA897BC" w14:textId="33BB14D3" w:rsidR="00695821" w:rsidRPr="00695821" w:rsidRDefault="00695821" w:rsidP="00695821">
            <w:pPr>
              <w:pStyle w:val="FTOC5"/>
              <w:tabs>
                <w:tab w:val="clear" w:pos="9072"/>
              </w:tabs>
              <w:rPr>
                <w:lang w:eastAsia="en-AU"/>
              </w:rPr>
            </w:pPr>
            <w:r>
              <w:rPr>
                <w:lang w:eastAsia="en-AU"/>
              </w:rPr>
              <w:fldChar w:fldCharType="begin"/>
            </w:r>
            <w:r>
              <w:rPr>
                <w:lang w:eastAsia="en-AU"/>
              </w:rPr>
              <w:instrText xml:space="preserve"> REF _Ref100588669 \w \h </w:instrText>
            </w:r>
            <w:r>
              <w:rPr>
                <w:lang w:eastAsia="en-AU"/>
              </w:rPr>
            </w:r>
            <w:r>
              <w:rPr>
                <w:lang w:eastAsia="en-AU"/>
              </w:rPr>
              <w:fldChar w:fldCharType="separate"/>
            </w:r>
            <w:r w:rsidR="00952739">
              <w:rPr>
                <w:lang w:eastAsia="en-AU"/>
              </w:rPr>
              <w:t>2</w:t>
            </w:r>
            <w:r>
              <w:rPr>
                <w:lang w:eastAsia="en-AU"/>
              </w:rPr>
              <w:fldChar w:fldCharType="end"/>
            </w:r>
            <w:r>
              <w:rPr>
                <w:lang w:eastAsia="en-AU"/>
              </w:rPr>
              <w:tab/>
            </w:r>
            <w:r>
              <w:rPr>
                <w:lang w:eastAsia="en-AU"/>
              </w:rPr>
              <w:fldChar w:fldCharType="begin"/>
            </w:r>
            <w:r>
              <w:rPr>
                <w:lang w:eastAsia="en-AU"/>
              </w:rPr>
              <w:instrText xml:space="preserve"> REF _Ref100588669 \h </w:instrText>
            </w:r>
            <w:r>
              <w:rPr>
                <w:lang w:eastAsia="en-AU"/>
              </w:rPr>
            </w:r>
            <w:r>
              <w:rPr>
                <w:lang w:eastAsia="en-AU"/>
              </w:rPr>
              <w:fldChar w:fldCharType="separate"/>
            </w:r>
            <w:r w:rsidR="00952739">
              <w:t>AGREED FACTS</w:t>
            </w:r>
            <w:r>
              <w:rPr>
                <w:lang w:eastAsia="en-AU"/>
              </w:rPr>
              <w:fldChar w:fldCharType="end"/>
            </w:r>
          </w:p>
        </w:tc>
        <w:tc>
          <w:tcPr>
            <w:tcW w:w="1000" w:type="dxa"/>
            <w:shd w:val="clear" w:color="auto" w:fill="auto"/>
            <w:vAlign w:val="bottom"/>
          </w:tcPr>
          <w:p w14:paraId="3AD1B06F" w14:textId="2A85AE0F" w:rsidR="00695821" w:rsidRDefault="00695821" w:rsidP="00640103">
            <w:pPr>
              <w:spacing w:before="120" w:after="60" w:line="240" w:lineRule="auto"/>
              <w:jc w:val="right"/>
              <w:rPr>
                <w:szCs w:val="24"/>
              </w:rPr>
            </w:pPr>
            <w:r>
              <w:rPr>
                <w:szCs w:val="24"/>
              </w:rPr>
              <w:t>[8]</w:t>
            </w:r>
          </w:p>
        </w:tc>
      </w:tr>
      <w:tr w:rsidR="00695821" w:rsidRPr="00D326DB" w14:paraId="763D8602" w14:textId="77777777" w:rsidTr="00695821">
        <w:tc>
          <w:tcPr>
            <w:tcW w:w="8291" w:type="dxa"/>
            <w:shd w:val="clear" w:color="auto" w:fill="auto"/>
          </w:tcPr>
          <w:p w14:paraId="6C3BA637" w14:textId="7BC52A3D" w:rsidR="00695821" w:rsidRPr="00695821" w:rsidRDefault="00695821" w:rsidP="00695821">
            <w:pPr>
              <w:pStyle w:val="FTOC5"/>
              <w:tabs>
                <w:tab w:val="clear" w:pos="9072"/>
              </w:tabs>
              <w:rPr>
                <w:lang w:eastAsia="en-AU"/>
              </w:rPr>
            </w:pPr>
            <w:r>
              <w:rPr>
                <w:lang w:eastAsia="en-AU"/>
              </w:rPr>
              <w:fldChar w:fldCharType="begin"/>
            </w:r>
            <w:r>
              <w:rPr>
                <w:lang w:eastAsia="en-AU"/>
              </w:rPr>
              <w:instrText xml:space="preserve"> REF _Ref100588670 \w \h </w:instrText>
            </w:r>
            <w:r>
              <w:rPr>
                <w:lang w:eastAsia="en-AU"/>
              </w:rPr>
            </w:r>
            <w:r>
              <w:rPr>
                <w:lang w:eastAsia="en-AU"/>
              </w:rPr>
              <w:fldChar w:fldCharType="separate"/>
            </w:r>
            <w:r w:rsidR="00952739">
              <w:rPr>
                <w:lang w:eastAsia="en-AU"/>
              </w:rPr>
              <w:t>3</w:t>
            </w:r>
            <w:r>
              <w:rPr>
                <w:lang w:eastAsia="en-AU"/>
              </w:rPr>
              <w:fldChar w:fldCharType="end"/>
            </w:r>
            <w:r>
              <w:rPr>
                <w:lang w:eastAsia="en-AU"/>
              </w:rPr>
              <w:tab/>
            </w:r>
            <w:r>
              <w:rPr>
                <w:lang w:eastAsia="en-AU"/>
              </w:rPr>
              <w:fldChar w:fldCharType="begin"/>
            </w:r>
            <w:r>
              <w:rPr>
                <w:lang w:eastAsia="en-AU"/>
              </w:rPr>
              <w:instrText xml:space="preserve"> REF _Ref100588670 \h </w:instrText>
            </w:r>
            <w:r>
              <w:rPr>
                <w:lang w:eastAsia="en-AU"/>
              </w:rPr>
            </w:r>
            <w:r>
              <w:rPr>
                <w:lang w:eastAsia="en-AU"/>
              </w:rPr>
              <w:fldChar w:fldCharType="separate"/>
            </w:r>
            <w:r w:rsidR="00952739">
              <w:t>RELEVANT LEGISLATION</w:t>
            </w:r>
            <w:r>
              <w:rPr>
                <w:lang w:eastAsia="en-AU"/>
              </w:rPr>
              <w:fldChar w:fldCharType="end"/>
            </w:r>
          </w:p>
        </w:tc>
        <w:tc>
          <w:tcPr>
            <w:tcW w:w="1000" w:type="dxa"/>
            <w:shd w:val="clear" w:color="auto" w:fill="auto"/>
            <w:vAlign w:val="bottom"/>
          </w:tcPr>
          <w:p w14:paraId="4764848A" w14:textId="093204D5" w:rsidR="00695821" w:rsidRDefault="00695821" w:rsidP="00640103">
            <w:pPr>
              <w:spacing w:before="120" w:after="60" w:line="240" w:lineRule="auto"/>
              <w:jc w:val="right"/>
              <w:rPr>
                <w:szCs w:val="24"/>
              </w:rPr>
            </w:pPr>
            <w:r>
              <w:rPr>
                <w:szCs w:val="24"/>
              </w:rPr>
              <w:t>[9]</w:t>
            </w:r>
          </w:p>
        </w:tc>
      </w:tr>
      <w:tr w:rsidR="00695821" w:rsidRPr="00D326DB" w14:paraId="78B1F2FA" w14:textId="77777777" w:rsidTr="00695821">
        <w:tc>
          <w:tcPr>
            <w:tcW w:w="8291" w:type="dxa"/>
            <w:shd w:val="clear" w:color="auto" w:fill="auto"/>
          </w:tcPr>
          <w:p w14:paraId="4B047FB9" w14:textId="20B47167" w:rsidR="00695821" w:rsidRPr="00695821" w:rsidRDefault="00695821" w:rsidP="00695821">
            <w:pPr>
              <w:pStyle w:val="FTOC5"/>
              <w:tabs>
                <w:tab w:val="clear" w:pos="9072"/>
              </w:tabs>
              <w:rPr>
                <w:lang w:eastAsia="en-AU"/>
              </w:rPr>
            </w:pPr>
            <w:r>
              <w:rPr>
                <w:lang w:eastAsia="en-AU"/>
              </w:rPr>
              <w:fldChar w:fldCharType="begin"/>
            </w:r>
            <w:r>
              <w:rPr>
                <w:lang w:eastAsia="en-AU"/>
              </w:rPr>
              <w:instrText xml:space="preserve"> REF _Ref100588671 \w \h </w:instrText>
            </w:r>
            <w:r>
              <w:rPr>
                <w:lang w:eastAsia="en-AU"/>
              </w:rPr>
            </w:r>
            <w:r>
              <w:rPr>
                <w:lang w:eastAsia="en-AU"/>
              </w:rPr>
              <w:fldChar w:fldCharType="separate"/>
            </w:r>
            <w:r w:rsidR="00952739">
              <w:rPr>
                <w:lang w:eastAsia="en-AU"/>
              </w:rPr>
              <w:t>4</w:t>
            </w:r>
            <w:r>
              <w:rPr>
                <w:lang w:eastAsia="en-AU"/>
              </w:rPr>
              <w:fldChar w:fldCharType="end"/>
            </w:r>
            <w:r>
              <w:rPr>
                <w:lang w:eastAsia="en-AU"/>
              </w:rPr>
              <w:tab/>
            </w:r>
            <w:r>
              <w:rPr>
                <w:lang w:eastAsia="en-AU"/>
              </w:rPr>
              <w:fldChar w:fldCharType="begin"/>
            </w:r>
            <w:r>
              <w:rPr>
                <w:lang w:eastAsia="en-AU"/>
              </w:rPr>
              <w:instrText xml:space="preserve"> REF _Ref100588671 \h </w:instrText>
            </w:r>
            <w:r>
              <w:rPr>
                <w:lang w:eastAsia="en-AU"/>
              </w:rPr>
            </w:r>
            <w:r>
              <w:rPr>
                <w:lang w:eastAsia="en-AU"/>
              </w:rPr>
              <w:fldChar w:fldCharType="separate"/>
            </w:r>
            <w:r w:rsidR="00952739" w:rsidRPr="00C72C6A">
              <w:t>THE DECISION OF THE DEPUTY COMMISSIONER</w:t>
            </w:r>
            <w:r>
              <w:rPr>
                <w:lang w:eastAsia="en-AU"/>
              </w:rPr>
              <w:fldChar w:fldCharType="end"/>
            </w:r>
          </w:p>
        </w:tc>
        <w:tc>
          <w:tcPr>
            <w:tcW w:w="1000" w:type="dxa"/>
            <w:shd w:val="clear" w:color="auto" w:fill="auto"/>
            <w:vAlign w:val="bottom"/>
          </w:tcPr>
          <w:p w14:paraId="06A4BB4B" w14:textId="4EF3A87B" w:rsidR="00695821" w:rsidRDefault="00695821" w:rsidP="00640103">
            <w:pPr>
              <w:spacing w:before="120" w:after="60" w:line="240" w:lineRule="auto"/>
              <w:jc w:val="right"/>
              <w:rPr>
                <w:szCs w:val="24"/>
              </w:rPr>
            </w:pPr>
            <w:r>
              <w:rPr>
                <w:szCs w:val="24"/>
              </w:rPr>
              <w:t>[30]</w:t>
            </w:r>
          </w:p>
        </w:tc>
      </w:tr>
      <w:tr w:rsidR="00695821" w:rsidRPr="00D326DB" w14:paraId="3310A592" w14:textId="77777777" w:rsidTr="00695821">
        <w:tc>
          <w:tcPr>
            <w:tcW w:w="8291" w:type="dxa"/>
            <w:shd w:val="clear" w:color="auto" w:fill="auto"/>
          </w:tcPr>
          <w:p w14:paraId="6895D483" w14:textId="5EFC318E" w:rsidR="00695821" w:rsidRPr="00695821" w:rsidRDefault="00695821" w:rsidP="00695821">
            <w:pPr>
              <w:pStyle w:val="FTOC5"/>
              <w:tabs>
                <w:tab w:val="clear" w:pos="9072"/>
              </w:tabs>
              <w:rPr>
                <w:lang w:eastAsia="en-AU"/>
              </w:rPr>
            </w:pPr>
            <w:r>
              <w:rPr>
                <w:lang w:eastAsia="en-AU"/>
              </w:rPr>
              <w:fldChar w:fldCharType="begin"/>
            </w:r>
            <w:r>
              <w:rPr>
                <w:lang w:eastAsia="en-AU"/>
              </w:rPr>
              <w:instrText xml:space="preserve"> REF _Ref100588672 \w \h </w:instrText>
            </w:r>
            <w:r>
              <w:rPr>
                <w:lang w:eastAsia="en-AU"/>
              </w:rPr>
            </w:r>
            <w:r>
              <w:rPr>
                <w:lang w:eastAsia="en-AU"/>
              </w:rPr>
              <w:fldChar w:fldCharType="separate"/>
            </w:r>
            <w:r w:rsidR="00952739">
              <w:rPr>
                <w:lang w:eastAsia="en-AU"/>
              </w:rPr>
              <w:t>5</w:t>
            </w:r>
            <w:r>
              <w:rPr>
                <w:lang w:eastAsia="en-AU"/>
              </w:rPr>
              <w:fldChar w:fldCharType="end"/>
            </w:r>
            <w:r>
              <w:rPr>
                <w:lang w:eastAsia="en-AU"/>
              </w:rPr>
              <w:tab/>
            </w:r>
            <w:r>
              <w:rPr>
                <w:lang w:eastAsia="en-AU"/>
              </w:rPr>
              <w:fldChar w:fldCharType="begin"/>
            </w:r>
            <w:r>
              <w:rPr>
                <w:lang w:eastAsia="en-AU"/>
              </w:rPr>
              <w:instrText xml:space="preserve"> REF _Ref100588672 \h </w:instrText>
            </w:r>
            <w:r>
              <w:rPr>
                <w:lang w:eastAsia="en-AU"/>
              </w:rPr>
            </w:r>
            <w:r>
              <w:rPr>
                <w:lang w:eastAsia="en-AU"/>
              </w:rPr>
              <w:fldChar w:fldCharType="separate"/>
            </w:r>
            <w:r w:rsidR="00952739">
              <w:t>THE DECISION OF THE PRIMARY JUDGE</w:t>
            </w:r>
            <w:r>
              <w:rPr>
                <w:lang w:eastAsia="en-AU"/>
              </w:rPr>
              <w:fldChar w:fldCharType="end"/>
            </w:r>
          </w:p>
        </w:tc>
        <w:tc>
          <w:tcPr>
            <w:tcW w:w="1000" w:type="dxa"/>
            <w:shd w:val="clear" w:color="auto" w:fill="auto"/>
            <w:vAlign w:val="bottom"/>
          </w:tcPr>
          <w:p w14:paraId="57069861" w14:textId="460222FD" w:rsidR="00695821" w:rsidRDefault="00695821" w:rsidP="00640103">
            <w:pPr>
              <w:spacing w:before="120" w:after="60" w:line="240" w:lineRule="auto"/>
              <w:jc w:val="right"/>
              <w:rPr>
                <w:szCs w:val="24"/>
              </w:rPr>
            </w:pPr>
            <w:r>
              <w:rPr>
                <w:szCs w:val="24"/>
              </w:rPr>
              <w:t>[39]</w:t>
            </w:r>
          </w:p>
        </w:tc>
      </w:tr>
      <w:tr w:rsidR="00695821" w:rsidRPr="00D326DB" w14:paraId="4A98CD9E" w14:textId="77777777" w:rsidTr="00695821">
        <w:tc>
          <w:tcPr>
            <w:tcW w:w="8291" w:type="dxa"/>
            <w:shd w:val="clear" w:color="auto" w:fill="auto"/>
          </w:tcPr>
          <w:p w14:paraId="7E7645C1" w14:textId="710EAA97" w:rsidR="00695821" w:rsidRPr="00695821" w:rsidRDefault="00695821" w:rsidP="00695821">
            <w:pPr>
              <w:pStyle w:val="FTOC5"/>
              <w:tabs>
                <w:tab w:val="clear" w:pos="9072"/>
              </w:tabs>
              <w:rPr>
                <w:lang w:eastAsia="en-AU"/>
              </w:rPr>
            </w:pPr>
            <w:r>
              <w:rPr>
                <w:lang w:eastAsia="en-AU"/>
              </w:rPr>
              <w:fldChar w:fldCharType="begin"/>
            </w:r>
            <w:r>
              <w:rPr>
                <w:lang w:eastAsia="en-AU"/>
              </w:rPr>
              <w:instrText xml:space="preserve"> REF _Ref100588673 \w \h </w:instrText>
            </w:r>
            <w:r>
              <w:rPr>
                <w:lang w:eastAsia="en-AU"/>
              </w:rPr>
            </w:r>
            <w:r>
              <w:rPr>
                <w:lang w:eastAsia="en-AU"/>
              </w:rPr>
              <w:fldChar w:fldCharType="separate"/>
            </w:r>
            <w:r w:rsidR="00952739">
              <w:rPr>
                <w:lang w:eastAsia="en-AU"/>
              </w:rPr>
              <w:t>6</w:t>
            </w:r>
            <w:r>
              <w:rPr>
                <w:lang w:eastAsia="en-AU"/>
              </w:rPr>
              <w:fldChar w:fldCharType="end"/>
            </w:r>
            <w:r>
              <w:rPr>
                <w:lang w:eastAsia="en-AU"/>
              </w:rPr>
              <w:tab/>
            </w:r>
            <w:r>
              <w:rPr>
                <w:lang w:eastAsia="en-AU"/>
              </w:rPr>
              <w:fldChar w:fldCharType="begin"/>
            </w:r>
            <w:r>
              <w:rPr>
                <w:lang w:eastAsia="en-AU"/>
              </w:rPr>
              <w:instrText xml:space="preserve"> REF _Ref100588673 \h </w:instrText>
            </w:r>
            <w:r>
              <w:rPr>
                <w:lang w:eastAsia="en-AU"/>
              </w:rPr>
            </w:r>
            <w:r>
              <w:rPr>
                <w:lang w:eastAsia="en-AU"/>
              </w:rPr>
              <w:fldChar w:fldCharType="separate"/>
            </w:r>
            <w:r w:rsidR="00952739">
              <w:t>THE SUBMISSIONS</w:t>
            </w:r>
            <w:r>
              <w:rPr>
                <w:lang w:eastAsia="en-AU"/>
              </w:rPr>
              <w:fldChar w:fldCharType="end"/>
            </w:r>
          </w:p>
        </w:tc>
        <w:tc>
          <w:tcPr>
            <w:tcW w:w="1000" w:type="dxa"/>
            <w:shd w:val="clear" w:color="auto" w:fill="auto"/>
            <w:vAlign w:val="bottom"/>
          </w:tcPr>
          <w:p w14:paraId="1A5F06E9" w14:textId="02935AAE" w:rsidR="00695821" w:rsidRDefault="00695821" w:rsidP="00640103">
            <w:pPr>
              <w:spacing w:before="120" w:after="60" w:line="240" w:lineRule="auto"/>
              <w:jc w:val="right"/>
              <w:rPr>
                <w:szCs w:val="24"/>
              </w:rPr>
            </w:pPr>
            <w:r>
              <w:rPr>
                <w:szCs w:val="24"/>
              </w:rPr>
              <w:t>[59]</w:t>
            </w:r>
          </w:p>
        </w:tc>
      </w:tr>
      <w:tr w:rsidR="00695821" w:rsidRPr="00D326DB" w14:paraId="285D6BFB" w14:textId="77777777" w:rsidTr="00695821">
        <w:tc>
          <w:tcPr>
            <w:tcW w:w="8291" w:type="dxa"/>
            <w:shd w:val="clear" w:color="auto" w:fill="auto"/>
          </w:tcPr>
          <w:p w14:paraId="4FB8E5AC" w14:textId="6746059C" w:rsidR="00695821" w:rsidRPr="00695821" w:rsidRDefault="00695821" w:rsidP="00695821">
            <w:pPr>
              <w:pStyle w:val="FTOC6"/>
              <w:tabs>
                <w:tab w:val="clear" w:pos="9072"/>
              </w:tabs>
              <w:rPr>
                <w:lang w:eastAsia="en-AU"/>
              </w:rPr>
            </w:pPr>
            <w:r>
              <w:rPr>
                <w:lang w:eastAsia="en-AU"/>
              </w:rPr>
              <w:fldChar w:fldCharType="begin"/>
            </w:r>
            <w:r>
              <w:rPr>
                <w:lang w:eastAsia="en-AU"/>
              </w:rPr>
              <w:instrText xml:space="preserve"> REF _Ref100588674 \w \h </w:instrText>
            </w:r>
            <w:r>
              <w:rPr>
                <w:lang w:eastAsia="en-AU"/>
              </w:rPr>
            </w:r>
            <w:r>
              <w:rPr>
                <w:lang w:eastAsia="en-AU"/>
              </w:rPr>
              <w:fldChar w:fldCharType="separate"/>
            </w:r>
            <w:r w:rsidR="00952739">
              <w:rPr>
                <w:lang w:eastAsia="en-AU"/>
              </w:rPr>
              <w:t>6.1</w:t>
            </w:r>
            <w:r>
              <w:rPr>
                <w:lang w:eastAsia="en-AU"/>
              </w:rPr>
              <w:fldChar w:fldCharType="end"/>
            </w:r>
            <w:r>
              <w:rPr>
                <w:lang w:eastAsia="en-AU"/>
              </w:rPr>
              <w:tab/>
            </w:r>
            <w:r>
              <w:rPr>
                <w:lang w:eastAsia="en-AU"/>
              </w:rPr>
              <w:fldChar w:fldCharType="begin"/>
            </w:r>
            <w:r>
              <w:rPr>
                <w:lang w:eastAsia="en-AU"/>
              </w:rPr>
              <w:instrText xml:space="preserve"> REF _Ref100588674 \h </w:instrText>
            </w:r>
            <w:r>
              <w:rPr>
                <w:lang w:eastAsia="en-AU"/>
              </w:rPr>
            </w:r>
            <w:r>
              <w:rPr>
                <w:lang w:eastAsia="en-AU"/>
              </w:rPr>
              <w:fldChar w:fldCharType="separate"/>
            </w:r>
            <w:r w:rsidR="00952739">
              <w:t>The Commissioner’s submissions</w:t>
            </w:r>
            <w:r>
              <w:rPr>
                <w:lang w:eastAsia="en-AU"/>
              </w:rPr>
              <w:fldChar w:fldCharType="end"/>
            </w:r>
          </w:p>
        </w:tc>
        <w:tc>
          <w:tcPr>
            <w:tcW w:w="1000" w:type="dxa"/>
            <w:shd w:val="clear" w:color="auto" w:fill="auto"/>
            <w:vAlign w:val="bottom"/>
          </w:tcPr>
          <w:p w14:paraId="034FD2FA" w14:textId="47CD101E" w:rsidR="00695821" w:rsidRDefault="00695821" w:rsidP="00640103">
            <w:pPr>
              <w:spacing w:before="120" w:after="60" w:line="240" w:lineRule="auto"/>
              <w:jc w:val="right"/>
              <w:rPr>
                <w:szCs w:val="24"/>
              </w:rPr>
            </w:pPr>
            <w:r>
              <w:rPr>
                <w:szCs w:val="24"/>
              </w:rPr>
              <w:t>[59]</w:t>
            </w:r>
          </w:p>
        </w:tc>
      </w:tr>
      <w:tr w:rsidR="00695821" w:rsidRPr="00D326DB" w14:paraId="5BED258B" w14:textId="77777777" w:rsidTr="00695821">
        <w:tc>
          <w:tcPr>
            <w:tcW w:w="8291" w:type="dxa"/>
            <w:shd w:val="clear" w:color="auto" w:fill="auto"/>
          </w:tcPr>
          <w:p w14:paraId="6EBCB2DC" w14:textId="54F3BCCB" w:rsidR="00695821" w:rsidRPr="00695821" w:rsidRDefault="00695821" w:rsidP="00695821">
            <w:pPr>
              <w:pStyle w:val="FTOC6"/>
              <w:tabs>
                <w:tab w:val="clear" w:pos="9072"/>
              </w:tabs>
              <w:rPr>
                <w:lang w:eastAsia="en-AU"/>
              </w:rPr>
            </w:pPr>
            <w:r>
              <w:rPr>
                <w:lang w:eastAsia="en-AU"/>
              </w:rPr>
              <w:fldChar w:fldCharType="begin"/>
            </w:r>
            <w:r>
              <w:rPr>
                <w:lang w:eastAsia="en-AU"/>
              </w:rPr>
              <w:instrText xml:space="preserve"> REF _Ref100588675 \w \h </w:instrText>
            </w:r>
            <w:r>
              <w:rPr>
                <w:lang w:eastAsia="en-AU"/>
              </w:rPr>
            </w:r>
            <w:r>
              <w:rPr>
                <w:lang w:eastAsia="en-AU"/>
              </w:rPr>
              <w:fldChar w:fldCharType="separate"/>
            </w:r>
            <w:r w:rsidR="00952739">
              <w:rPr>
                <w:lang w:eastAsia="en-AU"/>
              </w:rPr>
              <w:t>6.2</w:t>
            </w:r>
            <w:r>
              <w:rPr>
                <w:lang w:eastAsia="en-AU"/>
              </w:rPr>
              <w:fldChar w:fldCharType="end"/>
            </w:r>
            <w:r>
              <w:rPr>
                <w:lang w:eastAsia="en-AU"/>
              </w:rPr>
              <w:tab/>
            </w:r>
            <w:r>
              <w:rPr>
                <w:lang w:eastAsia="en-AU"/>
              </w:rPr>
              <w:fldChar w:fldCharType="begin"/>
            </w:r>
            <w:r>
              <w:rPr>
                <w:lang w:eastAsia="en-AU"/>
              </w:rPr>
              <w:instrText xml:space="preserve"> REF _Ref100588675 \h </w:instrText>
            </w:r>
            <w:r>
              <w:rPr>
                <w:lang w:eastAsia="en-AU"/>
              </w:rPr>
            </w:r>
            <w:r>
              <w:rPr>
                <w:lang w:eastAsia="en-AU"/>
              </w:rPr>
              <w:fldChar w:fldCharType="separate"/>
            </w:r>
            <w:r w:rsidR="00952739">
              <w:t xml:space="preserve">Dr </w:t>
            </w:r>
            <w:proofErr w:type="spellStart"/>
            <w:r w:rsidR="00952739">
              <w:t>Thaler’s</w:t>
            </w:r>
            <w:proofErr w:type="spellEnd"/>
            <w:r w:rsidR="00952739">
              <w:t xml:space="preserve"> submissions</w:t>
            </w:r>
            <w:r>
              <w:rPr>
                <w:lang w:eastAsia="en-AU"/>
              </w:rPr>
              <w:fldChar w:fldCharType="end"/>
            </w:r>
          </w:p>
        </w:tc>
        <w:tc>
          <w:tcPr>
            <w:tcW w:w="1000" w:type="dxa"/>
            <w:shd w:val="clear" w:color="auto" w:fill="auto"/>
            <w:vAlign w:val="bottom"/>
          </w:tcPr>
          <w:p w14:paraId="582699F5" w14:textId="7EB86215" w:rsidR="00695821" w:rsidRDefault="00695821" w:rsidP="00640103">
            <w:pPr>
              <w:spacing w:before="120" w:after="60" w:line="240" w:lineRule="auto"/>
              <w:jc w:val="right"/>
              <w:rPr>
                <w:szCs w:val="24"/>
              </w:rPr>
            </w:pPr>
            <w:r>
              <w:rPr>
                <w:szCs w:val="24"/>
              </w:rPr>
              <w:t>[64]</w:t>
            </w:r>
          </w:p>
        </w:tc>
      </w:tr>
      <w:tr w:rsidR="00695821" w:rsidRPr="00D326DB" w14:paraId="07196552" w14:textId="77777777" w:rsidTr="00695821">
        <w:tc>
          <w:tcPr>
            <w:tcW w:w="8291" w:type="dxa"/>
            <w:shd w:val="clear" w:color="auto" w:fill="auto"/>
          </w:tcPr>
          <w:p w14:paraId="32FDE3C2" w14:textId="1BDDFE46" w:rsidR="00695821" w:rsidRPr="00695821" w:rsidRDefault="00695821" w:rsidP="00695821">
            <w:pPr>
              <w:pStyle w:val="FTOC5"/>
              <w:tabs>
                <w:tab w:val="clear" w:pos="9072"/>
              </w:tabs>
              <w:rPr>
                <w:lang w:eastAsia="en-AU"/>
              </w:rPr>
            </w:pPr>
            <w:r>
              <w:rPr>
                <w:lang w:eastAsia="en-AU"/>
              </w:rPr>
              <w:fldChar w:fldCharType="begin"/>
            </w:r>
            <w:r>
              <w:rPr>
                <w:lang w:eastAsia="en-AU"/>
              </w:rPr>
              <w:instrText xml:space="preserve"> REF _Ref100588676 \w \h </w:instrText>
            </w:r>
            <w:r>
              <w:rPr>
                <w:lang w:eastAsia="en-AU"/>
              </w:rPr>
            </w:r>
            <w:r>
              <w:rPr>
                <w:lang w:eastAsia="en-AU"/>
              </w:rPr>
              <w:fldChar w:fldCharType="separate"/>
            </w:r>
            <w:r w:rsidR="00952739">
              <w:rPr>
                <w:lang w:eastAsia="en-AU"/>
              </w:rPr>
              <w:t>7</w:t>
            </w:r>
            <w:r>
              <w:rPr>
                <w:lang w:eastAsia="en-AU"/>
              </w:rPr>
              <w:fldChar w:fldCharType="end"/>
            </w:r>
            <w:r>
              <w:rPr>
                <w:lang w:eastAsia="en-AU"/>
              </w:rPr>
              <w:tab/>
            </w:r>
            <w:r>
              <w:rPr>
                <w:lang w:eastAsia="en-AU"/>
              </w:rPr>
              <w:fldChar w:fldCharType="begin"/>
            </w:r>
            <w:r>
              <w:rPr>
                <w:lang w:eastAsia="en-AU"/>
              </w:rPr>
              <w:instrText xml:space="preserve"> REF _Ref100588676 \h </w:instrText>
            </w:r>
            <w:r>
              <w:rPr>
                <w:lang w:eastAsia="en-AU"/>
              </w:rPr>
            </w:r>
            <w:r>
              <w:rPr>
                <w:lang w:eastAsia="en-AU"/>
              </w:rPr>
              <w:fldChar w:fldCharType="separate"/>
            </w:r>
            <w:r w:rsidR="00952739">
              <w:t>CONSIDERATION</w:t>
            </w:r>
            <w:r>
              <w:rPr>
                <w:lang w:eastAsia="en-AU"/>
              </w:rPr>
              <w:fldChar w:fldCharType="end"/>
            </w:r>
          </w:p>
        </w:tc>
        <w:tc>
          <w:tcPr>
            <w:tcW w:w="1000" w:type="dxa"/>
            <w:shd w:val="clear" w:color="auto" w:fill="auto"/>
            <w:vAlign w:val="bottom"/>
          </w:tcPr>
          <w:p w14:paraId="511754B4" w14:textId="64657641" w:rsidR="00695821" w:rsidRDefault="00695821" w:rsidP="00640103">
            <w:pPr>
              <w:spacing w:before="120" w:after="60" w:line="240" w:lineRule="auto"/>
              <w:jc w:val="right"/>
              <w:rPr>
                <w:szCs w:val="24"/>
              </w:rPr>
            </w:pPr>
            <w:r>
              <w:rPr>
                <w:szCs w:val="24"/>
              </w:rPr>
              <w:t>[73]</w:t>
            </w:r>
          </w:p>
        </w:tc>
      </w:tr>
      <w:tr w:rsidR="00695821" w:rsidRPr="00D326DB" w14:paraId="716C1991" w14:textId="77777777" w:rsidTr="00695821">
        <w:tc>
          <w:tcPr>
            <w:tcW w:w="8291" w:type="dxa"/>
            <w:shd w:val="clear" w:color="auto" w:fill="auto"/>
          </w:tcPr>
          <w:p w14:paraId="4369C131" w14:textId="4CB914A0" w:rsidR="00695821" w:rsidRPr="00695821" w:rsidRDefault="00695821" w:rsidP="00695821">
            <w:pPr>
              <w:pStyle w:val="FTOC5"/>
              <w:tabs>
                <w:tab w:val="clear" w:pos="9072"/>
              </w:tabs>
              <w:rPr>
                <w:lang w:eastAsia="en-AU"/>
              </w:rPr>
            </w:pPr>
            <w:r>
              <w:rPr>
                <w:lang w:eastAsia="en-AU"/>
              </w:rPr>
              <w:fldChar w:fldCharType="begin"/>
            </w:r>
            <w:r>
              <w:rPr>
                <w:lang w:eastAsia="en-AU"/>
              </w:rPr>
              <w:instrText xml:space="preserve"> REF _Ref100588677 \w \h </w:instrText>
            </w:r>
            <w:r>
              <w:rPr>
                <w:lang w:eastAsia="en-AU"/>
              </w:rPr>
            </w:r>
            <w:r>
              <w:rPr>
                <w:lang w:eastAsia="en-AU"/>
              </w:rPr>
              <w:fldChar w:fldCharType="separate"/>
            </w:r>
            <w:r w:rsidR="00952739">
              <w:rPr>
                <w:lang w:eastAsia="en-AU"/>
              </w:rPr>
              <w:t>8</w:t>
            </w:r>
            <w:r>
              <w:rPr>
                <w:lang w:eastAsia="en-AU"/>
              </w:rPr>
              <w:fldChar w:fldCharType="end"/>
            </w:r>
            <w:r>
              <w:rPr>
                <w:lang w:eastAsia="en-AU"/>
              </w:rPr>
              <w:tab/>
            </w:r>
            <w:r>
              <w:rPr>
                <w:lang w:eastAsia="en-AU"/>
              </w:rPr>
              <w:fldChar w:fldCharType="begin"/>
            </w:r>
            <w:r>
              <w:rPr>
                <w:lang w:eastAsia="en-AU"/>
              </w:rPr>
              <w:instrText xml:space="preserve"> REF _Ref100588677 \h </w:instrText>
            </w:r>
            <w:r>
              <w:rPr>
                <w:lang w:eastAsia="en-AU"/>
              </w:rPr>
            </w:r>
            <w:r>
              <w:rPr>
                <w:lang w:eastAsia="en-AU"/>
              </w:rPr>
              <w:fldChar w:fldCharType="separate"/>
            </w:r>
            <w:r w:rsidR="00952739">
              <w:t>DISPOSITION</w:t>
            </w:r>
            <w:r>
              <w:rPr>
                <w:lang w:eastAsia="en-AU"/>
              </w:rPr>
              <w:fldChar w:fldCharType="end"/>
            </w:r>
          </w:p>
        </w:tc>
        <w:tc>
          <w:tcPr>
            <w:tcW w:w="1000" w:type="dxa"/>
            <w:shd w:val="clear" w:color="auto" w:fill="auto"/>
            <w:vAlign w:val="bottom"/>
          </w:tcPr>
          <w:p w14:paraId="4B254F9D" w14:textId="7B0A6C36" w:rsidR="00695821" w:rsidRDefault="00695821" w:rsidP="00640103">
            <w:pPr>
              <w:spacing w:before="120" w:after="60" w:line="240" w:lineRule="auto"/>
              <w:jc w:val="right"/>
              <w:rPr>
                <w:szCs w:val="24"/>
              </w:rPr>
            </w:pPr>
            <w:r>
              <w:rPr>
                <w:szCs w:val="24"/>
              </w:rPr>
              <w:t>[123]</w:t>
            </w:r>
          </w:p>
        </w:tc>
      </w:tr>
      <w:bookmarkEnd w:id="26"/>
    </w:tbl>
    <w:p w14:paraId="7929611E" w14:textId="77777777" w:rsidR="00D53967" w:rsidRDefault="00D53967" w:rsidP="005E0510">
      <w:pPr>
        <w:pStyle w:val="NormalHeadings"/>
        <w:spacing w:line="360" w:lineRule="auto"/>
        <w:jc w:val="left"/>
        <w:rPr>
          <w:sz w:val="26"/>
          <w:szCs w:val="26"/>
        </w:rPr>
      </w:pPr>
    </w:p>
    <w:p w14:paraId="2FE6D837" w14:textId="77777777" w:rsidR="00CD1346" w:rsidRDefault="00420D92" w:rsidP="00420D92">
      <w:pPr>
        <w:pStyle w:val="Heading5"/>
      </w:pPr>
      <w:bookmarkStart w:id="27" w:name="_Ref100588668"/>
      <w:r>
        <w:t>INTRODUCTION</w:t>
      </w:r>
      <w:bookmarkEnd w:id="27"/>
      <w:r>
        <w:t xml:space="preserve"> </w:t>
      </w:r>
    </w:p>
    <w:p w14:paraId="46018B2D" w14:textId="77777777" w:rsidR="00AA2058" w:rsidRDefault="00AA2058" w:rsidP="00AA2058">
      <w:pPr>
        <w:pStyle w:val="ParaNumbering"/>
      </w:pPr>
      <w:r>
        <w:t xml:space="preserve">The central question in this appeal is whether a device characterised as an artificial intelligence machine can be considered to be an “inventor” within the meaning ascribed to that term in the </w:t>
      </w:r>
      <w:r w:rsidRPr="00276C7E">
        <w:rPr>
          <w:b/>
          <w:i/>
        </w:rPr>
        <w:t xml:space="preserve">Patents Act </w:t>
      </w:r>
      <w:r w:rsidRPr="00276C7E">
        <w:rPr>
          <w:i/>
        </w:rPr>
        <w:t>1990</w:t>
      </w:r>
      <w:r w:rsidRPr="00276C7E">
        <w:t xml:space="preserve"> (</w:t>
      </w:r>
      <w:proofErr w:type="spellStart"/>
      <w:r w:rsidRPr="00276C7E">
        <w:t>Cth</w:t>
      </w:r>
      <w:proofErr w:type="spellEnd"/>
      <w:r w:rsidRPr="00276C7E">
        <w:t>)</w:t>
      </w:r>
      <w:r>
        <w:t xml:space="preserve"> and the </w:t>
      </w:r>
      <w:r w:rsidRPr="00276C7E">
        <w:rPr>
          <w:i/>
        </w:rPr>
        <w:t xml:space="preserve">Patents </w:t>
      </w:r>
      <w:r w:rsidRPr="00276C7E">
        <w:rPr>
          <w:b/>
          <w:i/>
        </w:rPr>
        <w:t>Regulations</w:t>
      </w:r>
      <w:r w:rsidR="00037D83" w:rsidRPr="00276C7E">
        <w:rPr>
          <w:i/>
        </w:rPr>
        <w:t xml:space="preserve"> 1991</w:t>
      </w:r>
      <w:r w:rsidR="00037D83" w:rsidRPr="00276C7E">
        <w:t xml:space="preserve"> (</w:t>
      </w:r>
      <w:proofErr w:type="spellStart"/>
      <w:r w:rsidR="00037D83" w:rsidRPr="00276C7E">
        <w:t>Cth</w:t>
      </w:r>
      <w:proofErr w:type="spellEnd"/>
      <w:r w:rsidR="00037D83" w:rsidRPr="00276C7E">
        <w:t>)</w:t>
      </w:r>
      <w:r>
        <w:t xml:space="preserve">. </w:t>
      </w:r>
    </w:p>
    <w:p w14:paraId="444504FB" w14:textId="155F2339" w:rsidR="00555F0F" w:rsidRDefault="00555F0F" w:rsidP="00B72CCB">
      <w:pPr>
        <w:pStyle w:val="ParaNumbering"/>
      </w:pPr>
      <w:r>
        <w:t>The respondent, S</w:t>
      </w:r>
      <w:r w:rsidR="00AA2058">
        <w:t xml:space="preserve">tephen </w:t>
      </w:r>
      <w:proofErr w:type="spellStart"/>
      <w:r w:rsidR="00AA2058">
        <w:t>Thaler</w:t>
      </w:r>
      <w:proofErr w:type="spellEnd"/>
      <w:r w:rsidR="00AA1E8C">
        <w:t>,</w:t>
      </w:r>
      <w:r>
        <w:t xml:space="preserve"> is the applicant for</w:t>
      </w:r>
      <w:r w:rsidR="00AA2058">
        <w:t xml:space="preserve"> </w:t>
      </w:r>
      <w:r w:rsidR="00420D92">
        <w:t xml:space="preserve">patent </w:t>
      </w:r>
      <w:r w:rsidR="00420D92" w:rsidRPr="00037D83">
        <w:rPr>
          <w:b/>
        </w:rPr>
        <w:t>application</w:t>
      </w:r>
      <w:r w:rsidR="00420D92">
        <w:t xml:space="preserve"> No</w:t>
      </w:r>
      <w:r w:rsidR="00AA1E8C">
        <w:t>.</w:t>
      </w:r>
      <w:r w:rsidR="00420D92">
        <w:t xml:space="preserve"> 2019363177 </w:t>
      </w:r>
      <w:r w:rsidR="00037D83">
        <w:t xml:space="preserve">entitled “Food container and devices and methods for attracting enhanced attention” </w:t>
      </w:r>
      <w:r>
        <w:t xml:space="preserve">which was filed on 17 September 2019 </w:t>
      </w:r>
      <w:r w:rsidR="00420D92">
        <w:t xml:space="preserve">under the </w:t>
      </w:r>
      <w:r>
        <w:t xml:space="preserve">terms of the </w:t>
      </w:r>
      <w:r w:rsidR="00420D92">
        <w:t>Patent Cooperation Treaty</w:t>
      </w:r>
      <w:r w:rsidR="00B72CCB">
        <w:t xml:space="preserve"> </w:t>
      </w:r>
      <w:r w:rsidR="00B72CCB" w:rsidRPr="00B72CCB">
        <w:t xml:space="preserve">(Washington, 19 June 1970) </w:t>
      </w:r>
      <w:r w:rsidR="00420D92">
        <w:t>(</w:t>
      </w:r>
      <w:r w:rsidR="00420D92" w:rsidRPr="00037D83">
        <w:rPr>
          <w:b/>
        </w:rPr>
        <w:t>PCT</w:t>
      </w:r>
      <w:r w:rsidR="00420D92">
        <w:t xml:space="preserve">). </w:t>
      </w:r>
      <w:r>
        <w:t xml:space="preserve">In the application, Dr </w:t>
      </w:r>
      <w:proofErr w:type="spellStart"/>
      <w:r>
        <w:t>Thaler</w:t>
      </w:r>
      <w:proofErr w:type="spellEnd"/>
      <w:r>
        <w:t xml:space="preserve"> gave as</w:t>
      </w:r>
      <w:r w:rsidR="00AA2058">
        <w:t xml:space="preserve"> </w:t>
      </w:r>
      <w:r w:rsidR="00576320">
        <w:t>the name of the inventor</w:t>
      </w:r>
      <w:r w:rsidR="00AA2058">
        <w:t xml:space="preserve"> </w:t>
      </w:r>
      <w:r w:rsidR="00087875">
        <w:t>“</w:t>
      </w:r>
      <w:r w:rsidR="00087875" w:rsidRPr="00037D83">
        <w:rPr>
          <w:b/>
        </w:rPr>
        <w:t>DABUS</w:t>
      </w:r>
      <w:r>
        <w:t>” with the additional comment “</w:t>
      </w:r>
      <w:r w:rsidR="006115E8">
        <w:t>[</w:t>
      </w:r>
      <w:r w:rsidR="00AA2058">
        <w:t>t</w:t>
      </w:r>
      <w:r w:rsidR="006115E8">
        <w:t>]</w:t>
      </w:r>
      <w:r w:rsidR="00087875">
        <w:t xml:space="preserve">he invention was autonomously generated by an artificial intelligence”. </w:t>
      </w:r>
      <w:r>
        <w:t xml:space="preserve">DABUS is an acronym for “device for the autonomous bootstrapping of unified sentience”. </w:t>
      </w:r>
    </w:p>
    <w:p w14:paraId="26DCDD8A" w14:textId="3E9C93E4" w:rsidR="00A35EFF" w:rsidRDefault="00555F0F" w:rsidP="005D01BD">
      <w:pPr>
        <w:pStyle w:val="ParaNumbering"/>
      </w:pPr>
      <w:r>
        <w:t>The application entered the national phase of processing on 9 September 2020, and</w:t>
      </w:r>
      <w:r w:rsidR="00F37D21">
        <w:t>,</w:t>
      </w:r>
      <w:r>
        <w:t xml:space="preserve"> shortly after that date</w:t>
      </w:r>
      <w:r w:rsidR="00F37D21">
        <w:t>,</w:t>
      </w:r>
      <w:r>
        <w:t xml:space="preserve"> </w:t>
      </w:r>
      <w:r w:rsidR="003F61AC">
        <w:t>IP Australia</w:t>
      </w:r>
      <w:r>
        <w:t xml:space="preserve"> wrote to Dr </w:t>
      </w:r>
      <w:proofErr w:type="spellStart"/>
      <w:r>
        <w:t>Thaler’s</w:t>
      </w:r>
      <w:proofErr w:type="spellEnd"/>
      <w:r>
        <w:t xml:space="preserve"> patent attorneys stating that the application did not comply with </w:t>
      </w:r>
      <w:proofErr w:type="spellStart"/>
      <w:r w:rsidRPr="00276C7E">
        <w:t>reg</w:t>
      </w:r>
      <w:proofErr w:type="spellEnd"/>
      <w:r w:rsidRPr="00276C7E">
        <w:t xml:space="preserve"> 3.2C </w:t>
      </w:r>
      <w:r w:rsidR="00F37D21" w:rsidRPr="00276C7E">
        <w:t xml:space="preserve">of the </w:t>
      </w:r>
      <w:r w:rsidR="00F37D21" w:rsidRPr="00276C7E">
        <w:rPr>
          <w:i/>
        </w:rPr>
        <w:t>Regulations</w:t>
      </w:r>
      <w:r w:rsidR="00F37D21" w:rsidRPr="00276C7E">
        <w:t xml:space="preserve"> </w:t>
      </w:r>
      <w:r>
        <w:t>because it failed to identify a natural person as the inventor.</w:t>
      </w:r>
      <w:r w:rsidR="00A35EFF">
        <w:t xml:space="preserve"> </w:t>
      </w:r>
      <w:r w:rsidR="003F61AC">
        <w:t>IP Australia</w:t>
      </w:r>
      <w:r w:rsidR="00A35EFF">
        <w:t xml:space="preserve"> invited Dr </w:t>
      </w:r>
      <w:proofErr w:type="spellStart"/>
      <w:r w:rsidR="00A35EFF">
        <w:t>Thaler</w:t>
      </w:r>
      <w:proofErr w:type="spellEnd"/>
      <w:r w:rsidR="00A35EFF">
        <w:t xml:space="preserve"> to supply the name of one or more natural persons as the inventors, </w:t>
      </w:r>
      <w:r w:rsidR="0067130E">
        <w:t>or</w:t>
      </w:r>
      <w:r w:rsidR="00A35EFF">
        <w:t xml:space="preserve"> provide submissions explaining how DABUS could be recorded as an inventor</w:t>
      </w:r>
      <w:r w:rsidR="0013734E">
        <w:t xml:space="preserve">, failing </w:t>
      </w:r>
      <w:r w:rsidR="00B81C14">
        <w:t xml:space="preserve">the acceptance of </w:t>
      </w:r>
      <w:r w:rsidR="0013734E">
        <w:t>which the application would lapse</w:t>
      </w:r>
      <w:r w:rsidR="00A35EFF">
        <w:t>.</w:t>
      </w:r>
      <w:r>
        <w:t xml:space="preserve"> Dr </w:t>
      </w:r>
      <w:proofErr w:type="spellStart"/>
      <w:r>
        <w:t>Thaler</w:t>
      </w:r>
      <w:proofErr w:type="spellEnd"/>
      <w:r>
        <w:t xml:space="preserve"> </w:t>
      </w:r>
      <w:r w:rsidR="0013734E">
        <w:t xml:space="preserve">advanced </w:t>
      </w:r>
      <w:r w:rsidR="0013734E">
        <w:lastRenderedPageBreak/>
        <w:t xml:space="preserve">submissions in support of the position that an artificial intelligence </w:t>
      </w:r>
      <w:r w:rsidR="00A35EFF">
        <w:t xml:space="preserve">could legitimately be named as an inventor. </w:t>
      </w:r>
    </w:p>
    <w:p w14:paraId="022BAE22" w14:textId="40535B43" w:rsidR="00555F0F" w:rsidRDefault="00A35EFF" w:rsidP="005D01BD">
      <w:pPr>
        <w:pStyle w:val="ParaNumbering"/>
      </w:pPr>
      <w:r>
        <w:t xml:space="preserve">The question was considered by Dr S D Barker, the </w:t>
      </w:r>
      <w:r w:rsidRPr="0013734E">
        <w:rPr>
          <w:b/>
        </w:rPr>
        <w:t>Deputy Commissioner</w:t>
      </w:r>
      <w:r>
        <w:t xml:space="preserve"> of Patents</w:t>
      </w:r>
      <w:r w:rsidR="004D5E98">
        <w:t>,</w:t>
      </w:r>
      <w:r>
        <w:t xml:space="preserve"> who determined that the terms of the </w:t>
      </w:r>
      <w:r w:rsidRPr="00877ECB">
        <w:rPr>
          <w:i/>
        </w:rPr>
        <w:t>Patents Act</w:t>
      </w:r>
      <w:r>
        <w:t xml:space="preserve"> and </w:t>
      </w:r>
      <w:r w:rsidRPr="00877ECB">
        <w:rPr>
          <w:i/>
        </w:rPr>
        <w:t>Regulations</w:t>
      </w:r>
      <w:r>
        <w:t xml:space="preserve"> were inconsistent with an artificial intelligence being treated as an inventor</w:t>
      </w:r>
      <w:r w:rsidR="00477D97">
        <w:t>:</w:t>
      </w:r>
      <w:r>
        <w:t xml:space="preserve"> </w:t>
      </w:r>
      <w:r w:rsidRPr="00276C7E">
        <w:rPr>
          <w:i/>
        </w:rPr>
        <w:t>Stephen L</w:t>
      </w:r>
      <w:r w:rsidR="00B81C14" w:rsidRPr="00276C7E">
        <w:rPr>
          <w:i/>
        </w:rPr>
        <w:t>.</w:t>
      </w:r>
      <w:r w:rsidRPr="00276C7E">
        <w:rPr>
          <w:i/>
        </w:rPr>
        <w:t xml:space="preserve"> </w:t>
      </w:r>
      <w:proofErr w:type="spellStart"/>
      <w:r w:rsidRPr="00276C7E">
        <w:rPr>
          <w:i/>
        </w:rPr>
        <w:t>Thaler</w:t>
      </w:r>
      <w:proofErr w:type="spellEnd"/>
      <w:r w:rsidRPr="00276C7E">
        <w:t xml:space="preserve"> [2021] APO 5</w:t>
      </w:r>
      <w:r>
        <w:t xml:space="preserve">. The consequence was that the application lapsed. </w:t>
      </w:r>
    </w:p>
    <w:p w14:paraId="60C40E44" w14:textId="1F9270D0" w:rsidR="0067130E" w:rsidRDefault="0067130E" w:rsidP="005D01BD">
      <w:pPr>
        <w:pStyle w:val="ParaNumbering"/>
      </w:pPr>
      <w:r>
        <w:t xml:space="preserve">Dr </w:t>
      </w:r>
      <w:proofErr w:type="spellStart"/>
      <w:r>
        <w:t>Thaler</w:t>
      </w:r>
      <w:proofErr w:type="spellEnd"/>
      <w:r>
        <w:t xml:space="preserve"> applied to this </w:t>
      </w:r>
      <w:r w:rsidR="00C746A8">
        <w:t xml:space="preserve">Court </w:t>
      </w:r>
      <w:r>
        <w:t xml:space="preserve">for judicial review of the decision of the Deputy Commissioner on the basis that he had erred in law. The primary judge concluded that an inventor as recognised under the </w:t>
      </w:r>
      <w:r w:rsidRPr="00877ECB">
        <w:rPr>
          <w:i/>
        </w:rPr>
        <w:t>Patents Act</w:t>
      </w:r>
      <w:r>
        <w:t xml:space="preserve"> can be an artificial intelligence system o</w:t>
      </w:r>
      <w:r w:rsidR="00956A6A">
        <w:t>r</w:t>
      </w:r>
      <w:r>
        <w:t xml:space="preserve"> device and ordered that the Deputy Commissioner’s determinations be set aside</w:t>
      </w:r>
      <w:r w:rsidR="00956A6A">
        <w:t>:</w:t>
      </w:r>
      <w:r>
        <w:t xml:space="preserve"> </w:t>
      </w:r>
      <w:proofErr w:type="spellStart"/>
      <w:r w:rsidRPr="00276C7E">
        <w:rPr>
          <w:i/>
        </w:rPr>
        <w:t>Thaler</w:t>
      </w:r>
      <w:proofErr w:type="spellEnd"/>
      <w:r w:rsidRPr="00276C7E">
        <w:rPr>
          <w:i/>
        </w:rPr>
        <w:t xml:space="preserve"> v Commissioner of Patents </w:t>
      </w:r>
      <w:r w:rsidRPr="00276C7E">
        <w:t>[2021] FCA 879</w:t>
      </w:r>
      <w:r w:rsidR="00457DCC" w:rsidRPr="00276C7E">
        <w:t>; 160 IPR 72</w:t>
      </w:r>
      <w:r>
        <w:t xml:space="preserve"> (</w:t>
      </w:r>
      <w:r w:rsidRPr="0067130E">
        <w:rPr>
          <w:b/>
        </w:rPr>
        <w:t>J</w:t>
      </w:r>
      <w:r>
        <w:t>)</w:t>
      </w:r>
      <w:r w:rsidR="00956A6A">
        <w:t xml:space="preserve"> at [226]-[227]</w:t>
      </w:r>
      <w:r>
        <w:t>.</w:t>
      </w:r>
    </w:p>
    <w:p w14:paraId="5C641E38" w14:textId="4FFE8C0A" w:rsidR="0067130E" w:rsidRPr="0067130E" w:rsidRDefault="0067130E" w:rsidP="0067130E">
      <w:pPr>
        <w:pStyle w:val="ParaNumbering"/>
      </w:pPr>
      <w:r>
        <w:t xml:space="preserve">The </w:t>
      </w:r>
      <w:r w:rsidRPr="00877ECB">
        <w:rPr>
          <w:b/>
        </w:rPr>
        <w:t>Commissioner</w:t>
      </w:r>
      <w:r>
        <w:t xml:space="preserve"> </w:t>
      </w:r>
      <w:r w:rsidR="00914730">
        <w:t xml:space="preserve">of Patents </w:t>
      </w:r>
      <w:r>
        <w:t>now appeals from the decision of the primary judge on two broad bases</w:t>
      </w:r>
      <w:r w:rsidR="004A78A3">
        <w:t>, each particular</w:t>
      </w:r>
      <w:r w:rsidR="003F6453">
        <w:t>i</w:t>
      </w:r>
      <w:r w:rsidR="004A78A3">
        <w:t>s</w:t>
      </w:r>
      <w:r w:rsidR="003F6453">
        <w:t>ed in multiple ways</w:t>
      </w:r>
      <w:r>
        <w:t xml:space="preserve">. First, that the primary judge misconstrued </w:t>
      </w:r>
      <w:r w:rsidRPr="00276C7E">
        <w:t>s</w:t>
      </w:r>
      <w:r w:rsidR="009C15D0">
        <w:t> </w:t>
      </w:r>
      <w:r w:rsidRPr="00276C7E">
        <w:t xml:space="preserve">15 of the </w:t>
      </w:r>
      <w:r w:rsidRPr="00276C7E">
        <w:rPr>
          <w:i/>
        </w:rPr>
        <w:t>Patents Act</w:t>
      </w:r>
      <w:r>
        <w:t xml:space="preserve"> and </w:t>
      </w:r>
      <w:proofErr w:type="spellStart"/>
      <w:r w:rsidRPr="00276C7E">
        <w:t>reg</w:t>
      </w:r>
      <w:proofErr w:type="spellEnd"/>
      <w:r w:rsidRPr="00276C7E">
        <w:t xml:space="preserve"> </w:t>
      </w:r>
      <w:proofErr w:type="gramStart"/>
      <w:r w:rsidRPr="00276C7E">
        <w:t>3.2C(</w:t>
      </w:r>
      <w:proofErr w:type="gramEnd"/>
      <w:r w:rsidRPr="00276C7E">
        <w:t>2)(aa)</w:t>
      </w:r>
      <w:r>
        <w:t xml:space="preserve"> of the </w:t>
      </w:r>
      <w:r w:rsidRPr="00877ECB">
        <w:rPr>
          <w:i/>
        </w:rPr>
        <w:t>Regulations</w:t>
      </w:r>
      <w:r>
        <w:t xml:space="preserve"> </w:t>
      </w:r>
      <w:r w:rsidR="004A78A3">
        <w:t>and</w:t>
      </w:r>
      <w:r w:rsidR="004D5E98">
        <w:t>,</w:t>
      </w:r>
      <w:r w:rsidR="004A78A3">
        <w:t xml:space="preserve"> secondly</w:t>
      </w:r>
      <w:r w:rsidR="004D5E98">
        <w:t>,</w:t>
      </w:r>
      <w:r w:rsidR="004A78A3">
        <w:t xml:space="preserve"> that the primary judge erred by making factual findings beyond the evidence</w:t>
      </w:r>
      <w:r w:rsidR="007E7CDF">
        <w:t xml:space="preserve"> before the Court</w:t>
      </w:r>
      <w:r w:rsidR="004A78A3">
        <w:t xml:space="preserve">. She seeks orders that the orders of the primary judge be set aside and that the application </w:t>
      </w:r>
      <w:r w:rsidR="004A78A3" w:rsidRPr="003D0574">
        <w:t>be</w:t>
      </w:r>
      <w:r w:rsidR="0082522D" w:rsidRPr="003D0574">
        <w:t>fore the primary judge be</w:t>
      </w:r>
      <w:r w:rsidR="004A78A3">
        <w:t xml:space="preserve"> dismissed.</w:t>
      </w:r>
    </w:p>
    <w:p w14:paraId="07E8412F" w14:textId="77777777" w:rsidR="002C70C9" w:rsidRDefault="002C70C9" w:rsidP="005D01BD">
      <w:pPr>
        <w:pStyle w:val="ParaNumbering"/>
      </w:pPr>
      <w:r>
        <w:t xml:space="preserve"> </w:t>
      </w:r>
      <w:r w:rsidR="004A78A3">
        <w:t xml:space="preserve">For the reasons set out below, we find that the appeal must be allowed. </w:t>
      </w:r>
    </w:p>
    <w:p w14:paraId="74195EB2" w14:textId="77777777" w:rsidR="004A78A3" w:rsidRDefault="00C87F03" w:rsidP="00C87F03">
      <w:pPr>
        <w:pStyle w:val="Heading5"/>
      </w:pPr>
      <w:bookmarkStart w:id="28" w:name="_Ref100588669"/>
      <w:r>
        <w:t>AGREED FACTS</w:t>
      </w:r>
      <w:bookmarkEnd w:id="28"/>
    </w:p>
    <w:p w14:paraId="0C52BC77" w14:textId="77777777" w:rsidR="00C87F03" w:rsidRPr="00C87F03" w:rsidRDefault="00C87F03" w:rsidP="00C87F03">
      <w:pPr>
        <w:pStyle w:val="ParaNumbering"/>
      </w:pPr>
      <w:r>
        <w:t>The following facts were agreed between the parties for the purpose of the present proceedings:</w:t>
      </w:r>
    </w:p>
    <w:p w14:paraId="5D14E6FD" w14:textId="734F497A" w:rsidR="004A78A3" w:rsidRDefault="004A78A3" w:rsidP="00877ECB">
      <w:pPr>
        <w:pStyle w:val="ListNo1"/>
      </w:pPr>
      <w:r>
        <w:t xml:space="preserve">Artificial intelligence systems are implemented within machines and are programmed to simulate specific thought processes and actions of humans. Artificial neural networks are implemented within machines and self-organise to simulate the way in which the human brain processes and generates information. Artificial intelligence systems may incorporate, or be constituted by, artificial neural networks. </w:t>
      </w:r>
    </w:p>
    <w:p w14:paraId="05EE55E0" w14:textId="43C2B219" w:rsidR="004A78A3" w:rsidRDefault="004A78A3" w:rsidP="00877ECB">
      <w:pPr>
        <w:pStyle w:val="ListNo1"/>
      </w:pPr>
      <w:r>
        <w:t>DABUS is an artificial intelligence system that incorporates artificial neural networks.</w:t>
      </w:r>
    </w:p>
    <w:p w14:paraId="23611D50" w14:textId="1F374EC3" w:rsidR="004A78A3" w:rsidRDefault="00F172DD" w:rsidP="00877ECB">
      <w:pPr>
        <w:pStyle w:val="ListNo1"/>
      </w:pPr>
      <w:r>
        <w:t>The output of DABUS is an alleged invention the subject of the application.</w:t>
      </w:r>
    </w:p>
    <w:p w14:paraId="5FAE3C9C" w14:textId="27D554F9" w:rsidR="00D539BD" w:rsidRDefault="00D539BD" w:rsidP="00877ECB">
      <w:pPr>
        <w:pStyle w:val="ListNo1"/>
      </w:pPr>
      <w:r>
        <w:t>DABUS is not a natural or a legal person</w:t>
      </w:r>
    </w:p>
    <w:p w14:paraId="3A580F81" w14:textId="3E29AEE5" w:rsidR="00F172DD" w:rsidRDefault="00F172DD" w:rsidP="00877ECB">
      <w:pPr>
        <w:pStyle w:val="ListNo1"/>
      </w:pPr>
      <w:r>
        <w:lastRenderedPageBreak/>
        <w:t xml:space="preserve">Dr </w:t>
      </w:r>
      <w:proofErr w:type="spellStart"/>
      <w:r>
        <w:t>Thaler</w:t>
      </w:r>
      <w:proofErr w:type="spellEnd"/>
      <w:r>
        <w:t xml:space="preserve"> is the owner of </w:t>
      </w:r>
      <w:r w:rsidR="0082522D">
        <w:t xml:space="preserve">the </w:t>
      </w:r>
      <w:r>
        <w:t>copyright in the DABUS source code, the owner of the computer on which DABUS operates</w:t>
      </w:r>
      <w:r w:rsidR="00C87F03">
        <w:t>,</w:t>
      </w:r>
      <w:r>
        <w:t xml:space="preserve"> and is responsible for the maintenance and running costs of DABUS and the computer on which it operates.</w:t>
      </w:r>
    </w:p>
    <w:p w14:paraId="5F5791BE" w14:textId="702F84B4" w:rsidR="00F172DD" w:rsidRDefault="00F172DD" w:rsidP="00877ECB">
      <w:pPr>
        <w:pStyle w:val="ListNo1"/>
      </w:pPr>
      <w:r>
        <w:t xml:space="preserve">Dr </w:t>
      </w:r>
      <w:proofErr w:type="spellStart"/>
      <w:r>
        <w:t>Thaler</w:t>
      </w:r>
      <w:proofErr w:type="spellEnd"/>
      <w:r>
        <w:t xml:space="preserve"> is not the inventor of the alleged invention th</w:t>
      </w:r>
      <w:r w:rsidR="0013734E">
        <w:t>e subject of the application</w:t>
      </w:r>
      <w:r>
        <w:t>.</w:t>
      </w:r>
    </w:p>
    <w:p w14:paraId="3D7F039C" w14:textId="77777777" w:rsidR="00F172DD" w:rsidRDefault="00D539BD" w:rsidP="00F172DD">
      <w:pPr>
        <w:pStyle w:val="Heading5"/>
      </w:pPr>
      <w:bookmarkStart w:id="29" w:name="_Ref100588670"/>
      <w:r>
        <w:t>RELEVANT LEGISLATION</w:t>
      </w:r>
      <w:bookmarkEnd w:id="29"/>
      <w:r>
        <w:t xml:space="preserve"> </w:t>
      </w:r>
    </w:p>
    <w:p w14:paraId="4CBA4C7E" w14:textId="6A02E9B2" w:rsidR="00D539BD" w:rsidRPr="00D539BD" w:rsidRDefault="00D539BD" w:rsidP="00D539BD">
      <w:pPr>
        <w:pStyle w:val="ParaNumbering"/>
      </w:pPr>
      <w:r>
        <w:t xml:space="preserve">The parties agreed that the relevant form of the </w:t>
      </w:r>
      <w:r w:rsidRPr="00877ECB">
        <w:rPr>
          <w:i/>
        </w:rPr>
        <w:t xml:space="preserve">Patents </w:t>
      </w:r>
      <w:r w:rsidR="0013734E" w:rsidRPr="00877ECB">
        <w:rPr>
          <w:i/>
        </w:rPr>
        <w:t>Act</w:t>
      </w:r>
      <w:r w:rsidR="0013734E">
        <w:t xml:space="preserve"> is</w:t>
      </w:r>
      <w:r>
        <w:t xml:space="preserve"> compilation No. 49</w:t>
      </w:r>
      <w:r w:rsidR="003366A3">
        <w:t xml:space="preserve"> </w:t>
      </w:r>
      <w:r w:rsidR="00D807C1">
        <w:t xml:space="preserve">and the form of the </w:t>
      </w:r>
      <w:r w:rsidR="00D807C1" w:rsidRPr="00877ECB">
        <w:rPr>
          <w:i/>
        </w:rPr>
        <w:t>Regulations</w:t>
      </w:r>
      <w:r w:rsidR="00D807C1">
        <w:t xml:space="preserve"> is compilation No</w:t>
      </w:r>
      <w:r w:rsidR="00AD2EF5">
        <w:t>.</w:t>
      </w:r>
      <w:r w:rsidR="00D807C1">
        <w:t xml:space="preserve"> 72</w:t>
      </w:r>
      <w:r w:rsidR="00E50704">
        <w:t>,</w:t>
      </w:r>
      <w:r w:rsidR="00D807C1">
        <w:t xml:space="preserve"> </w:t>
      </w:r>
      <w:r w:rsidR="0013734E">
        <w:t>both of which are dated 26 August 2021</w:t>
      </w:r>
      <w:r w:rsidR="003366A3">
        <w:t>.</w:t>
      </w:r>
    </w:p>
    <w:p w14:paraId="221548EE" w14:textId="77777777" w:rsidR="00C72C6A" w:rsidRDefault="00C72C6A" w:rsidP="00C72C6A">
      <w:pPr>
        <w:pStyle w:val="ParaNumbering"/>
      </w:pPr>
      <w:bookmarkStart w:id="30" w:name="_Ref98766974"/>
      <w:r w:rsidRPr="00276C7E">
        <w:t xml:space="preserve">Section 2A </w:t>
      </w:r>
      <w:r w:rsidR="009A0DFF" w:rsidRPr="00276C7E">
        <w:t xml:space="preserve">of the </w:t>
      </w:r>
      <w:r w:rsidR="009A0DFF" w:rsidRPr="00276C7E">
        <w:rPr>
          <w:i/>
        </w:rPr>
        <w:t>Patents Act</w:t>
      </w:r>
      <w:r w:rsidR="009A0DFF" w:rsidRPr="00276C7E">
        <w:t xml:space="preserve"> </w:t>
      </w:r>
      <w:r>
        <w:t>provides:</w:t>
      </w:r>
      <w:bookmarkEnd w:id="30"/>
    </w:p>
    <w:p w14:paraId="259B8D0F" w14:textId="77777777" w:rsidR="00C72C6A" w:rsidRPr="00C72C6A" w:rsidRDefault="00C72C6A" w:rsidP="00C72C6A">
      <w:pPr>
        <w:pStyle w:val="Quote1"/>
        <w:rPr>
          <w:b/>
        </w:rPr>
      </w:pPr>
      <w:r w:rsidRPr="00C72C6A">
        <w:rPr>
          <w:b/>
        </w:rPr>
        <w:t>Object of this Act</w:t>
      </w:r>
    </w:p>
    <w:p w14:paraId="5B7F2D92" w14:textId="77777777" w:rsidR="00C72C6A" w:rsidRPr="00C72C6A" w:rsidRDefault="00C72C6A" w:rsidP="00C72C6A">
      <w:pPr>
        <w:pStyle w:val="Quote1"/>
      </w:pPr>
      <w:r>
        <w:t xml:space="preserve">The object of this Act is to provide a patent system in Australia that promotes economic wellbeing through technological innovation and the transfer and dissemination of technology. In doing so, the patent system balances over time the interests of producers, owners and users of technology and the public. </w:t>
      </w:r>
    </w:p>
    <w:p w14:paraId="390431ED" w14:textId="68C082DE" w:rsidR="00C72C6A" w:rsidRPr="00C72C6A" w:rsidRDefault="00C72C6A" w:rsidP="00C72C6A">
      <w:pPr>
        <w:pStyle w:val="ParaNumbering"/>
      </w:pPr>
      <w:r w:rsidRPr="00C72C6A">
        <w:t xml:space="preserve">Chapter 2 of the </w:t>
      </w:r>
      <w:r w:rsidRPr="00877ECB">
        <w:rPr>
          <w:i/>
        </w:rPr>
        <w:t>Patents Act</w:t>
      </w:r>
      <w:r w:rsidRPr="00C72C6A">
        <w:t xml:space="preserve"> is entitled “</w:t>
      </w:r>
      <w:r w:rsidR="00D7641A">
        <w:t>[p]</w:t>
      </w:r>
      <w:proofErr w:type="spellStart"/>
      <w:r w:rsidRPr="00C72C6A">
        <w:t>atent</w:t>
      </w:r>
      <w:proofErr w:type="spellEnd"/>
      <w:r w:rsidRPr="00C72C6A">
        <w:t xml:space="preserve"> rights, ownership and validity”. </w:t>
      </w:r>
    </w:p>
    <w:p w14:paraId="70FC1C8C" w14:textId="11A7AEC7" w:rsidR="004D5E98" w:rsidRDefault="00C72C6A" w:rsidP="00C72C6A">
      <w:pPr>
        <w:pStyle w:val="ParaNumbering"/>
      </w:pPr>
      <w:r>
        <w:t xml:space="preserve">Within </w:t>
      </w:r>
      <w:r w:rsidR="00C349B5">
        <w:t>P</w:t>
      </w:r>
      <w:r w:rsidR="007D26F2">
        <w:t xml:space="preserve">art </w:t>
      </w:r>
      <w:r>
        <w:t xml:space="preserve">1 of </w:t>
      </w:r>
      <w:r w:rsidR="00C349B5">
        <w:t>C</w:t>
      </w:r>
      <w:r w:rsidR="007D26F2">
        <w:t xml:space="preserve">hapter </w:t>
      </w:r>
      <w:r>
        <w:t>2 is</w:t>
      </w:r>
      <w:r w:rsidRPr="00276C7E">
        <w:t xml:space="preserve"> s 13(1)</w:t>
      </w:r>
      <w:r>
        <w:t>, which</w:t>
      </w:r>
      <w:r w:rsidRPr="00C72C6A">
        <w:t xml:space="preserve"> provides </w:t>
      </w:r>
      <w:r w:rsidR="004576F9">
        <w:t>that</w:t>
      </w:r>
      <w:r w:rsidR="004576F9" w:rsidRPr="00C72C6A">
        <w:t xml:space="preserve"> </w:t>
      </w:r>
      <w:r w:rsidRPr="00C72C6A">
        <w:t>the exclusive rights given by a patent to the patentee</w:t>
      </w:r>
      <w:r w:rsidR="00145A7B">
        <w:t xml:space="preserve"> a</w:t>
      </w:r>
      <w:r w:rsidR="00E93585">
        <w:t xml:space="preserve">re </w:t>
      </w:r>
      <w:r w:rsidRPr="00C72C6A">
        <w:t>“</w:t>
      </w:r>
      <w:r w:rsidR="00E93585">
        <w:t xml:space="preserve">to </w:t>
      </w:r>
      <w:r w:rsidRPr="00C72C6A">
        <w:t xml:space="preserve">exploit the invention and to authorise another person to </w:t>
      </w:r>
      <w:r w:rsidR="00E93585">
        <w:t>exploit the invention</w:t>
      </w:r>
      <w:r w:rsidRPr="00C72C6A">
        <w:t xml:space="preserve">”. </w:t>
      </w:r>
    </w:p>
    <w:p w14:paraId="12E023B1" w14:textId="77777777" w:rsidR="002D29DF" w:rsidRDefault="00C72C6A" w:rsidP="00C72C6A">
      <w:pPr>
        <w:pStyle w:val="ParaNumbering"/>
      </w:pPr>
      <w:r w:rsidRPr="00276C7E">
        <w:t>Section 13(2)</w:t>
      </w:r>
      <w:r w:rsidRPr="00C72C6A">
        <w:t xml:space="preserve"> provides that the exclusive rights are personal property and are capable of assignment and of devolution by law. </w:t>
      </w:r>
    </w:p>
    <w:p w14:paraId="3BC60874" w14:textId="773C75B1" w:rsidR="00C72C6A" w:rsidRDefault="00C72C6A" w:rsidP="00C72C6A">
      <w:pPr>
        <w:pStyle w:val="ParaNumbering"/>
      </w:pPr>
      <w:r w:rsidRPr="00276C7E">
        <w:t>Section 14(1)</w:t>
      </w:r>
      <w:r w:rsidRPr="00C72C6A">
        <w:t xml:space="preserve"> provides that an assignment of a patent must be in writing</w:t>
      </w:r>
      <w:r w:rsidR="00A06F8F">
        <w:t>,</w:t>
      </w:r>
      <w:r w:rsidRPr="00C72C6A">
        <w:t xml:space="preserve"> signed by or on behalf of the assignor and assignee. </w:t>
      </w:r>
    </w:p>
    <w:p w14:paraId="373F2B19" w14:textId="43F100CF" w:rsidR="00C72C6A" w:rsidRPr="00C72C6A" w:rsidRDefault="00D807C1" w:rsidP="00C72C6A">
      <w:pPr>
        <w:pStyle w:val="ParaNumbering"/>
      </w:pPr>
      <w:r>
        <w:t xml:space="preserve">Within </w:t>
      </w:r>
      <w:r w:rsidR="00C349B5">
        <w:t>P</w:t>
      </w:r>
      <w:r w:rsidR="00895BBA">
        <w:t xml:space="preserve">art </w:t>
      </w:r>
      <w:r w:rsidR="00C72C6A">
        <w:t xml:space="preserve">2 of </w:t>
      </w:r>
      <w:r w:rsidR="00C349B5">
        <w:t>C</w:t>
      </w:r>
      <w:r w:rsidR="00895BBA">
        <w:t xml:space="preserve">hapter </w:t>
      </w:r>
      <w:r w:rsidR="00C72C6A">
        <w:t xml:space="preserve">2 is </w:t>
      </w:r>
      <w:r w:rsidR="00C72C6A" w:rsidRPr="00276C7E">
        <w:t>s 15</w:t>
      </w:r>
      <w:r w:rsidR="00C72C6A">
        <w:t xml:space="preserve">, which </w:t>
      </w:r>
      <w:r w:rsidR="00C72C6A" w:rsidRPr="00C72C6A">
        <w:t>is central to this appeal</w:t>
      </w:r>
      <w:r w:rsidR="00A83A7F">
        <w:t>. It provides</w:t>
      </w:r>
      <w:r w:rsidR="00C72C6A" w:rsidRPr="00C72C6A">
        <w:t>:</w:t>
      </w:r>
    </w:p>
    <w:p w14:paraId="0D653993" w14:textId="27251DCA" w:rsidR="00D807C1" w:rsidRPr="00877ECB" w:rsidRDefault="00D807C1" w:rsidP="00877ECB">
      <w:pPr>
        <w:pStyle w:val="Quote1"/>
        <w:rPr>
          <w:b/>
          <w:lang w:eastAsia="en-AU"/>
        </w:rPr>
      </w:pPr>
      <w:bookmarkStart w:id="31" w:name="_Toc83312311"/>
      <w:r w:rsidRPr="00877ECB">
        <w:rPr>
          <w:b/>
          <w:lang w:eastAsia="en-AU"/>
        </w:rPr>
        <w:t>15</w:t>
      </w:r>
      <w:r w:rsidR="00780B1E" w:rsidRPr="00877ECB">
        <w:rPr>
          <w:b/>
          <w:lang w:eastAsia="en-AU"/>
        </w:rPr>
        <w:tab/>
      </w:r>
      <w:r w:rsidRPr="00877ECB">
        <w:rPr>
          <w:b/>
          <w:lang w:eastAsia="en-AU"/>
        </w:rPr>
        <w:t>Who may be granted a patent?</w:t>
      </w:r>
      <w:bookmarkEnd w:id="31"/>
    </w:p>
    <w:p w14:paraId="7F5E678F" w14:textId="37A6A5B5" w:rsidR="00D807C1" w:rsidRPr="00D807C1" w:rsidRDefault="00D807C1" w:rsidP="00877ECB">
      <w:pPr>
        <w:pStyle w:val="Quote2"/>
        <w:ind w:left="2160" w:hanging="720"/>
        <w:rPr>
          <w:lang w:eastAsia="en-AU"/>
        </w:rPr>
      </w:pPr>
      <w:r w:rsidRPr="00D807C1">
        <w:rPr>
          <w:lang w:eastAsia="en-AU"/>
        </w:rPr>
        <w:t>(1)</w:t>
      </w:r>
      <w:r w:rsidR="00780B1E">
        <w:rPr>
          <w:lang w:eastAsia="en-AU"/>
        </w:rPr>
        <w:tab/>
      </w:r>
      <w:r w:rsidRPr="00D807C1">
        <w:rPr>
          <w:lang w:eastAsia="en-AU"/>
        </w:rPr>
        <w:t>Subject to this Act, a patent for an invention may only be granted to a person who:</w:t>
      </w:r>
    </w:p>
    <w:p w14:paraId="63B7CAC3" w14:textId="38D80277" w:rsidR="00D807C1" w:rsidRPr="00D807C1" w:rsidRDefault="00D807C1" w:rsidP="0086115E">
      <w:pPr>
        <w:pStyle w:val="Quote3"/>
        <w:ind w:left="2880" w:hanging="720"/>
        <w:rPr>
          <w:lang w:eastAsia="en-AU"/>
        </w:rPr>
      </w:pPr>
      <w:r w:rsidRPr="00D807C1">
        <w:rPr>
          <w:lang w:eastAsia="en-AU"/>
        </w:rPr>
        <w:t>(a)</w:t>
      </w:r>
      <w:r w:rsidR="00780B1E">
        <w:rPr>
          <w:lang w:eastAsia="en-AU"/>
        </w:rPr>
        <w:tab/>
      </w:r>
      <w:proofErr w:type="gramStart"/>
      <w:r w:rsidRPr="00D807C1">
        <w:rPr>
          <w:lang w:eastAsia="en-AU"/>
        </w:rPr>
        <w:t>is</w:t>
      </w:r>
      <w:proofErr w:type="gramEnd"/>
      <w:r w:rsidRPr="00D807C1">
        <w:rPr>
          <w:lang w:eastAsia="en-AU"/>
        </w:rPr>
        <w:t xml:space="preserve"> the inventor; or</w:t>
      </w:r>
    </w:p>
    <w:p w14:paraId="1CEA97BF" w14:textId="1B73B286" w:rsidR="00D807C1" w:rsidRPr="00D807C1" w:rsidRDefault="00D807C1" w:rsidP="0086115E">
      <w:pPr>
        <w:pStyle w:val="Quote3"/>
        <w:ind w:left="2880" w:hanging="720"/>
        <w:rPr>
          <w:lang w:eastAsia="en-AU"/>
        </w:rPr>
      </w:pPr>
      <w:r w:rsidRPr="00D807C1">
        <w:rPr>
          <w:lang w:eastAsia="en-AU"/>
        </w:rPr>
        <w:t>(b)</w:t>
      </w:r>
      <w:r w:rsidR="00780B1E">
        <w:rPr>
          <w:lang w:eastAsia="en-AU"/>
        </w:rPr>
        <w:tab/>
      </w:r>
      <w:proofErr w:type="gramStart"/>
      <w:r w:rsidRPr="00D807C1">
        <w:rPr>
          <w:lang w:eastAsia="en-AU"/>
        </w:rPr>
        <w:t>would</w:t>
      </w:r>
      <w:proofErr w:type="gramEnd"/>
      <w:r w:rsidRPr="00D807C1">
        <w:rPr>
          <w:lang w:eastAsia="en-AU"/>
        </w:rPr>
        <w:t>, on the grant of a patent for the invention, be entitled to have the patent assigned to the person; or</w:t>
      </w:r>
    </w:p>
    <w:p w14:paraId="6ECC4C5B" w14:textId="1E13CA5B" w:rsidR="00D807C1" w:rsidRPr="00D807C1" w:rsidRDefault="00D807C1" w:rsidP="0086115E">
      <w:pPr>
        <w:pStyle w:val="Quote3"/>
        <w:ind w:left="2880" w:hanging="720"/>
        <w:rPr>
          <w:lang w:eastAsia="en-AU"/>
        </w:rPr>
      </w:pPr>
      <w:r w:rsidRPr="00D807C1">
        <w:rPr>
          <w:lang w:eastAsia="en-AU"/>
        </w:rPr>
        <w:t>(c)</w:t>
      </w:r>
      <w:r w:rsidR="00780B1E">
        <w:rPr>
          <w:lang w:eastAsia="en-AU"/>
        </w:rPr>
        <w:tab/>
      </w:r>
      <w:proofErr w:type="gramStart"/>
      <w:r w:rsidRPr="00D807C1">
        <w:rPr>
          <w:lang w:eastAsia="en-AU"/>
        </w:rPr>
        <w:t>derives</w:t>
      </w:r>
      <w:proofErr w:type="gramEnd"/>
      <w:r w:rsidRPr="00D807C1">
        <w:rPr>
          <w:lang w:eastAsia="en-AU"/>
        </w:rPr>
        <w:t xml:space="preserve"> title to the invention from the inventor or a person mentioned in paragraph (b); or</w:t>
      </w:r>
    </w:p>
    <w:p w14:paraId="2E9A3453" w14:textId="4D86A168" w:rsidR="00D807C1" w:rsidRPr="00D807C1" w:rsidRDefault="00D807C1" w:rsidP="0086115E">
      <w:pPr>
        <w:pStyle w:val="Quote3"/>
        <w:ind w:left="2880" w:hanging="720"/>
        <w:rPr>
          <w:lang w:eastAsia="en-AU"/>
        </w:rPr>
      </w:pPr>
      <w:r w:rsidRPr="00D807C1">
        <w:rPr>
          <w:lang w:eastAsia="en-AU"/>
        </w:rPr>
        <w:t>(d)</w:t>
      </w:r>
      <w:r w:rsidR="00780B1E">
        <w:rPr>
          <w:lang w:eastAsia="en-AU"/>
        </w:rPr>
        <w:tab/>
      </w:r>
      <w:proofErr w:type="gramStart"/>
      <w:r w:rsidRPr="00D807C1">
        <w:rPr>
          <w:lang w:eastAsia="en-AU"/>
        </w:rPr>
        <w:t>is</w:t>
      </w:r>
      <w:proofErr w:type="gramEnd"/>
      <w:r w:rsidRPr="00D807C1">
        <w:rPr>
          <w:lang w:eastAsia="en-AU"/>
        </w:rPr>
        <w:t xml:space="preserve"> the legal representative of a deceased person mentioned in paragraph (a), (b) or (c).</w:t>
      </w:r>
    </w:p>
    <w:p w14:paraId="6CD611F7" w14:textId="0DA1772A" w:rsidR="00D807C1" w:rsidRPr="0013734E" w:rsidRDefault="00D807C1" w:rsidP="00877ECB">
      <w:pPr>
        <w:pStyle w:val="Quote2"/>
        <w:ind w:left="2160" w:hanging="720"/>
        <w:rPr>
          <w:lang w:eastAsia="en-AU"/>
        </w:rPr>
      </w:pPr>
      <w:r w:rsidRPr="00D807C1">
        <w:rPr>
          <w:lang w:eastAsia="en-AU"/>
        </w:rPr>
        <w:lastRenderedPageBreak/>
        <w:t>(2)</w:t>
      </w:r>
      <w:r w:rsidR="00780B1E">
        <w:rPr>
          <w:lang w:eastAsia="en-AU"/>
        </w:rPr>
        <w:tab/>
      </w:r>
      <w:r w:rsidRPr="00D807C1">
        <w:rPr>
          <w:lang w:eastAsia="en-AU"/>
        </w:rPr>
        <w:t>A patent may be granted to a person whether or not he or she is an Australian citizen.</w:t>
      </w:r>
    </w:p>
    <w:p w14:paraId="6B7C2B50" w14:textId="06653B16" w:rsidR="00C72C6A" w:rsidRPr="00C72C6A" w:rsidRDefault="00C72C6A" w:rsidP="00C72C6A">
      <w:pPr>
        <w:pStyle w:val="ParaNumbering"/>
      </w:pPr>
      <w:r w:rsidRPr="00C72C6A">
        <w:t>Chapter 3 is entitled “</w:t>
      </w:r>
      <w:r w:rsidR="00CB0149">
        <w:t>[f]</w:t>
      </w:r>
      <w:r w:rsidRPr="00C72C6A">
        <w:t xml:space="preserve">rom application to acceptance” and concerns the process of making an application for a patent, the examination of such </w:t>
      </w:r>
      <w:r w:rsidR="001B6698">
        <w:t xml:space="preserve">an </w:t>
      </w:r>
      <w:r w:rsidRPr="00C72C6A">
        <w:t xml:space="preserve">application and the acceptance of a patent application by the Commissioner. </w:t>
      </w:r>
    </w:p>
    <w:p w14:paraId="15967C33" w14:textId="749870A3" w:rsidR="00C72C6A" w:rsidRPr="00C72C6A" w:rsidRDefault="00C72C6A" w:rsidP="00C72C6A">
      <w:pPr>
        <w:pStyle w:val="ParaNumbering"/>
      </w:pPr>
      <w:r w:rsidRPr="00276C7E">
        <w:t>Section 29</w:t>
      </w:r>
      <w:r w:rsidRPr="00C72C6A">
        <w:t xml:space="preserve"> </w:t>
      </w:r>
      <w:r w:rsidR="00A81CA9">
        <w:t>sets out</w:t>
      </w:r>
      <w:r w:rsidR="00A81CA9" w:rsidRPr="00C72C6A">
        <w:t xml:space="preserve"> </w:t>
      </w:r>
      <w:r w:rsidRPr="00C72C6A">
        <w:t xml:space="preserve">rules for </w:t>
      </w:r>
      <w:r w:rsidR="009B79F5">
        <w:t xml:space="preserve">the </w:t>
      </w:r>
      <w:r w:rsidR="008D20C4">
        <w:t xml:space="preserve">making </w:t>
      </w:r>
      <w:r w:rsidR="009B79F5">
        <w:t xml:space="preserve">of </w:t>
      </w:r>
      <w:r w:rsidR="008D20C4">
        <w:t xml:space="preserve">an </w:t>
      </w:r>
      <w:r w:rsidRPr="00C72C6A">
        <w:t>application for a patent.</w:t>
      </w:r>
      <w:r w:rsidR="009B79F5">
        <w:t xml:space="preserve"> It provides:</w:t>
      </w:r>
    </w:p>
    <w:p w14:paraId="492765CD" w14:textId="11A5BB86" w:rsidR="00C72C6A" w:rsidRPr="00D807C1" w:rsidRDefault="009B100D" w:rsidP="00D807C1">
      <w:pPr>
        <w:pStyle w:val="Quote1"/>
        <w:rPr>
          <w:b/>
        </w:rPr>
      </w:pPr>
      <w:r>
        <w:rPr>
          <w:b/>
        </w:rPr>
        <w:t>29</w:t>
      </w:r>
      <w:r>
        <w:rPr>
          <w:b/>
        </w:rPr>
        <w:tab/>
      </w:r>
      <w:r w:rsidR="00C72C6A" w:rsidRPr="00D807C1">
        <w:rPr>
          <w:b/>
        </w:rPr>
        <w:t>Application for patent—general rules</w:t>
      </w:r>
    </w:p>
    <w:p w14:paraId="077948EF" w14:textId="3564019E" w:rsidR="00C72C6A" w:rsidRPr="00C72C6A" w:rsidRDefault="00C72C6A" w:rsidP="0086115E">
      <w:pPr>
        <w:pStyle w:val="Quote2"/>
        <w:ind w:left="2160" w:hanging="720"/>
      </w:pPr>
      <w:r w:rsidRPr="00C72C6A">
        <w:t>(1)</w:t>
      </w:r>
      <w:r w:rsidR="009B79F5">
        <w:tab/>
      </w:r>
      <w:r w:rsidRPr="00C72C6A">
        <w:t>A person may apply for a patent for an invention by filing, in accordance with the regulations, a patent request and such other documents as are prescribed.</w:t>
      </w:r>
    </w:p>
    <w:p w14:paraId="52EFBC09" w14:textId="1EB79643" w:rsidR="00C72C6A" w:rsidRPr="00C72C6A" w:rsidRDefault="00C72C6A" w:rsidP="0086115E">
      <w:pPr>
        <w:pStyle w:val="Quote2"/>
        <w:ind w:left="2160" w:hanging="720"/>
      </w:pPr>
      <w:r w:rsidRPr="00C72C6A">
        <w:t>(2)</w:t>
      </w:r>
      <w:r w:rsidR="009B79F5">
        <w:tab/>
      </w:r>
      <w:r w:rsidRPr="00C72C6A">
        <w:t>An application may be a provisional application or a complete application.</w:t>
      </w:r>
    </w:p>
    <w:p w14:paraId="520D7C7C" w14:textId="040C3E98" w:rsidR="00C72C6A" w:rsidRPr="00C72C6A" w:rsidRDefault="00C72C6A" w:rsidP="0086115E">
      <w:pPr>
        <w:pStyle w:val="Quote2"/>
        <w:ind w:left="2160" w:hanging="720"/>
      </w:pPr>
      <w:r w:rsidRPr="00C72C6A">
        <w:t>(3)</w:t>
      </w:r>
      <w:r w:rsidRPr="00C72C6A">
        <w:tab/>
        <w:t>A patent request in relation to a provisional application must:</w:t>
      </w:r>
    </w:p>
    <w:p w14:paraId="6A6D8B5E" w14:textId="64C9EDD0" w:rsidR="00C72C6A" w:rsidRPr="00C72C6A" w:rsidRDefault="00C72C6A" w:rsidP="0086115E">
      <w:pPr>
        <w:pStyle w:val="Quote3"/>
      </w:pPr>
      <w:r w:rsidRPr="00C72C6A">
        <w:t>(a)</w:t>
      </w:r>
      <w:r w:rsidRPr="00C72C6A">
        <w:tab/>
      </w:r>
      <w:proofErr w:type="gramStart"/>
      <w:r w:rsidRPr="00C72C6A">
        <w:t>be</w:t>
      </w:r>
      <w:proofErr w:type="gramEnd"/>
      <w:r w:rsidRPr="00C72C6A">
        <w:t xml:space="preserve"> in the approved form; and</w:t>
      </w:r>
    </w:p>
    <w:p w14:paraId="07888BB0" w14:textId="31B51EED" w:rsidR="00C72C6A" w:rsidRPr="00C72C6A" w:rsidRDefault="00C72C6A" w:rsidP="0086115E">
      <w:pPr>
        <w:pStyle w:val="Quote3"/>
      </w:pPr>
      <w:r w:rsidRPr="00C72C6A">
        <w:t>(b)</w:t>
      </w:r>
      <w:r w:rsidRPr="00C72C6A">
        <w:tab/>
      </w:r>
      <w:proofErr w:type="gramStart"/>
      <w:r w:rsidRPr="00C72C6A">
        <w:t>be</w:t>
      </w:r>
      <w:proofErr w:type="gramEnd"/>
      <w:r w:rsidRPr="00C72C6A">
        <w:t xml:space="preserve"> in English; and</w:t>
      </w:r>
    </w:p>
    <w:p w14:paraId="1C63A00D" w14:textId="0C704630" w:rsidR="00C72C6A" w:rsidRPr="00C72C6A" w:rsidRDefault="00C72C6A" w:rsidP="0086115E">
      <w:pPr>
        <w:pStyle w:val="Quote3"/>
      </w:pPr>
      <w:r w:rsidRPr="00C72C6A">
        <w:t>(c)</w:t>
      </w:r>
      <w:r w:rsidRPr="00C72C6A">
        <w:tab/>
      </w:r>
      <w:proofErr w:type="gramStart"/>
      <w:r w:rsidRPr="00C72C6A">
        <w:t>be</w:t>
      </w:r>
      <w:proofErr w:type="gramEnd"/>
      <w:r w:rsidRPr="00C72C6A">
        <w:t xml:space="preserve"> accompanied by a provisional specification.</w:t>
      </w:r>
    </w:p>
    <w:p w14:paraId="34FFE6A5" w14:textId="4A415BFB" w:rsidR="00C72C6A" w:rsidRPr="00C72C6A" w:rsidRDefault="00C72C6A" w:rsidP="00877ECB">
      <w:pPr>
        <w:pStyle w:val="Quote2"/>
      </w:pPr>
      <w:r w:rsidRPr="00C72C6A">
        <w:t>(4)</w:t>
      </w:r>
      <w:r w:rsidRPr="00C72C6A">
        <w:tab/>
        <w:t>The provisional specification referred to in paragraph (3</w:t>
      </w:r>
      <w:proofErr w:type="gramStart"/>
      <w:r w:rsidRPr="00C72C6A">
        <w:t>)(</w:t>
      </w:r>
      <w:proofErr w:type="gramEnd"/>
      <w:r w:rsidRPr="00C72C6A">
        <w:t>c) must:</w:t>
      </w:r>
    </w:p>
    <w:p w14:paraId="58400C33" w14:textId="48727D08" w:rsidR="00C72C6A" w:rsidRPr="00C72C6A" w:rsidRDefault="00C72C6A" w:rsidP="0086115E">
      <w:pPr>
        <w:pStyle w:val="Quote3"/>
      </w:pPr>
      <w:r w:rsidRPr="00C72C6A">
        <w:t>(a)</w:t>
      </w:r>
      <w:r w:rsidRPr="00C72C6A">
        <w:tab/>
      </w:r>
      <w:proofErr w:type="gramStart"/>
      <w:r w:rsidRPr="00C72C6A">
        <w:t>be</w:t>
      </w:r>
      <w:proofErr w:type="gramEnd"/>
      <w:r w:rsidRPr="00C72C6A">
        <w:t xml:space="preserve"> in the approved form; and</w:t>
      </w:r>
    </w:p>
    <w:p w14:paraId="2C20EC93" w14:textId="6B33755E" w:rsidR="00C72C6A" w:rsidRPr="00C72C6A" w:rsidRDefault="00C72C6A" w:rsidP="0086115E">
      <w:pPr>
        <w:pStyle w:val="Quote3"/>
      </w:pPr>
      <w:r w:rsidRPr="00C72C6A">
        <w:t>(b)</w:t>
      </w:r>
      <w:r w:rsidRPr="00C72C6A">
        <w:tab/>
      </w:r>
      <w:proofErr w:type="gramStart"/>
      <w:r w:rsidRPr="00C72C6A">
        <w:t>be</w:t>
      </w:r>
      <w:proofErr w:type="gramEnd"/>
      <w:r w:rsidRPr="00C72C6A">
        <w:t xml:space="preserve"> in English.</w:t>
      </w:r>
    </w:p>
    <w:p w14:paraId="06209A66" w14:textId="302A92B5" w:rsidR="00C72C6A" w:rsidRPr="00C72C6A" w:rsidRDefault="00C72C6A" w:rsidP="00877ECB">
      <w:pPr>
        <w:pStyle w:val="Quote2"/>
      </w:pPr>
      <w:r w:rsidRPr="00C72C6A">
        <w:t>(4A)</w:t>
      </w:r>
      <w:r w:rsidRPr="00C72C6A">
        <w:tab/>
      </w:r>
      <w:proofErr w:type="gramStart"/>
      <w:r w:rsidRPr="00C72C6A">
        <w:t>A</w:t>
      </w:r>
      <w:proofErr w:type="gramEnd"/>
      <w:r w:rsidRPr="00C72C6A">
        <w:t xml:space="preserve"> patent request in relation to a complete application must:</w:t>
      </w:r>
    </w:p>
    <w:p w14:paraId="2BCFEA1C" w14:textId="121E0F31" w:rsidR="00C72C6A" w:rsidRPr="00C72C6A" w:rsidRDefault="00C72C6A" w:rsidP="0086115E">
      <w:pPr>
        <w:pStyle w:val="Quote3"/>
        <w:ind w:left="2880" w:hanging="720"/>
      </w:pPr>
      <w:r w:rsidRPr="00C72C6A">
        <w:t>(a)</w:t>
      </w:r>
      <w:r w:rsidR="000401D3">
        <w:tab/>
      </w:r>
      <w:proofErr w:type="gramStart"/>
      <w:r w:rsidRPr="00C72C6A">
        <w:t>be</w:t>
      </w:r>
      <w:proofErr w:type="gramEnd"/>
      <w:r w:rsidRPr="00C72C6A">
        <w:t xml:space="preserve"> in the approved form; and</w:t>
      </w:r>
    </w:p>
    <w:p w14:paraId="625510B5" w14:textId="06973C81" w:rsidR="00C72C6A" w:rsidRPr="00C72C6A" w:rsidRDefault="00C72C6A" w:rsidP="0086115E">
      <w:pPr>
        <w:pStyle w:val="Quote3"/>
        <w:ind w:left="2880" w:hanging="720"/>
      </w:pPr>
      <w:r w:rsidRPr="00C72C6A">
        <w:t>(b)</w:t>
      </w:r>
      <w:r w:rsidR="000401D3">
        <w:tab/>
      </w:r>
      <w:proofErr w:type="gramStart"/>
      <w:r w:rsidRPr="00C72C6A">
        <w:t>be</w:t>
      </w:r>
      <w:proofErr w:type="gramEnd"/>
      <w:r w:rsidRPr="00C72C6A">
        <w:t xml:space="preserve"> in English; and</w:t>
      </w:r>
    </w:p>
    <w:p w14:paraId="746ED61A" w14:textId="72F8CE7E" w:rsidR="00C72C6A" w:rsidRPr="00C72C6A" w:rsidRDefault="00C72C6A" w:rsidP="0086115E">
      <w:pPr>
        <w:pStyle w:val="Quote3"/>
        <w:ind w:left="2880" w:hanging="720"/>
      </w:pPr>
      <w:r w:rsidRPr="00C72C6A">
        <w:t>(c)</w:t>
      </w:r>
      <w:r w:rsidRPr="00C72C6A">
        <w:tab/>
      </w:r>
      <w:proofErr w:type="gramStart"/>
      <w:r w:rsidRPr="00C72C6A">
        <w:t>be</w:t>
      </w:r>
      <w:proofErr w:type="gramEnd"/>
      <w:r w:rsidRPr="00C72C6A">
        <w:t xml:space="preserve"> accompanied by a complete specification; and</w:t>
      </w:r>
    </w:p>
    <w:p w14:paraId="5B18A84B" w14:textId="4E16A95D" w:rsidR="00C72C6A" w:rsidRPr="00C72C6A" w:rsidRDefault="00C72C6A" w:rsidP="0086115E">
      <w:pPr>
        <w:pStyle w:val="Quote3"/>
        <w:ind w:left="2880" w:hanging="720"/>
      </w:pPr>
      <w:r w:rsidRPr="00C72C6A">
        <w:t>(d)</w:t>
      </w:r>
      <w:r w:rsidRPr="00C72C6A">
        <w:tab/>
      </w:r>
      <w:proofErr w:type="gramStart"/>
      <w:r w:rsidRPr="00C72C6A">
        <w:t>comply</w:t>
      </w:r>
      <w:proofErr w:type="gramEnd"/>
      <w:r w:rsidRPr="00C72C6A">
        <w:t xml:space="preserve"> with the formalities requirements determined in an instrument under section 229.</w:t>
      </w:r>
    </w:p>
    <w:p w14:paraId="5BFD2108" w14:textId="566C3CB6" w:rsidR="00C72C6A" w:rsidRPr="00C72C6A" w:rsidRDefault="00C72C6A" w:rsidP="00877ECB">
      <w:pPr>
        <w:pStyle w:val="Quote2"/>
      </w:pPr>
      <w:r w:rsidRPr="00C72C6A">
        <w:t>(4B)</w:t>
      </w:r>
      <w:r w:rsidRPr="00C72C6A">
        <w:tab/>
        <w:t>The complete specification referred to in paragraph (4A</w:t>
      </w:r>
      <w:proofErr w:type="gramStart"/>
      <w:r w:rsidRPr="00C72C6A">
        <w:t>)(</w:t>
      </w:r>
      <w:proofErr w:type="gramEnd"/>
      <w:r w:rsidRPr="00C72C6A">
        <w:t>c) must:</w:t>
      </w:r>
    </w:p>
    <w:p w14:paraId="18E91D4E" w14:textId="1161E97D" w:rsidR="00C72C6A" w:rsidRPr="00C72C6A" w:rsidRDefault="00C72C6A" w:rsidP="0086115E">
      <w:pPr>
        <w:pStyle w:val="Quote3"/>
        <w:ind w:left="2880" w:hanging="720"/>
      </w:pPr>
      <w:r w:rsidRPr="00C72C6A">
        <w:t>(a)</w:t>
      </w:r>
      <w:r w:rsidRPr="00C72C6A">
        <w:tab/>
      </w:r>
      <w:proofErr w:type="gramStart"/>
      <w:r w:rsidRPr="00C72C6A">
        <w:t>be</w:t>
      </w:r>
      <w:proofErr w:type="gramEnd"/>
      <w:r w:rsidRPr="00C72C6A">
        <w:t xml:space="preserve"> in the approved form; and</w:t>
      </w:r>
    </w:p>
    <w:p w14:paraId="4215F44E" w14:textId="74470BF1" w:rsidR="00C72C6A" w:rsidRPr="00C72C6A" w:rsidRDefault="00C72C6A" w:rsidP="0086115E">
      <w:pPr>
        <w:pStyle w:val="Quote3"/>
        <w:ind w:left="2880" w:hanging="720"/>
      </w:pPr>
      <w:r w:rsidRPr="00C72C6A">
        <w:t>(b)</w:t>
      </w:r>
      <w:r w:rsidRPr="00C72C6A">
        <w:tab/>
      </w:r>
      <w:proofErr w:type="gramStart"/>
      <w:r w:rsidRPr="00C72C6A">
        <w:t>be</w:t>
      </w:r>
      <w:proofErr w:type="gramEnd"/>
      <w:r w:rsidRPr="00C72C6A">
        <w:t xml:space="preserve"> in English; and</w:t>
      </w:r>
    </w:p>
    <w:p w14:paraId="5F4A2C4D" w14:textId="64A20AD8" w:rsidR="00C72C6A" w:rsidRPr="00C72C6A" w:rsidRDefault="00C72C6A" w:rsidP="0086115E">
      <w:pPr>
        <w:pStyle w:val="Quote3"/>
        <w:ind w:left="2880" w:hanging="720"/>
      </w:pPr>
      <w:r w:rsidRPr="00C72C6A">
        <w:t>(c)</w:t>
      </w:r>
      <w:r w:rsidRPr="00C72C6A">
        <w:tab/>
      </w:r>
      <w:proofErr w:type="gramStart"/>
      <w:r w:rsidRPr="00C72C6A">
        <w:t>comply</w:t>
      </w:r>
      <w:proofErr w:type="gramEnd"/>
      <w:r w:rsidRPr="00C72C6A">
        <w:t xml:space="preserve"> with the formalities requirements determined in an instrument under section 229.</w:t>
      </w:r>
    </w:p>
    <w:p w14:paraId="3B926941" w14:textId="3786E8B2" w:rsidR="00C72C6A" w:rsidRPr="00C72C6A" w:rsidRDefault="00C72C6A" w:rsidP="00877ECB">
      <w:pPr>
        <w:pStyle w:val="Quote2"/>
      </w:pPr>
      <w:r w:rsidRPr="00C72C6A">
        <w:t>(5)</w:t>
      </w:r>
      <w:r w:rsidRPr="00C72C6A">
        <w:tab/>
        <w:t>In this section:</w:t>
      </w:r>
    </w:p>
    <w:p w14:paraId="7ADCAFF0" w14:textId="77777777" w:rsidR="00C72C6A" w:rsidRPr="00C72C6A" w:rsidRDefault="00C72C6A" w:rsidP="00877ECB">
      <w:pPr>
        <w:pStyle w:val="Quote3"/>
      </w:pPr>
      <w:proofErr w:type="gramStart"/>
      <w:r w:rsidRPr="003B3AB6">
        <w:rPr>
          <w:b/>
          <w:bCs/>
          <w:i/>
          <w:iCs/>
        </w:rPr>
        <w:t>person</w:t>
      </w:r>
      <w:proofErr w:type="gramEnd"/>
      <w:r w:rsidRPr="003B3AB6">
        <w:t xml:space="preserve"> </w:t>
      </w:r>
      <w:r w:rsidRPr="00C72C6A">
        <w:t>includes a body of persons, whether incorporated or not.</w:t>
      </w:r>
    </w:p>
    <w:p w14:paraId="7F567568" w14:textId="77777777" w:rsidR="003B3AB6" w:rsidRDefault="00C72C6A" w:rsidP="003B3AB6">
      <w:pPr>
        <w:pStyle w:val="ParaNumbering"/>
      </w:pPr>
      <w:r w:rsidRPr="00276C7E">
        <w:t>Section 29A</w:t>
      </w:r>
      <w:r w:rsidRPr="00C72C6A">
        <w:t xml:space="preserve"> </w:t>
      </w:r>
      <w:r w:rsidR="008D20C4">
        <w:t>supplies</w:t>
      </w:r>
      <w:r w:rsidRPr="00C72C6A">
        <w:t xml:space="preserve"> </w:t>
      </w:r>
      <w:r w:rsidR="008D20C4">
        <w:t>particular</w:t>
      </w:r>
      <w:r w:rsidRPr="00C72C6A">
        <w:t xml:space="preserve"> rules for </w:t>
      </w:r>
      <w:r w:rsidR="008D20C4">
        <w:t xml:space="preserve">making </w:t>
      </w:r>
      <w:r w:rsidRPr="00C72C6A">
        <w:t>PCT applications:</w:t>
      </w:r>
    </w:p>
    <w:p w14:paraId="32E3144A" w14:textId="4D99C18A" w:rsidR="00D807C1" w:rsidRPr="00877ECB" w:rsidRDefault="009B100D" w:rsidP="00877ECB">
      <w:pPr>
        <w:pStyle w:val="Quote1"/>
        <w:rPr>
          <w:b/>
        </w:rPr>
      </w:pPr>
      <w:r>
        <w:rPr>
          <w:b/>
        </w:rPr>
        <w:t>29A</w:t>
      </w:r>
      <w:r>
        <w:rPr>
          <w:b/>
        </w:rPr>
        <w:tab/>
      </w:r>
      <w:r w:rsidR="00D807C1" w:rsidRPr="00877ECB">
        <w:rPr>
          <w:b/>
        </w:rPr>
        <w:t>Applications for patents—special rules for PCT applications</w:t>
      </w:r>
    </w:p>
    <w:p w14:paraId="4C8E17F3" w14:textId="1EA2B2E9" w:rsidR="00D807C1" w:rsidRDefault="00D807C1" w:rsidP="0086115E">
      <w:pPr>
        <w:pStyle w:val="Quote2"/>
        <w:ind w:left="2160" w:hanging="720"/>
      </w:pPr>
      <w:r>
        <w:lastRenderedPageBreak/>
        <w:t>(1)</w:t>
      </w:r>
      <w:r>
        <w:tab/>
        <w:t>A PCT application is to be treated as a complete application under this Act for a standard patent.</w:t>
      </w:r>
    </w:p>
    <w:p w14:paraId="0239A08B" w14:textId="62B65E13" w:rsidR="00D807C1" w:rsidRDefault="00D807C1" w:rsidP="0086115E">
      <w:pPr>
        <w:pStyle w:val="Quote2"/>
        <w:ind w:left="2160" w:hanging="720"/>
      </w:pPr>
      <w:r>
        <w:t>(2)</w:t>
      </w:r>
      <w:r>
        <w:tab/>
        <w:t>The description, drawings, graphics, photographs and claims contained in a PCT application are to be treated as a complete specification filed in respect of the application.</w:t>
      </w:r>
    </w:p>
    <w:p w14:paraId="77D0B11C" w14:textId="0943D90B" w:rsidR="00D807C1" w:rsidRDefault="00D807C1" w:rsidP="0086115E">
      <w:pPr>
        <w:pStyle w:val="Quote2"/>
        <w:ind w:left="2160" w:hanging="720"/>
      </w:pPr>
      <w:r>
        <w:t>(3)</w:t>
      </w:r>
      <w:r>
        <w:tab/>
        <w:t>The specification of a PCT application is to be taken to be amended in the circumstances, on the day and in the manner as prescribed by the regulations.</w:t>
      </w:r>
    </w:p>
    <w:p w14:paraId="1C277D5B" w14:textId="0AEA422E" w:rsidR="00D807C1" w:rsidRDefault="00D807C1" w:rsidP="0086115E">
      <w:pPr>
        <w:pStyle w:val="Quote2"/>
        <w:ind w:left="2160" w:hanging="720"/>
      </w:pPr>
      <w:r>
        <w:t>(4)</w:t>
      </w:r>
      <w:r>
        <w:tab/>
        <w:t>A PCT application is to be taken to comply with the prescribed requirements of this Act that relate to applications for standard patents, but is not to be taken, merely because of subsection (1) or (2), to comply with any other requirements of this Act.</w:t>
      </w:r>
    </w:p>
    <w:p w14:paraId="3200D21E" w14:textId="57F9A79D" w:rsidR="00D807C1" w:rsidRDefault="00D807C1" w:rsidP="0086115E">
      <w:pPr>
        <w:pStyle w:val="Quote2"/>
        <w:ind w:left="2160" w:hanging="720"/>
      </w:pPr>
      <w:r>
        <w:t>(5)</w:t>
      </w:r>
      <w:r>
        <w:tab/>
        <w:t>An applicant of a PCT application must do the following within the prescribed period:</w:t>
      </w:r>
    </w:p>
    <w:p w14:paraId="64899C5E" w14:textId="1FA02820" w:rsidR="00D807C1" w:rsidRDefault="00D807C1" w:rsidP="0086115E">
      <w:pPr>
        <w:pStyle w:val="Quote3"/>
        <w:ind w:left="2880" w:hanging="720"/>
      </w:pPr>
      <w:r>
        <w:t>(a)</w:t>
      </w:r>
      <w:r>
        <w:tab/>
      </w:r>
      <w:proofErr w:type="gramStart"/>
      <w:r>
        <w:t>if</w:t>
      </w:r>
      <w:proofErr w:type="gramEnd"/>
      <w:r>
        <w:t xml:space="preserve"> the application was not filed in the receiving Office in English—file a translation of the application into English;</w:t>
      </w:r>
    </w:p>
    <w:p w14:paraId="0E40A954" w14:textId="5E30114A" w:rsidR="00D807C1" w:rsidRDefault="00D807C1" w:rsidP="0086115E">
      <w:pPr>
        <w:pStyle w:val="Quote3"/>
        <w:ind w:left="2880" w:hanging="720"/>
      </w:pPr>
      <w:r>
        <w:t>(b)</w:t>
      </w:r>
      <w:r>
        <w:tab/>
      </w:r>
      <w:proofErr w:type="gramStart"/>
      <w:r>
        <w:t>in</w:t>
      </w:r>
      <w:proofErr w:type="gramEnd"/>
      <w:r>
        <w:t xml:space="preserve"> any case—file the prescribed documents and pay the prescribed fees.</w:t>
      </w:r>
    </w:p>
    <w:p w14:paraId="61ACB38F" w14:textId="75143087" w:rsidR="00D807C1" w:rsidRDefault="00D807C1" w:rsidP="00877ECB">
      <w:pPr>
        <w:pStyle w:val="Quote2"/>
        <w:ind w:left="2160" w:hanging="720"/>
      </w:pPr>
      <w:r>
        <w:t>(6)</w:t>
      </w:r>
      <w:r>
        <w:tab/>
        <w:t>An applicant is not entitled to ask that any action be taken, or that he or she be allowed to take any action, under this Act in relation to a PCT application unless the following requirements of subsection (5) have been met (if applicable):</w:t>
      </w:r>
    </w:p>
    <w:p w14:paraId="3971700F" w14:textId="2296936C" w:rsidR="00D807C1" w:rsidRDefault="00D807C1" w:rsidP="0086115E">
      <w:pPr>
        <w:pStyle w:val="Quote3"/>
      </w:pPr>
      <w:r>
        <w:t>(a)</w:t>
      </w:r>
      <w:r>
        <w:tab/>
      </w:r>
      <w:proofErr w:type="gramStart"/>
      <w:r>
        <w:t>a</w:t>
      </w:r>
      <w:proofErr w:type="gramEnd"/>
      <w:r>
        <w:t xml:space="preserve"> translation of the application into English has been filed;</w:t>
      </w:r>
    </w:p>
    <w:p w14:paraId="4FE4B3A2" w14:textId="05A24AC3" w:rsidR="00D807C1" w:rsidRDefault="00D807C1" w:rsidP="0086115E">
      <w:pPr>
        <w:pStyle w:val="Quote3"/>
      </w:pPr>
      <w:r>
        <w:t>(b)</w:t>
      </w:r>
      <w:r>
        <w:tab/>
      </w:r>
      <w:proofErr w:type="gramStart"/>
      <w:r>
        <w:t>the</w:t>
      </w:r>
      <w:proofErr w:type="gramEnd"/>
      <w:r>
        <w:t xml:space="preserve"> prescribed documents have been filed;</w:t>
      </w:r>
    </w:p>
    <w:p w14:paraId="13CC32EF" w14:textId="3E1ADAFB" w:rsidR="00D807C1" w:rsidRDefault="00D807C1" w:rsidP="0086115E">
      <w:pPr>
        <w:pStyle w:val="Quote3"/>
      </w:pPr>
      <w:r>
        <w:t>(c)</w:t>
      </w:r>
      <w:r>
        <w:tab/>
      </w:r>
      <w:proofErr w:type="gramStart"/>
      <w:r>
        <w:t>the</w:t>
      </w:r>
      <w:proofErr w:type="gramEnd"/>
      <w:r>
        <w:t xml:space="preserve"> prescribed fees have been paid.</w:t>
      </w:r>
    </w:p>
    <w:p w14:paraId="1BCAAF94" w14:textId="77777777" w:rsidR="00D807C1" w:rsidRDefault="00D807C1" w:rsidP="00877ECB">
      <w:pPr>
        <w:pStyle w:val="Quote3"/>
        <w:ind w:left="2880" w:hanging="720"/>
      </w:pPr>
      <w:r>
        <w:t>Note:</w:t>
      </w:r>
      <w:r>
        <w:tab/>
        <w:t>A failure to comply with subsection (5) may also result in the PCT application lapsing: see paragraph 142(2</w:t>
      </w:r>
      <w:proofErr w:type="gramStart"/>
      <w:r>
        <w:t>)(</w:t>
      </w:r>
      <w:proofErr w:type="gramEnd"/>
      <w:r>
        <w:t>f).</w:t>
      </w:r>
    </w:p>
    <w:p w14:paraId="49BE6F72" w14:textId="0FB8CAF6" w:rsidR="003366A3" w:rsidRDefault="003366A3" w:rsidP="00D807C1">
      <w:pPr>
        <w:pStyle w:val="ParaNumbering"/>
      </w:pPr>
      <w:r>
        <w:t xml:space="preserve">It is an agreed fact that </w:t>
      </w:r>
      <w:r w:rsidR="008D20C4">
        <w:t xml:space="preserve">the application </w:t>
      </w:r>
      <w:r>
        <w:t>satisfie</w:t>
      </w:r>
      <w:r w:rsidR="00C349B5">
        <w:t>s</w:t>
      </w:r>
      <w:r>
        <w:t xml:space="preserve"> the requirements of s </w:t>
      </w:r>
      <w:proofErr w:type="gramStart"/>
      <w:r>
        <w:t>29A(</w:t>
      </w:r>
      <w:proofErr w:type="gramEnd"/>
      <w:r>
        <w:t xml:space="preserve">5). </w:t>
      </w:r>
    </w:p>
    <w:p w14:paraId="29C64879" w14:textId="274F953E" w:rsidR="00C72C6A" w:rsidRPr="00C72C6A" w:rsidRDefault="00C72C6A" w:rsidP="00D807C1">
      <w:pPr>
        <w:pStyle w:val="ParaNumbering"/>
      </w:pPr>
      <w:r w:rsidRPr="00C72C6A">
        <w:t>Regulation 3.2C is</w:t>
      </w:r>
      <w:r w:rsidR="003366A3">
        <w:t xml:space="preserve"> accordingly</w:t>
      </w:r>
      <w:r w:rsidRPr="00C72C6A">
        <w:t xml:space="preserve"> applicable:</w:t>
      </w:r>
    </w:p>
    <w:p w14:paraId="36D71E8D" w14:textId="331D3EFF" w:rsidR="003366A3" w:rsidRPr="00877ECB" w:rsidRDefault="003366A3" w:rsidP="003366A3">
      <w:pPr>
        <w:pStyle w:val="Quote1"/>
        <w:rPr>
          <w:b/>
          <w:lang w:eastAsia="en-AU"/>
        </w:rPr>
      </w:pPr>
      <w:bookmarkStart w:id="32" w:name="_Toc81313976"/>
      <w:r w:rsidRPr="00877ECB">
        <w:rPr>
          <w:rStyle w:val="CharSectno"/>
          <w:b/>
        </w:rPr>
        <w:t>3.2C</w:t>
      </w:r>
      <w:r w:rsidR="004C3A70">
        <w:rPr>
          <w:b/>
        </w:rPr>
        <w:tab/>
      </w:r>
      <w:r w:rsidRPr="004C3A70">
        <w:rPr>
          <w:b/>
        </w:rPr>
        <w:t>Specifications—formalities check for PCT application</w:t>
      </w:r>
      <w:bookmarkEnd w:id="32"/>
    </w:p>
    <w:p w14:paraId="75BBE3D5" w14:textId="39779133" w:rsidR="003366A3" w:rsidRDefault="003366A3" w:rsidP="0086115E">
      <w:pPr>
        <w:pStyle w:val="Quote2"/>
        <w:ind w:left="2160" w:hanging="720"/>
      </w:pPr>
      <w:r>
        <w:t>(1)</w:t>
      </w:r>
      <w:r>
        <w:tab/>
        <w:t>This regulation applies to a PCT application if the applicant complied with the requirements of subsection </w:t>
      </w:r>
      <w:proofErr w:type="gramStart"/>
      <w:r>
        <w:t>29A(</w:t>
      </w:r>
      <w:proofErr w:type="gramEnd"/>
      <w:r>
        <w:t>5) of the Act.</w:t>
      </w:r>
    </w:p>
    <w:p w14:paraId="44204FB3" w14:textId="3B0A3209" w:rsidR="003366A3" w:rsidRDefault="003366A3" w:rsidP="0086115E">
      <w:pPr>
        <w:pStyle w:val="Quote2"/>
        <w:ind w:left="2160" w:hanging="720"/>
      </w:pPr>
      <w:r>
        <w:t>(2)</w:t>
      </w:r>
      <w:r>
        <w:tab/>
        <w:t>The applicant must:</w:t>
      </w:r>
    </w:p>
    <w:p w14:paraId="269E6078" w14:textId="3A71CFF3" w:rsidR="003366A3" w:rsidRDefault="003366A3" w:rsidP="00877ECB">
      <w:pPr>
        <w:pStyle w:val="Quote3"/>
      </w:pPr>
      <w:r>
        <w:t>(a)</w:t>
      </w:r>
      <w:r>
        <w:tab/>
      </w:r>
      <w:proofErr w:type="gramStart"/>
      <w:r>
        <w:t>provide</w:t>
      </w:r>
      <w:proofErr w:type="gramEnd"/>
      <w:r>
        <w:t>:</w:t>
      </w:r>
    </w:p>
    <w:p w14:paraId="24E7984A" w14:textId="77777777" w:rsidR="003366A3" w:rsidRDefault="003366A3" w:rsidP="0086115E">
      <w:pPr>
        <w:pStyle w:val="Quote4"/>
        <w:ind w:left="3600" w:hanging="720"/>
      </w:pPr>
      <w:r>
        <w:t>(</w:t>
      </w:r>
      <w:proofErr w:type="spellStart"/>
      <w:r>
        <w:t>i</w:t>
      </w:r>
      <w:proofErr w:type="spellEnd"/>
      <w:r>
        <w:t>)</w:t>
      </w:r>
      <w:r>
        <w:tab/>
        <w:t>an address for service in Australia or New Zealand at which a document under the Act or these Regulations may be given to the applicant personally, or to a person nominated as the applicant’s representative; or</w:t>
      </w:r>
    </w:p>
    <w:p w14:paraId="63CA074D" w14:textId="77777777" w:rsidR="003366A3" w:rsidRDefault="003366A3" w:rsidP="0086115E">
      <w:pPr>
        <w:pStyle w:val="Quote4"/>
        <w:ind w:left="3600" w:hanging="720"/>
      </w:pPr>
      <w:r>
        <w:t>(ii)</w:t>
      </w:r>
      <w:r>
        <w:tab/>
        <w:t xml:space="preserve">another address for service in Australia to which it is practicable and reasonable for Australia Post, or a </w:t>
      </w:r>
      <w:r>
        <w:lastRenderedPageBreak/>
        <w:t>person acting for Australia Post, to deliver mail; or</w:t>
      </w:r>
    </w:p>
    <w:p w14:paraId="58870C8F" w14:textId="77777777" w:rsidR="003366A3" w:rsidRDefault="003366A3" w:rsidP="0086115E">
      <w:pPr>
        <w:pStyle w:val="Quote4"/>
        <w:ind w:left="3600" w:hanging="720"/>
      </w:pPr>
      <w:r>
        <w:t>(iii)</w:t>
      </w:r>
      <w:r>
        <w:tab/>
        <w:t>an address for service in New Zealand to which it is practicable and reasonable for a person providing mail delivery services to deliver mail; and</w:t>
      </w:r>
    </w:p>
    <w:p w14:paraId="4FF99FE4" w14:textId="77777777" w:rsidR="003366A3" w:rsidRPr="00877ECB" w:rsidRDefault="003366A3" w:rsidP="00877ECB">
      <w:pPr>
        <w:pStyle w:val="Quote3"/>
        <w:ind w:left="2880" w:hanging="720"/>
        <w:rPr>
          <w:i/>
        </w:rPr>
      </w:pPr>
      <w:r w:rsidRPr="00877ECB">
        <w:rPr>
          <w:i/>
        </w:rPr>
        <w:t>(</w:t>
      </w:r>
      <w:proofErr w:type="gramStart"/>
      <w:r w:rsidRPr="00877ECB">
        <w:rPr>
          <w:i/>
        </w:rPr>
        <w:t>aa</w:t>
      </w:r>
      <w:proofErr w:type="gramEnd"/>
      <w:r w:rsidRPr="00877ECB">
        <w:rPr>
          <w:i/>
        </w:rPr>
        <w:t>)</w:t>
      </w:r>
      <w:r w:rsidRPr="00877ECB">
        <w:rPr>
          <w:i/>
        </w:rPr>
        <w:tab/>
        <w:t>provide the name of the inventor of the invention to which the application relates.</w:t>
      </w:r>
    </w:p>
    <w:p w14:paraId="3677D4C8" w14:textId="77777777" w:rsidR="003366A3" w:rsidRDefault="003366A3" w:rsidP="00877ECB">
      <w:pPr>
        <w:pStyle w:val="Quote2"/>
        <w:ind w:left="2160" w:hanging="720"/>
      </w:pPr>
      <w:r>
        <w:t>(3)</w:t>
      </w:r>
      <w:r>
        <w:tab/>
        <w:t>The PCT application must comply with the formalities requirements determined in an instrument under section 229 of the Act.</w:t>
      </w:r>
    </w:p>
    <w:p w14:paraId="2E2AC62A" w14:textId="77777777" w:rsidR="003366A3" w:rsidRPr="00877ECB" w:rsidRDefault="003366A3" w:rsidP="00877ECB">
      <w:pPr>
        <w:pStyle w:val="Quote2"/>
        <w:ind w:left="2160" w:hanging="720"/>
        <w:rPr>
          <w:i/>
        </w:rPr>
      </w:pPr>
      <w:r w:rsidRPr="00877ECB">
        <w:rPr>
          <w:i/>
        </w:rPr>
        <w:t>(4)</w:t>
      </w:r>
      <w:r w:rsidRPr="00877ECB">
        <w:rPr>
          <w:i/>
        </w:rPr>
        <w:tab/>
        <w:t>The Commissioner may, within one month from the date the applicant complied with subsection </w:t>
      </w:r>
      <w:proofErr w:type="gramStart"/>
      <w:r w:rsidRPr="00877ECB">
        <w:rPr>
          <w:i/>
        </w:rPr>
        <w:t>29A(</w:t>
      </w:r>
      <w:proofErr w:type="gramEnd"/>
      <w:r w:rsidRPr="00877ECB">
        <w:rPr>
          <w:i/>
        </w:rPr>
        <w:t xml:space="preserve">5) of the Act, direct the applicant to do anything necessary to ensure that the requirements mentioned in </w:t>
      </w:r>
      <w:proofErr w:type="spellStart"/>
      <w:r w:rsidRPr="00877ECB">
        <w:rPr>
          <w:i/>
        </w:rPr>
        <w:t>subregulations</w:t>
      </w:r>
      <w:proofErr w:type="spellEnd"/>
      <w:r w:rsidRPr="00877ECB">
        <w:rPr>
          <w:i/>
        </w:rPr>
        <w:t xml:space="preserve"> (2) and (3) are met.</w:t>
      </w:r>
    </w:p>
    <w:p w14:paraId="3A00F401" w14:textId="3B43667C" w:rsidR="003366A3" w:rsidRPr="00C15096" w:rsidRDefault="003366A3" w:rsidP="00877ECB">
      <w:pPr>
        <w:pStyle w:val="Quote2"/>
      </w:pPr>
      <w:r w:rsidRPr="00C15096">
        <w:t>(5)</w:t>
      </w:r>
      <w:r w:rsidRPr="00C15096">
        <w:tab/>
        <w:t>The PCT application lapses if:</w:t>
      </w:r>
    </w:p>
    <w:p w14:paraId="519D8D6C" w14:textId="23BF6848" w:rsidR="003366A3" w:rsidRDefault="003366A3" w:rsidP="0086115E">
      <w:pPr>
        <w:pStyle w:val="Quote3"/>
        <w:ind w:left="2880" w:hanging="720"/>
      </w:pPr>
      <w:r>
        <w:t>(a)</w:t>
      </w:r>
      <w:r w:rsidR="00F764AD">
        <w:tab/>
      </w:r>
      <w:proofErr w:type="gramStart"/>
      <w:r>
        <w:t>the</w:t>
      </w:r>
      <w:proofErr w:type="gramEnd"/>
      <w:r>
        <w:t xml:space="preserve"> applicant has been given a direction under </w:t>
      </w:r>
      <w:proofErr w:type="spellStart"/>
      <w:r>
        <w:t>subregulation</w:t>
      </w:r>
      <w:proofErr w:type="spellEnd"/>
      <w:r>
        <w:t> (4); and</w:t>
      </w:r>
    </w:p>
    <w:p w14:paraId="244757E1" w14:textId="011065B5" w:rsidR="003366A3" w:rsidRDefault="003366A3" w:rsidP="0086115E">
      <w:pPr>
        <w:pStyle w:val="Quote3"/>
        <w:ind w:left="2880" w:hanging="720"/>
      </w:pPr>
      <w:r>
        <w:t>(b)</w:t>
      </w:r>
      <w:r w:rsidR="00F764AD">
        <w:tab/>
      </w:r>
      <w:proofErr w:type="gramStart"/>
      <w:r>
        <w:t>the</w:t>
      </w:r>
      <w:proofErr w:type="gramEnd"/>
      <w:r>
        <w:t xml:space="preserve"> applicant has not complied with the direction within 2 months of the date of the direction.</w:t>
      </w:r>
    </w:p>
    <w:p w14:paraId="60031EF0" w14:textId="77777777" w:rsidR="003366A3" w:rsidRDefault="003366A3" w:rsidP="00877ECB">
      <w:pPr>
        <w:pStyle w:val="Quote2"/>
        <w:ind w:left="2160" w:hanging="720"/>
      </w:pPr>
      <w:r>
        <w:t>(6)</w:t>
      </w:r>
      <w:r>
        <w:tab/>
        <w:t xml:space="preserve">If the PCT application lapses under </w:t>
      </w:r>
      <w:proofErr w:type="spellStart"/>
      <w:r>
        <w:t>subregulation</w:t>
      </w:r>
      <w:proofErr w:type="spellEnd"/>
      <w:r>
        <w:t> (5), the Commissioner must:</w:t>
      </w:r>
    </w:p>
    <w:p w14:paraId="72C6D2F9" w14:textId="2A9ADC47" w:rsidR="003366A3" w:rsidRDefault="003366A3" w:rsidP="0086115E">
      <w:pPr>
        <w:pStyle w:val="Quote3"/>
        <w:ind w:left="2880" w:hanging="720"/>
      </w:pPr>
      <w:r>
        <w:t>(a)</w:t>
      </w:r>
      <w:r>
        <w:tab/>
      </w:r>
      <w:proofErr w:type="gramStart"/>
      <w:r>
        <w:t>advertise</w:t>
      </w:r>
      <w:proofErr w:type="gramEnd"/>
      <w:r>
        <w:t xml:space="preserve"> that fact in the </w:t>
      </w:r>
      <w:r>
        <w:rPr>
          <w:i/>
        </w:rPr>
        <w:t>Official Journal</w:t>
      </w:r>
      <w:r>
        <w:t>; and</w:t>
      </w:r>
    </w:p>
    <w:p w14:paraId="25EAB13E" w14:textId="12455CFE" w:rsidR="004E1237" w:rsidRDefault="003366A3" w:rsidP="0086115E">
      <w:pPr>
        <w:pStyle w:val="Quote3"/>
        <w:ind w:left="2880" w:hanging="720"/>
      </w:pPr>
      <w:r>
        <w:t>(b)</w:t>
      </w:r>
      <w:r>
        <w:tab/>
      </w:r>
      <w:proofErr w:type="gramStart"/>
      <w:r>
        <w:t>notify</w:t>
      </w:r>
      <w:proofErr w:type="gramEnd"/>
      <w:r>
        <w:t xml:space="preserve"> the applicant that the PCT application has lapsed.</w:t>
      </w:r>
    </w:p>
    <w:p w14:paraId="06CBB5AB" w14:textId="0A0D469B" w:rsidR="00C72C6A" w:rsidRPr="00C72C6A" w:rsidRDefault="00EB3865">
      <w:pPr>
        <w:pStyle w:val="Quote1"/>
      </w:pPr>
      <w:r>
        <w:t>(</w:t>
      </w:r>
      <w:proofErr w:type="gramStart"/>
      <w:r>
        <w:t>emphasis</w:t>
      </w:r>
      <w:proofErr w:type="gramEnd"/>
      <w:r>
        <w:t xml:space="preserve"> added</w:t>
      </w:r>
      <w:r w:rsidR="0017364D">
        <w:t>)</w:t>
      </w:r>
    </w:p>
    <w:p w14:paraId="5005023D" w14:textId="77777777" w:rsidR="008D20C4" w:rsidRDefault="00E114E7" w:rsidP="008D20C4">
      <w:pPr>
        <w:pStyle w:val="ParaNumbering"/>
        <w:rPr>
          <w:lang w:val="en-GB"/>
        </w:rPr>
      </w:pPr>
      <w:r w:rsidRPr="00276C7E">
        <w:rPr>
          <w:lang w:val="en-GB"/>
        </w:rPr>
        <w:t xml:space="preserve">Regulation </w:t>
      </w:r>
      <w:proofErr w:type="gramStart"/>
      <w:r w:rsidRPr="00276C7E">
        <w:rPr>
          <w:lang w:val="en-GB"/>
        </w:rPr>
        <w:t>3.1A(</w:t>
      </w:r>
      <w:proofErr w:type="gramEnd"/>
      <w:r w:rsidRPr="00276C7E">
        <w:rPr>
          <w:lang w:val="en-GB"/>
        </w:rPr>
        <w:t>2)</w:t>
      </w:r>
      <w:r>
        <w:rPr>
          <w:lang w:val="en-GB"/>
        </w:rPr>
        <w:t xml:space="preserve"> </w:t>
      </w:r>
      <w:r w:rsidR="008D20C4" w:rsidRPr="00C72C6A">
        <w:rPr>
          <w:lang w:val="en-GB"/>
        </w:rPr>
        <w:t xml:space="preserve">provides that for a PCT application, the applicant is taken to be the </w:t>
      </w:r>
      <w:r w:rsidR="004D5E98">
        <w:rPr>
          <w:lang w:val="en-GB"/>
        </w:rPr>
        <w:t>“</w:t>
      </w:r>
      <w:r w:rsidR="008D20C4" w:rsidRPr="00C72C6A">
        <w:rPr>
          <w:lang w:val="en-GB"/>
        </w:rPr>
        <w:t>nominated person</w:t>
      </w:r>
      <w:r w:rsidR="004D5E98">
        <w:rPr>
          <w:lang w:val="en-GB"/>
        </w:rPr>
        <w:t>”</w:t>
      </w:r>
      <w:r w:rsidR="008D20C4" w:rsidRPr="00C72C6A">
        <w:rPr>
          <w:lang w:val="en-GB"/>
        </w:rPr>
        <w:t xml:space="preserve">. </w:t>
      </w:r>
    </w:p>
    <w:p w14:paraId="6B33C2F0" w14:textId="77777777" w:rsidR="00C72C6A" w:rsidRPr="00C72C6A" w:rsidRDefault="00C72C6A" w:rsidP="00C72C6A">
      <w:pPr>
        <w:pStyle w:val="ParaNumbering"/>
      </w:pPr>
      <w:r w:rsidRPr="00276C7E">
        <w:t xml:space="preserve">Section 31 of the </w:t>
      </w:r>
      <w:r w:rsidRPr="00276C7E">
        <w:rPr>
          <w:i/>
        </w:rPr>
        <w:t>Patents Act</w:t>
      </w:r>
      <w:r w:rsidRPr="00276C7E">
        <w:t xml:space="preserve"> </w:t>
      </w:r>
      <w:r w:rsidRPr="00C72C6A">
        <w:t>provide</w:t>
      </w:r>
      <w:r w:rsidR="008D20C4">
        <w:t>s</w:t>
      </w:r>
      <w:r w:rsidRPr="00C72C6A">
        <w:t xml:space="preserve"> that two or more persons (within the meaning of s 29) may make a joint patent application. </w:t>
      </w:r>
    </w:p>
    <w:p w14:paraId="3BCA56CA" w14:textId="77777777" w:rsidR="00C72C6A" w:rsidRPr="00C72C6A" w:rsidRDefault="00C72C6A" w:rsidP="00C72C6A">
      <w:pPr>
        <w:pStyle w:val="ParaNumbering"/>
      </w:pPr>
      <w:r w:rsidRPr="00276C7E">
        <w:t>Section 32</w:t>
      </w:r>
      <w:r w:rsidRPr="00C72C6A">
        <w:t xml:space="preserve"> provides that the Commissi</w:t>
      </w:r>
      <w:r w:rsidR="008D20C4">
        <w:t>oner may make determinations to</w:t>
      </w:r>
      <w:r w:rsidRPr="00C72C6A">
        <w:t xml:space="preserve"> enable an application to proceed in the event that a dispute arises between any two or more joint applicants. </w:t>
      </w:r>
    </w:p>
    <w:p w14:paraId="5C7068E9" w14:textId="77777777" w:rsidR="00C72C6A" w:rsidRPr="00C72C6A" w:rsidRDefault="00C72C6A" w:rsidP="00C72C6A">
      <w:pPr>
        <w:pStyle w:val="ParaNumbering"/>
      </w:pPr>
      <w:r w:rsidRPr="00276C7E">
        <w:t>Section 33(1)</w:t>
      </w:r>
      <w:r w:rsidRPr="00C72C6A">
        <w:t xml:space="preserve"> provides:</w:t>
      </w:r>
    </w:p>
    <w:p w14:paraId="5F759134" w14:textId="3A5A62FA" w:rsidR="00C72C6A" w:rsidRPr="00877ECB" w:rsidRDefault="00C72C6A" w:rsidP="003366A3">
      <w:pPr>
        <w:pStyle w:val="Quote1"/>
        <w:rPr>
          <w:b/>
        </w:rPr>
      </w:pPr>
      <w:bookmarkStart w:id="33" w:name="_Toc83312339"/>
      <w:r w:rsidRPr="00877ECB">
        <w:rPr>
          <w:b/>
        </w:rPr>
        <w:t>33</w:t>
      </w:r>
      <w:r w:rsidR="00C15096">
        <w:rPr>
          <w:b/>
        </w:rPr>
        <w:tab/>
      </w:r>
      <w:r w:rsidRPr="00C15096">
        <w:rPr>
          <w:b/>
        </w:rPr>
        <w:t>Applications by opponents etc</w:t>
      </w:r>
      <w:r w:rsidRPr="00877ECB">
        <w:rPr>
          <w:b/>
        </w:rPr>
        <w:t>.</w:t>
      </w:r>
      <w:bookmarkEnd w:id="33"/>
    </w:p>
    <w:p w14:paraId="3C505A92" w14:textId="77777777" w:rsidR="00C72C6A" w:rsidRPr="00877ECB" w:rsidRDefault="00C72C6A" w:rsidP="00877ECB">
      <w:pPr>
        <w:pStyle w:val="Quote3"/>
        <w:rPr>
          <w:i/>
        </w:rPr>
      </w:pPr>
      <w:r w:rsidRPr="00877ECB">
        <w:rPr>
          <w:i/>
        </w:rPr>
        <w:t>Opposition to standard patent if a person other than nominated person eligible for grant of patent</w:t>
      </w:r>
    </w:p>
    <w:p w14:paraId="71AF7558" w14:textId="4C6E5DB4" w:rsidR="00C72C6A" w:rsidRPr="00C72C6A" w:rsidRDefault="00C72C6A" w:rsidP="00877ECB">
      <w:pPr>
        <w:pStyle w:val="Quote2"/>
      </w:pPr>
      <w:r w:rsidRPr="00C72C6A">
        <w:t>(1)</w:t>
      </w:r>
      <w:r w:rsidRPr="00C72C6A">
        <w:tab/>
        <w:t>If:</w:t>
      </w:r>
    </w:p>
    <w:p w14:paraId="733596CB" w14:textId="410D9483" w:rsidR="00C72C6A" w:rsidRPr="00C72C6A" w:rsidRDefault="00C72C6A" w:rsidP="0086115E">
      <w:pPr>
        <w:pStyle w:val="Quote3"/>
        <w:ind w:left="2880" w:hanging="720"/>
      </w:pPr>
      <w:r w:rsidRPr="00C72C6A">
        <w:t>(a)</w:t>
      </w:r>
      <w:r w:rsidRPr="00C72C6A">
        <w:tab/>
      </w:r>
      <w:proofErr w:type="gramStart"/>
      <w:r w:rsidRPr="00C72C6A">
        <w:t>an</w:t>
      </w:r>
      <w:proofErr w:type="gramEnd"/>
      <w:r w:rsidRPr="00C72C6A">
        <w:t xml:space="preserve"> application has been made for a standard patent; and</w:t>
      </w:r>
    </w:p>
    <w:p w14:paraId="69E6E440" w14:textId="4107426D" w:rsidR="00C72C6A" w:rsidRPr="00C72C6A" w:rsidRDefault="00C72C6A" w:rsidP="0086115E">
      <w:pPr>
        <w:pStyle w:val="Quote3"/>
        <w:ind w:left="2880" w:hanging="720"/>
      </w:pPr>
      <w:r w:rsidRPr="00C72C6A">
        <w:t>(b)</w:t>
      </w:r>
      <w:r w:rsidRPr="00C72C6A">
        <w:tab/>
      </w:r>
      <w:proofErr w:type="gramStart"/>
      <w:r w:rsidRPr="00C72C6A">
        <w:t>the</w:t>
      </w:r>
      <w:proofErr w:type="gramEnd"/>
      <w:r w:rsidRPr="00C72C6A">
        <w:t xml:space="preserve"> grant of the standard patent is opposed under section 59 by one or more persons; and</w:t>
      </w:r>
    </w:p>
    <w:p w14:paraId="59CF6ADA" w14:textId="4E8C2B76" w:rsidR="00C72C6A" w:rsidRPr="00C72C6A" w:rsidRDefault="00C72C6A" w:rsidP="0086115E">
      <w:pPr>
        <w:pStyle w:val="Quote3"/>
        <w:ind w:left="2880" w:hanging="720"/>
      </w:pPr>
      <w:r w:rsidRPr="00C72C6A">
        <w:lastRenderedPageBreak/>
        <w:t>(c)</w:t>
      </w:r>
      <w:r w:rsidRPr="00C72C6A">
        <w:tab/>
      </w:r>
      <w:proofErr w:type="gramStart"/>
      <w:r w:rsidRPr="00C72C6A">
        <w:t>the</w:t>
      </w:r>
      <w:proofErr w:type="gramEnd"/>
      <w:r w:rsidRPr="00C72C6A">
        <w:t xml:space="preserve"> Commissioner decides, under section 60, that:</w:t>
      </w:r>
    </w:p>
    <w:p w14:paraId="054313DA" w14:textId="726C1BDD" w:rsidR="00C72C6A" w:rsidRPr="00C72C6A" w:rsidRDefault="00C72C6A" w:rsidP="0086115E">
      <w:pPr>
        <w:pStyle w:val="Quote4"/>
        <w:ind w:left="3600" w:hanging="720"/>
      </w:pPr>
      <w:r w:rsidRPr="00C72C6A">
        <w:t>(</w:t>
      </w:r>
      <w:proofErr w:type="spellStart"/>
      <w:r w:rsidRPr="00C72C6A">
        <w:t>i</w:t>
      </w:r>
      <w:proofErr w:type="spellEnd"/>
      <w:r w:rsidRPr="00C72C6A">
        <w:t>)</w:t>
      </w:r>
      <w:r w:rsidRPr="00C72C6A">
        <w:tab/>
        <w:t xml:space="preserve">one or more opponents are eligible persons in relation to the invention, so far as claimed in any claim of the opposed patent application (the </w:t>
      </w:r>
      <w:r w:rsidRPr="00877ECB">
        <w:rPr>
          <w:b/>
          <w:bCs/>
          <w:i/>
          <w:iCs/>
        </w:rPr>
        <w:t>original claim</w:t>
      </w:r>
      <w:r w:rsidRPr="00C72C6A">
        <w:t>); and</w:t>
      </w:r>
    </w:p>
    <w:p w14:paraId="795D3FD3" w14:textId="77777777" w:rsidR="00C72C6A" w:rsidRPr="00C72C6A" w:rsidRDefault="00C72C6A" w:rsidP="0086115E">
      <w:pPr>
        <w:pStyle w:val="Quote4"/>
        <w:ind w:left="3600" w:hanging="720"/>
      </w:pPr>
      <w:r w:rsidRPr="00C72C6A">
        <w:t>(ii)</w:t>
      </w:r>
      <w:r w:rsidRPr="00C72C6A">
        <w:tab/>
      </w:r>
      <w:proofErr w:type="gramStart"/>
      <w:r w:rsidRPr="00C72C6A">
        <w:t>the</w:t>
      </w:r>
      <w:proofErr w:type="gramEnd"/>
      <w:r w:rsidRPr="00C72C6A">
        <w:t xml:space="preserve"> </w:t>
      </w:r>
      <w:r w:rsidRPr="00877ECB">
        <w:t>nominated person</w:t>
      </w:r>
      <w:r w:rsidRPr="00C72C6A">
        <w:t xml:space="preserve"> in respect of the application is not an eligible person in relation to the invention; and</w:t>
      </w:r>
    </w:p>
    <w:p w14:paraId="0966733F" w14:textId="3875F0DC" w:rsidR="00C72C6A" w:rsidRPr="00C72C6A" w:rsidRDefault="00C72C6A" w:rsidP="0086115E">
      <w:pPr>
        <w:pStyle w:val="Quote4"/>
        <w:ind w:left="3600" w:hanging="720"/>
      </w:pPr>
      <w:r w:rsidRPr="00C72C6A">
        <w:t>(iii)</w:t>
      </w:r>
      <w:r w:rsidRPr="00C72C6A">
        <w:tab/>
      </w:r>
      <w:proofErr w:type="gramStart"/>
      <w:r w:rsidRPr="00C72C6A">
        <w:t>there</w:t>
      </w:r>
      <w:proofErr w:type="gramEnd"/>
      <w:r w:rsidRPr="00C72C6A">
        <w:t xml:space="preserve"> is no other reason that a patent should not be granted; and</w:t>
      </w:r>
    </w:p>
    <w:p w14:paraId="3A5FF973" w14:textId="1FA60044" w:rsidR="00C72C6A" w:rsidRPr="00C72C6A" w:rsidRDefault="00C72C6A" w:rsidP="00877ECB">
      <w:pPr>
        <w:pStyle w:val="Quote3"/>
        <w:ind w:left="2880" w:hanging="720"/>
      </w:pPr>
      <w:r w:rsidRPr="00C72C6A">
        <w:t>(d)</w:t>
      </w:r>
      <w:r w:rsidRPr="00C72C6A">
        <w:tab/>
      </w:r>
      <w:proofErr w:type="gramStart"/>
      <w:r w:rsidRPr="00C72C6A">
        <w:t>a</w:t>
      </w:r>
      <w:proofErr w:type="gramEnd"/>
      <w:r w:rsidRPr="00C72C6A">
        <w:t xml:space="preserve"> complete application is made under section 29 by one or more of the eligible persons for a patent in relation to the invention;</w:t>
      </w:r>
    </w:p>
    <w:p w14:paraId="0EF18826" w14:textId="77777777" w:rsidR="00C72C6A" w:rsidRPr="00C72C6A" w:rsidRDefault="00C72C6A" w:rsidP="00877ECB">
      <w:pPr>
        <w:pStyle w:val="Quote3"/>
      </w:pPr>
      <w:proofErr w:type="gramStart"/>
      <w:r w:rsidRPr="00C72C6A">
        <w:t>the</w:t>
      </w:r>
      <w:proofErr w:type="gramEnd"/>
      <w:r w:rsidRPr="00C72C6A">
        <w:t xml:space="preserve"> Commissioner may grant those eligible persons a patent jointly for the invention, so far as so claimed.</w:t>
      </w:r>
    </w:p>
    <w:p w14:paraId="6300C556" w14:textId="20E3907B" w:rsidR="00C72C6A" w:rsidRPr="00C72C6A" w:rsidRDefault="00C72C6A" w:rsidP="00C72C6A">
      <w:pPr>
        <w:pStyle w:val="ParaNumbering"/>
      </w:pPr>
      <w:r w:rsidRPr="00276C7E">
        <w:t>Section 33(2)</w:t>
      </w:r>
      <w:r w:rsidRPr="00C72C6A">
        <w:t xml:space="preserve"> provides that</w:t>
      </w:r>
      <w:r w:rsidR="00431CC4">
        <w:t>, where</w:t>
      </w:r>
      <w:r w:rsidRPr="00C72C6A">
        <w:t xml:space="preserve"> </w:t>
      </w:r>
      <w:r w:rsidR="00563896">
        <w:t>one or more</w:t>
      </w:r>
      <w:r w:rsidRPr="00C72C6A">
        <w:t xml:space="preserve"> person</w:t>
      </w:r>
      <w:r w:rsidR="00563896">
        <w:t>s</w:t>
      </w:r>
      <w:r w:rsidRPr="00C72C6A">
        <w:t xml:space="preserve"> oppose</w:t>
      </w:r>
      <w:r w:rsidR="00431CC4">
        <w:t>s</w:t>
      </w:r>
      <w:r w:rsidRPr="00C72C6A">
        <w:t xml:space="preserve"> the grant of a patent </w:t>
      </w:r>
      <w:r w:rsidR="00563896">
        <w:t xml:space="preserve">and the Commissioner decides that both the “nominated person” and one or more of the opponents </w:t>
      </w:r>
      <w:r w:rsidRPr="00C72C6A">
        <w:t xml:space="preserve">are eligible </w:t>
      </w:r>
      <w:r w:rsidR="00563896">
        <w:t xml:space="preserve">persons in relation to the invention, the Commissioner may </w:t>
      </w:r>
      <w:r w:rsidRPr="00C72C6A">
        <w:t xml:space="preserve">grant </w:t>
      </w:r>
      <w:r w:rsidR="00563896">
        <w:t>a patent for the invention to those</w:t>
      </w:r>
      <w:r w:rsidR="0071668F">
        <w:t xml:space="preserve"> eligible persons jointly</w:t>
      </w:r>
      <w:r w:rsidRPr="00C72C6A">
        <w:t xml:space="preserve">. </w:t>
      </w:r>
      <w:r w:rsidRPr="00276C7E">
        <w:t>Sections 33(3) and (4)</w:t>
      </w:r>
      <w:r w:rsidRPr="00C72C6A">
        <w:t xml:space="preserve"> provide provisions to </w:t>
      </w:r>
      <w:r w:rsidR="00E67420">
        <w:t xml:space="preserve">a </w:t>
      </w:r>
      <w:r w:rsidRPr="00C72C6A">
        <w:t xml:space="preserve">similar effect in relation to innovation patents. </w:t>
      </w:r>
    </w:p>
    <w:p w14:paraId="2F9F628A" w14:textId="53653307" w:rsidR="00C72C6A" w:rsidRPr="00C72C6A" w:rsidRDefault="00C72C6A" w:rsidP="00C72C6A">
      <w:pPr>
        <w:pStyle w:val="ParaNumbering"/>
      </w:pPr>
      <w:r w:rsidRPr="00C72C6A">
        <w:t xml:space="preserve">Division 2 of </w:t>
      </w:r>
      <w:r w:rsidR="00C349B5">
        <w:t>P</w:t>
      </w:r>
      <w:r w:rsidR="009D63DE">
        <w:t xml:space="preserve">art 1 of </w:t>
      </w:r>
      <w:r w:rsidR="00C349B5">
        <w:t>C</w:t>
      </w:r>
      <w:r w:rsidR="009D63DE" w:rsidRPr="00C72C6A">
        <w:t xml:space="preserve">hapter </w:t>
      </w:r>
      <w:r w:rsidRPr="00C72C6A">
        <w:t>3 set</w:t>
      </w:r>
      <w:r w:rsidR="009B5B80">
        <w:t>s</w:t>
      </w:r>
      <w:r w:rsidRPr="00C72C6A">
        <w:t xml:space="preserve"> out the formal requirements for </w:t>
      </w:r>
      <w:r w:rsidR="00842FD0">
        <w:t xml:space="preserve">patent </w:t>
      </w:r>
      <w:r w:rsidRPr="00C72C6A">
        <w:t xml:space="preserve">specifications. </w:t>
      </w:r>
    </w:p>
    <w:p w14:paraId="109409FF" w14:textId="0FAB823D" w:rsidR="00C72C6A" w:rsidRPr="00C72C6A" w:rsidRDefault="00C72C6A" w:rsidP="00C72C6A">
      <w:pPr>
        <w:pStyle w:val="ParaNumbering"/>
      </w:pPr>
      <w:r w:rsidRPr="00C72C6A">
        <w:t xml:space="preserve">Chapter 5 concerns oppositions to the grant of standard patents. </w:t>
      </w:r>
      <w:r w:rsidRPr="00276C7E">
        <w:t xml:space="preserve">Section 59 </w:t>
      </w:r>
      <w:r w:rsidRPr="00C72C6A">
        <w:t xml:space="preserve">provides that the Minister or any other person may, in accordance with the </w:t>
      </w:r>
      <w:r w:rsidR="008F4309" w:rsidRPr="00877ECB">
        <w:rPr>
          <w:i/>
        </w:rPr>
        <w:t>Regulations</w:t>
      </w:r>
      <w:r w:rsidRPr="00C72C6A">
        <w:t>, oppose the grant of a standard patent. One ground is:</w:t>
      </w:r>
    </w:p>
    <w:p w14:paraId="1A504884" w14:textId="77777777" w:rsidR="00C72C6A" w:rsidRPr="00C72C6A" w:rsidRDefault="00C72C6A" w:rsidP="00877ECB">
      <w:pPr>
        <w:pStyle w:val="Quote1"/>
      </w:pPr>
      <w:r w:rsidRPr="00C72C6A">
        <w:t>(a)</w:t>
      </w:r>
      <w:r w:rsidRPr="00C72C6A">
        <w:tab/>
      </w:r>
      <w:proofErr w:type="gramStart"/>
      <w:r w:rsidRPr="00C72C6A">
        <w:t>that</w:t>
      </w:r>
      <w:proofErr w:type="gramEnd"/>
      <w:r w:rsidRPr="00C72C6A">
        <w:t xml:space="preserve"> the nominated person is either:</w:t>
      </w:r>
    </w:p>
    <w:p w14:paraId="14FAB15E" w14:textId="552A8112" w:rsidR="00C72C6A" w:rsidRPr="00C72C6A" w:rsidRDefault="00C72C6A" w:rsidP="0086115E">
      <w:pPr>
        <w:pStyle w:val="Quote2"/>
        <w:ind w:left="2160" w:hanging="720"/>
      </w:pPr>
      <w:r w:rsidRPr="00C72C6A">
        <w:t>(</w:t>
      </w:r>
      <w:proofErr w:type="spellStart"/>
      <w:r w:rsidRPr="00C72C6A">
        <w:t>i</w:t>
      </w:r>
      <w:proofErr w:type="spellEnd"/>
      <w:r w:rsidRPr="00C72C6A">
        <w:t>)</w:t>
      </w:r>
      <w:r w:rsidRPr="00C72C6A">
        <w:tab/>
      </w:r>
      <w:proofErr w:type="gramStart"/>
      <w:r w:rsidRPr="00C72C6A">
        <w:t>not</w:t>
      </w:r>
      <w:proofErr w:type="gramEnd"/>
      <w:r w:rsidRPr="00C72C6A">
        <w:t xml:space="preserve"> entitled to a grant of a patent for the invention; or</w:t>
      </w:r>
    </w:p>
    <w:p w14:paraId="70732C93" w14:textId="5AA666D4" w:rsidR="00C72C6A" w:rsidRPr="00C72C6A" w:rsidRDefault="00C72C6A" w:rsidP="0086115E">
      <w:pPr>
        <w:pStyle w:val="Quote2"/>
        <w:ind w:left="2160" w:hanging="720"/>
      </w:pPr>
      <w:r w:rsidRPr="00C72C6A">
        <w:t>(ii)</w:t>
      </w:r>
      <w:r w:rsidRPr="00C72C6A">
        <w:tab/>
      </w:r>
      <w:proofErr w:type="gramStart"/>
      <w:r w:rsidRPr="00C72C6A">
        <w:t>entitled</w:t>
      </w:r>
      <w:proofErr w:type="gramEnd"/>
      <w:r w:rsidRPr="00C72C6A">
        <w:t xml:space="preserve"> to a grant of a patent for the invention but only in conjunction with some other person;</w:t>
      </w:r>
    </w:p>
    <w:p w14:paraId="0D8203E8" w14:textId="3CC3C44F" w:rsidR="00C72C6A" w:rsidRPr="00C72C6A" w:rsidRDefault="00C72C6A" w:rsidP="00C72C6A">
      <w:pPr>
        <w:pStyle w:val="ParaNumbering"/>
      </w:pPr>
      <w:r w:rsidRPr="00276C7E">
        <w:t>Section 138</w:t>
      </w:r>
      <w:r w:rsidRPr="00C72C6A">
        <w:t>(1) provides that the Minister or any other person may apply to a prescribed court for an order revoking a patent. Section 138(3</w:t>
      </w:r>
      <w:proofErr w:type="gramStart"/>
      <w:r w:rsidRPr="00C72C6A">
        <w:t>)(</w:t>
      </w:r>
      <w:proofErr w:type="gramEnd"/>
      <w:r w:rsidRPr="00C72C6A">
        <w:t xml:space="preserve">a) provides that one ground for revoking a patent is that “the patentee is not entitled to the </w:t>
      </w:r>
      <w:r w:rsidR="00B46D10">
        <w:t>patent</w:t>
      </w:r>
      <w:r w:rsidRPr="00C72C6A">
        <w:t>”.</w:t>
      </w:r>
    </w:p>
    <w:p w14:paraId="4FDCA28A" w14:textId="77777777" w:rsidR="00C72C6A" w:rsidRPr="008D20C4" w:rsidRDefault="008D20C4" w:rsidP="008D20C4">
      <w:pPr>
        <w:pStyle w:val="ParaNumbering"/>
        <w:tabs>
          <w:tab w:val="clear" w:pos="720"/>
        </w:tabs>
        <w:rPr>
          <w:lang w:val="en-GB"/>
        </w:rPr>
      </w:pPr>
      <w:r w:rsidRPr="00276C7E">
        <w:rPr>
          <w:lang w:val="en-GB"/>
        </w:rPr>
        <w:t xml:space="preserve">Schedule 1 of the </w:t>
      </w:r>
      <w:r w:rsidRPr="00276C7E">
        <w:rPr>
          <w:i/>
          <w:lang w:val="en-GB"/>
        </w:rPr>
        <w:t>Patents Act</w:t>
      </w:r>
      <w:r w:rsidRPr="00276C7E">
        <w:rPr>
          <w:lang w:val="en-GB"/>
        </w:rPr>
        <w:t xml:space="preserve"> </w:t>
      </w:r>
      <w:r>
        <w:rPr>
          <w:lang w:val="en-GB"/>
        </w:rPr>
        <w:t xml:space="preserve">provides a </w:t>
      </w:r>
      <w:r w:rsidRPr="002D4F5A">
        <w:rPr>
          <w:b/>
          <w:lang w:val="en-GB"/>
        </w:rPr>
        <w:t>dictionary</w:t>
      </w:r>
      <w:r>
        <w:rPr>
          <w:lang w:val="en-GB"/>
        </w:rPr>
        <w:t xml:space="preserve"> of terms. These relevantly include the following:</w:t>
      </w:r>
    </w:p>
    <w:p w14:paraId="5E545801" w14:textId="4D771EBC" w:rsidR="00C72C6A" w:rsidRDefault="00C72C6A" w:rsidP="008D20C4">
      <w:pPr>
        <w:pStyle w:val="Quote1"/>
        <w:rPr>
          <w:lang w:val="en-GB"/>
        </w:rPr>
      </w:pPr>
      <w:proofErr w:type="gramStart"/>
      <w:r w:rsidRPr="00C72C6A">
        <w:rPr>
          <w:b/>
          <w:bCs/>
          <w:i/>
          <w:iCs/>
          <w:lang w:val="en-GB"/>
        </w:rPr>
        <w:t>invention</w:t>
      </w:r>
      <w:proofErr w:type="gramEnd"/>
      <w:r w:rsidRPr="00C72C6A">
        <w:rPr>
          <w:lang w:val="en-GB"/>
        </w:rPr>
        <w:t xml:space="preserve"> means any manner of new manufacture the subject of letters patent and grant of privilege within section 6 of the </w:t>
      </w:r>
      <w:r w:rsidRPr="00877ECB">
        <w:rPr>
          <w:lang w:val="en-GB"/>
        </w:rPr>
        <w:t>Statute of Monopolies</w:t>
      </w:r>
      <w:r w:rsidRPr="00C72C6A">
        <w:rPr>
          <w:lang w:val="en-GB"/>
        </w:rPr>
        <w:t>, and includes an alleged invention</w:t>
      </w:r>
      <w:r w:rsidR="00B46D10">
        <w:rPr>
          <w:lang w:val="en-GB"/>
        </w:rPr>
        <w:t>.</w:t>
      </w:r>
    </w:p>
    <w:p w14:paraId="6DE2E145" w14:textId="393AC3DB" w:rsidR="00B46D10" w:rsidRPr="00B46D10" w:rsidRDefault="00B46D10" w:rsidP="008D20C4">
      <w:pPr>
        <w:pStyle w:val="Quote1"/>
        <w:rPr>
          <w:lang w:val="en-GB"/>
        </w:rPr>
      </w:pPr>
      <w:r w:rsidRPr="00877ECB">
        <w:rPr>
          <w:bCs/>
          <w:iCs/>
          <w:lang w:val="en-GB"/>
        </w:rPr>
        <w:t>…</w:t>
      </w:r>
    </w:p>
    <w:p w14:paraId="64C11054" w14:textId="4D64F273" w:rsidR="00C72C6A" w:rsidRDefault="00C72C6A" w:rsidP="008D20C4">
      <w:pPr>
        <w:pStyle w:val="Quote1"/>
        <w:rPr>
          <w:lang w:val="en-GB"/>
        </w:rPr>
      </w:pPr>
      <w:proofErr w:type="gramStart"/>
      <w:r w:rsidRPr="00C72C6A">
        <w:rPr>
          <w:b/>
          <w:bCs/>
          <w:i/>
          <w:iCs/>
          <w:lang w:val="en-GB"/>
        </w:rPr>
        <w:lastRenderedPageBreak/>
        <w:t>nominated</w:t>
      </w:r>
      <w:proofErr w:type="gramEnd"/>
      <w:r w:rsidRPr="00C72C6A">
        <w:rPr>
          <w:b/>
          <w:bCs/>
          <w:i/>
          <w:iCs/>
          <w:lang w:val="en-GB"/>
        </w:rPr>
        <w:t xml:space="preserve"> person</w:t>
      </w:r>
      <w:r w:rsidRPr="00C72C6A">
        <w:rPr>
          <w:lang w:val="en-GB"/>
        </w:rPr>
        <w:t xml:space="preserve"> means the person identified in a patent request as the person to whom the patent is to be granted.</w:t>
      </w:r>
    </w:p>
    <w:p w14:paraId="34B60922" w14:textId="59555984" w:rsidR="00B46D10" w:rsidRPr="00B46D10" w:rsidRDefault="00B46D10" w:rsidP="008D20C4">
      <w:pPr>
        <w:pStyle w:val="Quote1"/>
        <w:rPr>
          <w:lang w:val="en-GB"/>
        </w:rPr>
      </w:pPr>
      <w:r w:rsidRPr="00877ECB">
        <w:rPr>
          <w:bCs/>
          <w:iCs/>
          <w:lang w:val="en-GB"/>
        </w:rPr>
        <w:t>…</w:t>
      </w:r>
    </w:p>
    <w:p w14:paraId="4FF3027F" w14:textId="3D4ED6C0" w:rsidR="00C72C6A" w:rsidRPr="00C72C6A" w:rsidRDefault="00C72C6A" w:rsidP="00877ECB">
      <w:pPr>
        <w:pStyle w:val="Quote1"/>
      </w:pPr>
      <w:proofErr w:type="gramStart"/>
      <w:r w:rsidRPr="00C72C6A">
        <w:rPr>
          <w:b/>
          <w:bCs/>
          <w:i/>
          <w:iCs/>
          <w:lang w:val="en-GB"/>
        </w:rPr>
        <w:t>patentee</w:t>
      </w:r>
      <w:proofErr w:type="gramEnd"/>
      <w:r w:rsidRPr="00C72C6A">
        <w:rPr>
          <w:lang w:val="en-GB"/>
        </w:rPr>
        <w:t xml:space="preserve"> means the person for the time being entered in the Register as the grantee or proprietor of a patent.</w:t>
      </w:r>
    </w:p>
    <w:p w14:paraId="38B395E8" w14:textId="77777777" w:rsidR="00C72C6A" w:rsidRPr="00C72C6A" w:rsidRDefault="00C72C6A" w:rsidP="008D20C4">
      <w:pPr>
        <w:pStyle w:val="Heading5"/>
      </w:pPr>
      <w:bookmarkStart w:id="34" w:name="_Ref100588671"/>
      <w:r w:rsidRPr="00C72C6A">
        <w:t>THE DECISION OF THE DEPUTY COMMISSIONER</w:t>
      </w:r>
      <w:bookmarkEnd w:id="34"/>
    </w:p>
    <w:p w14:paraId="5C8AC1F7" w14:textId="6894A6B2" w:rsidR="00EF3BFA" w:rsidRDefault="00EF3BFA" w:rsidP="00C72C6A">
      <w:pPr>
        <w:pStyle w:val="ParaNumbering"/>
      </w:pPr>
      <w:r>
        <w:t>In his decision</w:t>
      </w:r>
      <w:r w:rsidR="00A20112">
        <w:t>,</w:t>
      </w:r>
      <w:r>
        <w:t xml:space="preserve"> the Deputy Commissioner </w:t>
      </w:r>
      <w:r w:rsidR="00A20112">
        <w:t xml:space="preserve">recited </w:t>
      </w:r>
      <w:r w:rsidR="002D29DF">
        <w:t xml:space="preserve">the history of the application whereby, </w:t>
      </w:r>
      <w:r>
        <w:t>after the application entered the national phase</w:t>
      </w:r>
      <w:r w:rsidR="0041425C">
        <w:t xml:space="preserve"> of processing</w:t>
      </w:r>
      <w:r w:rsidR="002D29DF">
        <w:t>,</w:t>
      </w:r>
      <w:r>
        <w:t xml:space="preserve"> a formalities check was undertaken</w:t>
      </w:r>
      <w:r w:rsidR="002D29DF" w:rsidRPr="002D29DF">
        <w:t xml:space="preserve"> </w:t>
      </w:r>
      <w:r w:rsidR="002D29DF">
        <w:t xml:space="preserve">as required by </w:t>
      </w:r>
      <w:proofErr w:type="spellStart"/>
      <w:r w:rsidR="002D29DF">
        <w:t>reg</w:t>
      </w:r>
      <w:proofErr w:type="spellEnd"/>
      <w:r w:rsidR="002D29DF">
        <w:t xml:space="preserve"> 3.2C</w:t>
      </w:r>
      <w:r w:rsidR="006C371A">
        <w:t>,</w:t>
      </w:r>
      <w:r>
        <w:t xml:space="preserve"> and a direction </w:t>
      </w:r>
      <w:r w:rsidR="00475430">
        <w:t xml:space="preserve">was </w:t>
      </w:r>
      <w:r w:rsidR="00FB5A72">
        <w:t xml:space="preserve">issued </w:t>
      </w:r>
      <w:r>
        <w:t xml:space="preserve">stating that it was </w:t>
      </w:r>
      <w:r w:rsidR="00475430">
        <w:t xml:space="preserve">the Commissioner’s </w:t>
      </w:r>
      <w:r>
        <w:t xml:space="preserve">understanding that an inventor must be a natural person. </w:t>
      </w:r>
      <w:r w:rsidR="00BC6E4F">
        <w:t xml:space="preserve">The Deputy Commissioner noted that </w:t>
      </w:r>
      <w:r>
        <w:t xml:space="preserve">Dr </w:t>
      </w:r>
      <w:proofErr w:type="spellStart"/>
      <w:r>
        <w:t>Thaler</w:t>
      </w:r>
      <w:proofErr w:type="spellEnd"/>
      <w:r>
        <w:t xml:space="preserve"> responded by submitting that DABUS should be listed as the inventor because, whilst he accepted that the </w:t>
      </w:r>
      <w:r w:rsidRPr="00877ECB">
        <w:rPr>
          <w:i/>
        </w:rPr>
        <w:t>Patents Act</w:t>
      </w:r>
      <w:r>
        <w:t xml:space="preserve"> requires a person to be granted a patent, in the present case he “derives title to the invention from the inventor” pursuant to </w:t>
      </w:r>
      <w:r w:rsidRPr="00276C7E">
        <w:t>s 15(1</w:t>
      </w:r>
      <w:proofErr w:type="gramStart"/>
      <w:r w:rsidRPr="00276C7E">
        <w:t>)(</w:t>
      </w:r>
      <w:proofErr w:type="gramEnd"/>
      <w:r w:rsidRPr="00276C7E">
        <w:t>c)</w:t>
      </w:r>
      <w:r>
        <w:t xml:space="preserve"> because he owns and created DABUS and is entitled to its output. </w:t>
      </w:r>
      <w:r w:rsidR="006C371A">
        <w:t xml:space="preserve">Dr </w:t>
      </w:r>
      <w:proofErr w:type="spellStart"/>
      <w:r w:rsidR="006C371A">
        <w:t>Thaler</w:t>
      </w:r>
      <w:proofErr w:type="spellEnd"/>
      <w:r w:rsidR="006C371A">
        <w:t xml:space="preserve"> developed this point with a submission that</w:t>
      </w:r>
      <w:r w:rsidR="00E50704">
        <w:t xml:space="preserve"> he</w:t>
      </w:r>
      <w:r w:rsidR="006C371A">
        <w:t xml:space="preserve"> repeated before the primary judge and in the present appeal:</w:t>
      </w:r>
    </w:p>
    <w:p w14:paraId="52401505" w14:textId="77777777" w:rsidR="006C371A" w:rsidRDefault="006C371A" w:rsidP="006C371A">
      <w:pPr>
        <w:pStyle w:val="Quote1"/>
      </w:pPr>
      <w:r>
        <w:t xml:space="preserve">The common law confers ownership of anything produced by DABUS to its owner, the applicant. There is a general rule that the owner of a thing is the owner of the fruits of that thing, much like the owner of a fruit tree is entitled to the fruit produced by that tree. The principle of accession or first possession can apply. </w:t>
      </w:r>
    </w:p>
    <w:p w14:paraId="7F73370E" w14:textId="1005381A" w:rsidR="00C72C6A" w:rsidRDefault="00032898" w:rsidP="00C72C6A">
      <w:pPr>
        <w:pStyle w:val="ParaNumbering"/>
      </w:pPr>
      <w:r>
        <w:t xml:space="preserve">The </w:t>
      </w:r>
      <w:r w:rsidR="00C72C6A" w:rsidRPr="00C72C6A">
        <w:t xml:space="preserve">Deputy Commissioner </w:t>
      </w:r>
      <w:r w:rsidR="00961813">
        <w:t xml:space="preserve">identified the relevant issue as being whether an artificial intelligence machine is capable of being an inventor for the purposes of the </w:t>
      </w:r>
      <w:r w:rsidR="00961813" w:rsidRPr="000606D6">
        <w:rPr>
          <w:i/>
        </w:rPr>
        <w:t>Patents Act</w:t>
      </w:r>
      <w:r w:rsidR="00961813">
        <w:t xml:space="preserve"> and </w:t>
      </w:r>
      <w:r w:rsidR="00961813" w:rsidRPr="000606D6">
        <w:rPr>
          <w:i/>
        </w:rPr>
        <w:t>Regulations</w:t>
      </w:r>
      <w:r w:rsidR="00961813">
        <w:t xml:space="preserve">. After </w:t>
      </w:r>
      <w:r w:rsidR="00271739">
        <w:t>referring to</w:t>
      </w:r>
      <w:r w:rsidR="00961813">
        <w:t xml:space="preserve"> several </w:t>
      </w:r>
      <w:r w:rsidR="004F49CB">
        <w:t>provisions</w:t>
      </w:r>
      <w:r w:rsidR="00961813">
        <w:t xml:space="preserve"> of the </w:t>
      </w:r>
      <w:r w:rsidR="00271739">
        <w:rPr>
          <w:i/>
        </w:rPr>
        <w:t xml:space="preserve">Patents Act </w:t>
      </w:r>
      <w:r w:rsidR="004F49CB">
        <w:t xml:space="preserve">and </w:t>
      </w:r>
      <w:r w:rsidR="004F49CB">
        <w:rPr>
          <w:i/>
        </w:rPr>
        <w:t>Regulations</w:t>
      </w:r>
      <w:r w:rsidR="00D02EC9">
        <w:t xml:space="preserve"> and passages of case law </w:t>
      </w:r>
      <w:r w:rsidR="00493E20">
        <w:t xml:space="preserve">said </w:t>
      </w:r>
      <w:r w:rsidR="00D02EC9">
        <w:t>to aid in their interpretation</w:t>
      </w:r>
      <w:r w:rsidR="004F49CB">
        <w:t xml:space="preserve">, </w:t>
      </w:r>
      <w:r w:rsidR="00D02EC9">
        <w:t xml:space="preserve">the Deputy Commissioner </w:t>
      </w:r>
      <w:r w:rsidR="00F45B8E">
        <w:t xml:space="preserve">determined </w:t>
      </w:r>
      <w:r w:rsidR="00F6105C">
        <w:t>that the requirement that the patent applica</w:t>
      </w:r>
      <w:r w:rsidR="00831DB5">
        <w:t>n</w:t>
      </w:r>
      <w:r w:rsidR="00F6105C">
        <w:t xml:space="preserve">t name “the inventor of the invention” in </w:t>
      </w:r>
      <w:proofErr w:type="spellStart"/>
      <w:r w:rsidR="00F6105C">
        <w:t>reg</w:t>
      </w:r>
      <w:proofErr w:type="spellEnd"/>
      <w:r w:rsidR="00F6105C">
        <w:t xml:space="preserve"> 3.2C(2)(aa) is to be understood in the context of s 15.</w:t>
      </w:r>
      <w:r w:rsidR="00747C90" w:rsidDel="00747C90">
        <w:t xml:space="preserve"> </w:t>
      </w:r>
      <w:r w:rsidR="00F6105C">
        <w:t xml:space="preserve"> </w:t>
      </w:r>
    </w:p>
    <w:p w14:paraId="021416EA" w14:textId="43E4CCEC" w:rsidR="004D5E98" w:rsidRDefault="006C371A" w:rsidP="00C72C6A">
      <w:pPr>
        <w:pStyle w:val="ParaNumbering"/>
      </w:pPr>
      <w:r>
        <w:t xml:space="preserve">In </w:t>
      </w:r>
      <w:r w:rsidR="00F6105C">
        <w:t xml:space="preserve">deciding against Dr </w:t>
      </w:r>
      <w:proofErr w:type="spellStart"/>
      <w:r w:rsidR="00F6105C">
        <w:t>Thaler</w:t>
      </w:r>
      <w:proofErr w:type="spellEnd"/>
      <w:r>
        <w:t xml:space="preserve">, the Deputy Commissioner </w:t>
      </w:r>
      <w:r w:rsidR="00032898">
        <w:t xml:space="preserve">made </w:t>
      </w:r>
      <w:r w:rsidR="009A30F1">
        <w:t>three</w:t>
      </w:r>
      <w:r w:rsidR="00032898">
        <w:t xml:space="preserve"> main points. He </w:t>
      </w:r>
      <w:r w:rsidR="00032898" w:rsidRPr="00A456BE">
        <w:rPr>
          <w:b/>
        </w:rPr>
        <w:t>first</w:t>
      </w:r>
      <w:r w:rsidR="00032898">
        <w:t xml:space="preserve"> </w:t>
      </w:r>
      <w:r>
        <w:t xml:space="preserve">noted that the </w:t>
      </w:r>
      <w:r w:rsidRPr="00877ECB">
        <w:rPr>
          <w:i/>
        </w:rPr>
        <w:t>Patents Act</w:t>
      </w:r>
      <w:r>
        <w:t xml:space="preserve"> includes no definition of the word “inventor”. He considered that it is a word that should bear its ordinary English meaning and that any standard dictionary shows that the traditional meaning of “inventor” is “a person who invents”. </w:t>
      </w:r>
      <w:r w:rsidR="00152135">
        <w:t>He noted that n</w:t>
      </w:r>
      <w:r>
        <w:t xml:space="preserve">o evidence was adduced to indicate that in the present day an inventor can include a machine. </w:t>
      </w:r>
    </w:p>
    <w:p w14:paraId="57BFC82D" w14:textId="4D011D50" w:rsidR="006C371A" w:rsidRDefault="00E50704" w:rsidP="00C72C6A">
      <w:pPr>
        <w:pStyle w:val="ParaNumbering"/>
      </w:pPr>
      <w:r>
        <w:t>H</w:t>
      </w:r>
      <w:r w:rsidR="0079277B">
        <w:t xml:space="preserve">e </w:t>
      </w:r>
      <w:r w:rsidR="004D5E98">
        <w:rPr>
          <w:b/>
        </w:rPr>
        <w:t>secondly</w:t>
      </w:r>
      <w:r w:rsidR="00032898">
        <w:t xml:space="preserve"> </w:t>
      </w:r>
      <w:r w:rsidR="0079277B">
        <w:t xml:space="preserve">tested the proposition that “inventor” could include a machine by considering whether or not this would be consistent with the other provisions of the </w:t>
      </w:r>
      <w:r w:rsidR="0079277B" w:rsidRPr="00877ECB">
        <w:rPr>
          <w:i/>
        </w:rPr>
        <w:t>Patents Act</w:t>
      </w:r>
      <w:r w:rsidR="0079277B">
        <w:t xml:space="preserve"> having regard to the objects of the </w:t>
      </w:r>
      <w:r w:rsidR="0079277B" w:rsidRPr="00877ECB">
        <w:rPr>
          <w:i/>
        </w:rPr>
        <w:t>Patents Act</w:t>
      </w:r>
      <w:r w:rsidR="00181BB0">
        <w:t>, set out in</w:t>
      </w:r>
      <w:r w:rsidR="0079277B">
        <w:t xml:space="preserve"> s 2A </w:t>
      </w:r>
      <w:r w:rsidR="00181BB0">
        <w:t>(see [</w:t>
      </w:r>
      <w:r w:rsidR="00B275D0">
        <w:fldChar w:fldCharType="begin"/>
      </w:r>
      <w:r w:rsidR="00B275D0">
        <w:instrText xml:space="preserve"> REF _Ref98766974 \r \h </w:instrText>
      </w:r>
      <w:r w:rsidR="00B275D0">
        <w:fldChar w:fldCharType="separate"/>
      </w:r>
      <w:r w:rsidR="00952739">
        <w:t>10</w:t>
      </w:r>
      <w:r w:rsidR="00B275D0">
        <w:fldChar w:fldCharType="end"/>
      </w:r>
      <w:r w:rsidR="00181BB0">
        <w:t>] above)</w:t>
      </w:r>
      <w:r w:rsidR="00B275D0">
        <w:t>,</w:t>
      </w:r>
      <w:r w:rsidR="00181BB0">
        <w:t xml:space="preserve"> </w:t>
      </w:r>
      <w:r w:rsidR="0079277B">
        <w:t xml:space="preserve">and the terms of s 15. </w:t>
      </w:r>
    </w:p>
    <w:p w14:paraId="736F56E4" w14:textId="2F7E9DC3" w:rsidR="00A456BE" w:rsidRDefault="00F6105C" w:rsidP="00A456BE">
      <w:pPr>
        <w:pStyle w:val="ParaNumbering"/>
      </w:pPr>
      <w:r>
        <w:lastRenderedPageBreak/>
        <w:t xml:space="preserve">The Deputy Commissioner </w:t>
      </w:r>
      <w:r w:rsidR="00032898">
        <w:t xml:space="preserve">noted that s 15(1) provides that a patent for an invention may only be granted to a “person” who is </w:t>
      </w:r>
      <w:r w:rsidR="00F86AB0">
        <w:t xml:space="preserve">defined </w:t>
      </w:r>
      <w:r w:rsidR="00032898">
        <w:t xml:space="preserve">as </w:t>
      </w:r>
      <w:r w:rsidR="00F86AB0">
        <w:t xml:space="preserve">the </w:t>
      </w:r>
      <w:r w:rsidR="00032898">
        <w:t xml:space="preserve">“nominated person” in </w:t>
      </w:r>
      <w:proofErr w:type="spellStart"/>
      <w:r w:rsidR="00032898" w:rsidRPr="00276C7E">
        <w:t>reg</w:t>
      </w:r>
      <w:proofErr w:type="spellEnd"/>
      <w:r w:rsidR="00032898" w:rsidRPr="00276C7E">
        <w:t xml:space="preserve"> 3.1A</w:t>
      </w:r>
      <w:r w:rsidR="00032898">
        <w:t>.</w:t>
      </w:r>
      <w:r w:rsidR="00BF7CE2">
        <w:t xml:space="preserve"> He obs</w:t>
      </w:r>
      <w:r w:rsidR="00BF7CE2" w:rsidRPr="00745167">
        <w:t>erved that</w:t>
      </w:r>
      <w:r w:rsidR="00032898" w:rsidRPr="00745167">
        <w:t xml:space="preserve"> </w:t>
      </w:r>
      <w:r w:rsidR="00BF7CE2" w:rsidRPr="00745167">
        <w:t>s</w:t>
      </w:r>
      <w:r w:rsidR="00032898" w:rsidRPr="00540623">
        <w:t>uch a grantee includes a natural person</w:t>
      </w:r>
      <w:r w:rsidR="00032898" w:rsidRPr="007A58B7">
        <w:t xml:space="preserve"> </w:t>
      </w:r>
      <w:r w:rsidR="006709B5" w:rsidRPr="007A58B7">
        <w:t>and extends</w:t>
      </w:r>
      <w:r w:rsidR="00745167" w:rsidRPr="0036677F">
        <w:t xml:space="preserve">, </w:t>
      </w:r>
      <w:r w:rsidR="00032898" w:rsidRPr="0036677F">
        <w:t>by</w:t>
      </w:r>
      <w:r w:rsidR="00032898">
        <w:t xml:space="preserve"> virtue of the operation of </w:t>
      </w:r>
      <w:r w:rsidR="00032898" w:rsidRPr="00276C7E">
        <w:t xml:space="preserve">s 2C of the </w:t>
      </w:r>
      <w:r w:rsidR="00032898" w:rsidRPr="00276C7E">
        <w:rPr>
          <w:b/>
          <w:i/>
        </w:rPr>
        <w:t>Acts Interpretation Act</w:t>
      </w:r>
      <w:r w:rsidR="00032898" w:rsidRPr="00276C7E">
        <w:rPr>
          <w:i/>
        </w:rPr>
        <w:t xml:space="preserve"> 1901 </w:t>
      </w:r>
      <w:r w:rsidR="00032898" w:rsidRPr="00276C7E">
        <w:t>(</w:t>
      </w:r>
      <w:proofErr w:type="spellStart"/>
      <w:r w:rsidR="00032898" w:rsidRPr="00276C7E">
        <w:t>Cth</w:t>
      </w:r>
      <w:proofErr w:type="spellEnd"/>
      <w:r w:rsidR="00032898" w:rsidRPr="00276C7E">
        <w:t>)</w:t>
      </w:r>
      <w:r w:rsidR="00E7485F">
        <w:t>, to</w:t>
      </w:r>
      <w:r w:rsidR="00032898">
        <w:t xml:space="preserve"> include “a body politic or corporate as well as an individual”. However,</w:t>
      </w:r>
      <w:r w:rsidR="00F673F9">
        <w:t xml:space="preserve"> he observed that</w:t>
      </w:r>
      <w:r w:rsidR="00032898">
        <w:t xml:space="preserve"> the entitlement of the person to whom a patent </w:t>
      </w:r>
      <w:r w:rsidR="00945A0C">
        <w:t xml:space="preserve">has been </w:t>
      </w:r>
      <w:r w:rsidR="00032898">
        <w:t>granted (</w:t>
      </w:r>
      <w:r>
        <w:t xml:space="preserve">that is, </w:t>
      </w:r>
      <w:r w:rsidR="00032898">
        <w:t>the patentee) flows from the inventor and</w:t>
      </w:r>
      <w:r>
        <w:t>,</w:t>
      </w:r>
      <w:r w:rsidR="00032898">
        <w:t xml:space="preserve"> absent devolution, the inventor will become the patentee. The Deputy Commissioner considered that this implied that the inventor must also be a person</w:t>
      </w:r>
      <w:r w:rsidR="00F673F9">
        <w:t>.</w:t>
      </w:r>
      <w:r w:rsidR="00894CF7">
        <w:t xml:space="preserve"> </w:t>
      </w:r>
      <w:r w:rsidR="00E96A03">
        <w:t>In the alternative</w:t>
      </w:r>
      <w:r w:rsidR="00CD0E95">
        <w:t xml:space="preserve">, he posed the question of whether it was possible to identify a person who meets the requirements of s 15(1) if the inventor is taken to be an </w:t>
      </w:r>
      <w:r>
        <w:t>artificial intelligence</w:t>
      </w:r>
      <w:r w:rsidR="00CD0E95">
        <w:t xml:space="preserve"> machine</w:t>
      </w:r>
      <w:r>
        <w:t>.</w:t>
      </w:r>
      <w:r w:rsidR="00032898">
        <w:t xml:space="preserve">  </w:t>
      </w:r>
    </w:p>
    <w:p w14:paraId="116552EE" w14:textId="79E7B52D" w:rsidR="009A30F1" w:rsidRDefault="00A456BE" w:rsidP="00EA0F6A">
      <w:pPr>
        <w:pStyle w:val="ParaNumbering"/>
      </w:pPr>
      <w:r>
        <w:t xml:space="preserve">The Deputy Commissioner considered that in </w:t>
      </w:r>
      <w:r w:rsidR="00EA0F6A" w:rsidRPr="00276C7E">
        <w:rPr>
          <w:b/>
          <w:i/>
        </w:rPr>
        <w:t>JMVB Enterprises</w:t>
      </w:r>
      <w:r w:rsidR="00EA0F6A" w:rsidRPr="00276C7E">
        <w:rPr>
          <w:i/>
        </w:rPr>
        <w:t xml:space="preserve"> Pty Ltd v </w:t>
      </w:r>
      <w:proofErr w:type="spellStart"/>
      <w:r w:rsidR="00EA0F6A" w:rsidRPr="00276C7E">
        <w:rPr>
          <w:i/>
        </w:rPr>
        <w:t>Camoflag</w:t>
      </w:r>
      <w:proofErr w:type="spellEnd"/>
      <w:r w:rsidR="00EA0F6A" w:rsidRPr="00276C7E">
        <w:rPr>
          <w:i/>
        </w:rPr>
        <w:t xml:space="preserve"> Pty Ltd </w:t>
      </w:r>
      <w:r w:rsidR="00EA0F6A" w:rsidRPr="00276C7E">
        <w:t>[2006] FCAFC 141; 154 FCR 348</w:t>
      </w:r>
      <w:r w:rsidR="00540623">
        <w:t xml:space="preserve"> </w:t>
      </w:r>
      <w:r w:rsidRPr="00C72C6A">
        <w:t>at [69]</w:t>
      </w:r>
      <w:r w:rsidR="00580BFB">
        <w:t>-</w:t>
      </w:r>
      <w:r>
        <w:t>[</w:t>
      </w:r>
      <w:r w:rsidRPr="00C72C6A">
        <w:t>72]</w:t>
      </w:r>
      <w:r>
        <w:t xml:space="preserve"> the Full Court </w:t>
      </w:r>
      <w:r w:rsidR="00580BFB">
        <w:t xml:space="preserve">(Emmett, Stone and Bennett JJ) </w:t>
      </w:r>
      <w:r>
        <w:t xml:space="preserve">resolved that an inventor is </w:t>
      </w:r>
      <w:r w:rsidR="00C349B5">
        <w:t>“</w:t>
      </w:r>
      <w:r>
        <w:t>whoever devises the invention</w:t>
      </w:r>
      <w:r w:rsidR="00C349B5">
        <w:t>”</w:t>
      </w:r>
      <w:r>
        <w:t xml:space="preserve"> and that s 15(1) is so organised that the grant of a patent is limited</w:t>
      </w:r>
      <w:r w:rsidR="00240B39">
        <w:t>,</w:t>
      </w:r>
      <w:r>
        <w:t xml:space="preserve"> relevantly</w:t>
      </w:r>
      <w:r w:rsidR="00240B39">
        <w:t>,</w:t>
      </w:r>
      <w:r>
        <w:t xml:space="preserve"> to a person who is either the inventor or to a person who derives title to the invention from the inventor. </w:t>
      </w:r>
    </w:p>
    <w:p w14:paraId="772B2FBA" w14:textId="437BFB47" w:rsidR="00A456BE" w:rsidRDefault="009A30F1" w:rsidP="00A456BE">
      <w:pPr>
        <w:pStyle w:val="ParaNumbering"/>
      </w:pPr>
      <w:r>
        <w:t>The Deputy Commissioner</w:t>
      </w:r>
      <w:r w:rsidR="00F6105C">
        <w:t xml:space="preserve"> considered that s 15(1) is not workable if the inventor is an artificial intelligence machine. </w:t>
      </w:r>
      <w:r w:rsidR="00F774F7">
        <w:t xml:space="preserve">Starting with </w:t>
      </w:r>
      <w:r w:rsidR="00F6105C">
        <w:t>s 15(1)(b)</w:t>
      </w:r>
      <w:r w:rsidR="00F774F7">
        <w:t>, he observed that this provision</w:t>
      </w:r>
      <w:r w:rsidR="00F6105C">
        <w:t xml:space="preserve"> requires that the person to </w:t>
      </w:r>
      <w:r w:rsidR="00F95507">
        <w:t xml:space="preserve">whom </w:t>
      </w:r>
      <w:r w:rsidR="00F6105C">
        <w:t xml:space="preserve">the patent </w:t>
      </w:r>
      <w:r w:rsidR="00E804EE">
        <w:t xml:space="preserve">is to be granted </w:t>
      </w:r>
      <w:r w:rsidR="00FC2C0A">
        <w:t xml:space="preserve">must be </w:t>
      </w:r>
      <w:r w:rsidR="00F6105C">
        <w:t xml:space="preserve">entitled to have the patent </w:t>
      </w:r>
      <w:r w:rsidR="00F6105C" w:rsidRPr="00CE2478">
        <w:t>assigned</w:t>
      </w:r>
      <w:r w:rsidR="00F6105C">
        <w:t xml:space="preserve"> to them, and </w:t>
      </w:r>
      <w:r w:rsidR="008B7649">
        <w:t xml:space="preserve">that the act of assigning property is something not within the legal capacity of </w:t>
      </w:r>
      <w:r w:rsidR="00F6105C">
        <w:t xml:space="preserve">an artificial intelligence machine. </w:t>
      </w:r>
      <w:r w:rsidR="003C5D16">
        <w:t>Similarly</w:t>
      </w:r>
      <w:r>
        <w:t xml:space="preserve">, </w:t>
      </w:r>
      <w:r w:rsidR="003C5D16">
        <w:t xml:space="preserve">he noted that </w:t>
      </w:r>
      <w:r>
        <w:t>s 15(1</w:t>
      </w:r>
      <w:proofErr w:type="gramStart"/>
      <w:r>
        <w:t>)(</w:t>
      </w:r>
      <w:proofErr w:type="gramEnd"/>
      <w:r>
        <w:t xml:space="preserve">c) refers to persons who </w:t>
      </w:r>
      <w:r w:rsidRPr="00CE2478">
        <w:t>derive title</w:t>
      </w:r>
      <w:r>
        <w:t xml:space="preserve"> from the inventor. The Deputy Commissioner rejected the contention that</w:t>
      </w:r>
      <w:r w:rsidR="00A3454E">
        <w:t>,</w:t>
      </w:r>
      <w:r>
        <w:t xml:space="preserve"> by owning the machine, Dr </w:t>
      </w:r>
      <w:proofErr w:type="spellStart"/>
      <w:r>
        <w:t>Thaler</w:t>
      </w:r>
      <w:proofErr w:type="spellEnd"/>
      <w:r>
        <w:t xml:space="preserve"> could be regarded to be in an analogous position to the owner of a fruit tree, concluding that ownership of the fruit in the example given would automatically vest in the owner of the primary property</w:t>
      </w:r>
      <w:r w:rsidR="0033036A">
        <w:t xml:space="preserve"> by virtue of the ownership of the fruit tree</w:t>
      </w:r>
      <w:r w:rsidR="001E1E79">
        <w:t xml:space="preserve"> and not as a result of a transfer of that ownership from another person.</w:t>
      </w:r>
      <w:r>
        <w:t xml:space="preserve"> </w:t>
      </w:r>
      <w:r w:rsidR="0040482E">
        <w:t>Whilst</w:t>
      </w:r>
      <w:r w:rsidR="00E77EE1">
        <w:t xml:space="preserve"> accepting that this type of analysis might deal with the ownership of an invention created by an artificial intelligence machine,</w:t>
      </w:r>
      <w:r w:rsidR="0040482E">
        <w:t xml:space="preserve"> </w:t>
      </w:r>
      <w:r w:rsidR="00E77EE1">
        <w:t>h</w:t>
      </w:r>
      <w:r w:rsidR="001E1E79">
        <w:t xml:space="preserve">e concluded that </w:t>
      </w:r>
      <w:r>
        <w:t xml:space="preserve">it could not be said that the owner of </w:t>
      </w:r>
      <w:r w:rsidR="0040482E">
        <w:t>an artificial</w:t>
      </w:r>
      <w:r w:rsidR="003701E2">
        <w:t xml:space="preserve"> intelligence</w:t>
      </w:r>
      <w:r w:rsidR="0040482E">
        <w:t xml:space="preserve"> </w:t>
      </w:r>
      <w:r>
        <w:t>machine “derives title to the invention” in the sense required</w:t>
      </w:r>
      <w:r w:rsidR="0040482E">
        <w:t xml:space="preserve"> by s 15(1)(c)</w:t>
      </w:r>
      <w:r>
        <w:t xml:space="preserve">. He also rejected the proposition that an artificial intelligence </w:t>
      </w:r>
      <w:r w:rsidR="000D7039">
        <w:t xml:space="preserve">machine </w:t>
      </w:r>
      <w:r>
        <w:t>could have any beneficial interest in any property such that</w:t>
      </w:r>
      <w:r w:rsidR="00191F43">
        <w:t>, even i</w:t>
      </w:r>
      <w:r w:rsidR="00225E95">
        <w:t>f</w:t>
      </w:r>
      <w:r w:rsidR="00191F43">
        <w:t xml:space="preserve"> it were accepted that it</w:t>
      </w:r>
      <w:r>
        <w:t xml:space="preserve"> </w:t>
      </w:r>
      <w:r w:rsidR="00191F43">
        <w:t xml:space="preserve">could </w:t>
      </w:r>
      <w:r>
        <w:t>communicat</w:t>
      </w:r>
      <w:r w:rsidR="00191F43">
        <w:t>e</w:t>
      </w:r>
      <w:r>
        <w:t xml:space="preserve"> an invention to Dr </w:t>
      </w:r>
      <w:proofErr w:type="spellStart"/>
      <w:r>
        <w:t>Thaler</w:t>
      </w:r>
      <w:proofErr w:type="spellEnd"/>
      <w:r>
        <w:t xml:space="preserve"> </w:t>
      </w:r>
      <w:r w:rsidR="00786293">
        <w:t xml:space="preserve">for the purpose of applying for a patent, </w:t>
      </w:r>
      <w:r>
        <w:t>it could</w:t>
      </w:r>
      <w:r w:rsidR="00061664">
        <w:t xml:space="preserve"> not</w:t>
      </w:r>
      <w:r>
        <w:t xml:space="preserve"> be said that he could be regarded as holding an interest in the invention as the agent of DABUS and thereby derive</w:t>
      </w:r>
      <w:r w:rsidR="00D54E28">
        <w:t xml:space="preserve"> title</w:t>
      </w:r>
      <w:r w:rsidR="00AD226C">
        <w:t xml:space="preserve"> in the sense required by s 15(1</w:t>
      </w:r>
      <w:proofErr w:type="gramStart"/>
      <w:r w:rsidR="00AD226C">
        <w:t>)(</w:t>
      </w:r>
      <w:proofErr w:type="gramEnd"/>
      <w:r w:rsidR="00AD226C">
        <w:t>c)</w:t>
      </w:r>
      <w:r>
        <w:t xml:space="preserve"> </w:t>
      </w:r>
      <w:r w:rsidR="00D54E28">
        <w:t>in that way</w:t>
      </w:r>
      <w:r>
        <w:t xml:space="preserve">. </w:t>
      </w:r>
    </w:p>
    <w:p w14:paraId="4ED2E669" w14:textId="601CBC1B" w:rsidR="00A456BE" w:rsidRDefault="00A456BE" w:rsidP="00A456BE">
      <w:pPr>
        <w:pStyle w:val="ParaNumbering"/>
      </w:pPr>
      <w:r w:rsidRPr="00E50704">
        <w:rPr>
          <w:b/>
        </w:rPr>
        <w:lastRenderedPageBreak/>
        <w:t>Thirdly</w:t>
      </w:r>
      <w:r>
        <w:t xml:space="preserve">, the Deputy Commissioner considered </w:t>
      </w:r>
      <w:r w:rsidR="004D5E98">
        <w:t xml:space="preserve">that </w:t>
      </w:r>
      <w:r w:rsidR="009A30F1">
        <w:t xml:space="preserve">no other provisions in the </w:t>
      </w:r>
      <w:r w:rsidR="009A30F1" w:rsidRPr="00877ECB">
        <w:rPr>
          <w:i/>
        </w:rPr>
        <w:t>Patents Act</w:t>
      </w:r>
      <w:r w:rsidR="009A30F1">
        <w:t xml:space="preserve"> (referring specifically to </w:t>
      </w:r>
      <w:proofErr w:type="spellStart"/>
      <w:r w:rsidRPr="007207C6">
        <w:t>ss</w:t>
      </w:r>
      <w:proofErr w:type="spellEnd"/>
      <w:r w:rsidRPr="007207C6">
        <w:t xml:space="preserve"> 64(2), </w:t>
      </w:r>
      <w:proofErr w:type="gramStart"/>
      <w:r w:rsidRPr="007207C6">
        <w:t>101B(</w:t>
      </w:r>
      <w:proofErr w:type="gramEnd"/>
      <w:r w:rsidRPr="007207C6">
        <w:t>2), 101E(1)</w:t>
      </w:r>
      <w:r w:rsidR="009A30F1" w:rsidRPr="007207C6">
        <w:t xml:space="preserve">, 172(1), </w:t>
      </w:r>
      <w:r w:rsidR="00A706ED" w:rsidRPr="007207C6">
        <w:t xml:space="preserve">182(1), </w:t>
      </w:r>
      <w:r w:rsidR="009A30F1" w:rsidRPr="007207C6">
        <w:t>182(3) and 185</w:t>
      </w:r>
      <w:r w:rsidR="009A30F1">
        <w:t>)</w:t>
      </w:r>
      <w:r w:rsidR="00A706ED">
        <w:t xml:space="preserve"> or </w:t>
      </w:r>
      <w:r w:rsidR="00A706ED" w:rsidRPr="00877ECB">
        <w:rPr>
          <w:i/>
        </w:rPr>
        <w:t>Regulations</w:t>
      </w:r>
      <w:r w:rsidR="009A30F1">
        <w:t xml:space="preserve"> </w:t>
      </w:r>
      <w:r w:rsidR="00A706ED">
        <w:t xml:space="preserve">(referring specifically to </w:t>
      </w:r>
      <w:proofErr w:type="spellStart"/>
      <w:r w:rsidR="00A706ED">
        <w:t>reg</w:t>
      </w:r>
      <w:proofErr w:type="spellEnd"/>
      <w:r w:rsidR="00A706ED">
        <w:t xml:space="preserve"> 3.2C(2)(aa)</w:t>
      </w:r>
      <w:r w:rsidR="00607BE6">
        <w:t>)</w:t>
      </w:r>
      <w:r w:rsidR="00A706ED">
        <w:t xml:space="preserve"> </w:t>
      </w:r>
      <w:r w:rsidR="004F632A">
        <w:t xml:space="preserve">provided him any assistance in his deliberations. </w:t>
      </w:r>
    </w:p>
    <w:p w14:paraId="0BDE1D18" w14:textId="09FEDA3C" w:rsidR="00A456BE" w:rsidRDefault="004F632A" w:rsidP="00E50704">
      <w:pPr>
        <w:pStyle w:val="ParaNumbering"/>
      </w:pPr>
      <w:r>
        <w:t xml:space="preserve">The Deputy Commissioner concluded that s 15(1) is not capable of sensible operation in the situation where an inventor would be an artificial intelligence machine, as it is not possible to identify a person who could be granted a patent. He considered that it was not necessary to consider the operation of the objects stated in s 2A because the relevant provisions of the </w:t>
      </w:r>
      <w:r w:rsidRPr="00877ECB">
        <w:rPr>
          <w:i/>
        </w:rPr>
        <w:t>Patents Act</w:t>
      </w:r>
      <w:r>
        <w:t xml:space="preserve"> are not ambiguous. </w:t>
      </w:r>
    </w:p>
    <w:p w14:paraId="630ED81D" w14:textId="77777777" w:rsidR="00487937" w:rsidRPr="00487937" w:rsidRDefault="004F632A" w:rsidP="004F632A">
      <w:pPr>
        <w:pStyle w:val="Heading5"/>
      </w:pPr>
      <w:bookmarkStart w:id="35" w:name="_Ref100588672"/>
      <w:r>
        <w:t>THE DECISION OF THE PRIMARY JUDGE</w:t>
      </w:r>
      <w:bookmarkEnd w:id="35"/>
      <w:r>
        <w:t xml:space="preserve"> </w:t>
      </w:r>
    </w:p>
    <w:p w14:paraId="4B85CBCB" w14:textId="41E6D5C4" w:rsidR="00266C16" w:rsidRDefault="00266C16" w:rsidP="002C70C9">
      <w:pPr>
        <w:pStyle w:val="ParaNumbering"/>
      </w:pPr>
      <w:r>
        <w:t xml:space="preserve">The primary judge considered that the Deputy Commissioner fell into error for the following reasons (at </w:t>
      </w:r>
      <w:r w:rsidR="004E15F7">
        <w:t>J</w:t>
      </w:r>
      <w:r>
        <w:t>[10]):</w:t>
      </w:r>
    </w:p>
    <w:p w14:paraId="66E7FCDE" w14:textId="2ABC69F7" w:rsidR="00266C16" w:rsidRDefault="00266C16" w:rsidP="00266C16">
      <w:pPr>
        <w:pStyle w:val="Quote1"/>
      </w:pPr>
      <w:r w:rsidRPr="00266C16">
        <w:t>First, an inventor is an agent noun; an agent can be a person or thing that invents. Second, so to hold reflects the reality in terms of many otherwise patentable inventions where it cannot sensibly be said that a human is the inventor. Third, nothing in the Act dictates the contrary conclusion.</w:t>
      </w:r>
    </w:p>
    <w:p w14:paraId="6CDCAD7B" w14:textId="5AA5DFF7" w:rsidR="00266C16" w:rsidRDefault="00266C16" w:rsidP="00266C16">
      <w:pPr>
        <w:pStyle w:val="ParaNumbering"/>
      </w:pPr>
      <w:r>
        <w:t xml:space="preserve">The primary judge considered that the Commissioner’s position </w:t>
      </w:r>
      <w:r w:rsidR="00974227">
        <w:t xml:space="preserve">on review </w:t>
      </w:r>
      <w:r>
        <w:t xml:space="preserve">confused the question of ownership and control of a patentable invention with the question of who can be an inventor. Whilst he accepted that only a human or other legal person could be an owner, controller or patentee, </w:t>
      </w:r>
      <w:r w:rsidR="00974227">
        <w:t>he considered that it was a fallacy to argue from this</w:t>
      </w:r>
      <w:r w:rsidR="00301953">
        <w:t xml:space="preserve"> starting point</w:t>
      </w:r>
      <w:r w:rsidR="00974227">
        <w:t xml:space="preserve"> that an inventor can only be human. He considered that nothing in the </w:t>
      </w:r>
      <w:r w:rsidR="00974227" w:rsidRPr="00877ECB">
        <w:rPr>
          <w:i/>
        </w:rPr>
        <w:t>Patents Act</w:t>
      </w:r>
      <w:r w:rsidR="00974227">
        <w:t xml:space="preserve"> justified the result, which was that</w:t>
      </w:r>
      <w:r w:rsidR="00C349B5">
        <w:t>,</w:t>
      </w:r>
      <w:r w:rsidR="00974227">
        <w:t xml:space="preserve"> in the absence of a human inventor, an otherwise patentable invention would be precluded from the grant of a patent. This was, he considered, the antithesis of the object set out in s 2A of the </w:t>
      </w:r>
      <w:r w:rsidR="00974227" w:rsidRPr="00877ECB">
        <w:rPr>
          <w:i/>
        </w:rPr>
        <w:t>Patents Act</w:t>
      </w:r>
      <w:r w:rsidR="00974227">
        <w:t xml:space="preserve">. In so concluding, he considered that the Commissioner’s approach read limitations and qualifications into the statutory term “inventor” and resorted to outdated definitions of the word “inventor”, failing to grapple with the idea underlying the term and the evolving nature of patentable inventions and their creators. </w:t>
      </w:r>
    </w:p>
    <w:p w14:paraId="68F849E8" w14:textId="3B06267A" w:rsidR="00720A85" w:rsidRDefault="004F632A" w:rsidP="00266C16">
      <w:pPr>
        <w:pStyle w:val="ParaNumbering"/>
      </w:pPr>
      <w:r>
        <w:t xml:space="preserve">In </w:t>
      </w:r>
      <w:r w:rsidR="00BC187F">
        <w:t>the b</w:t>
      </w:r>
      <w:r>
        <w:t>ackground section of his reasons</w:t>
      </w:r>
      <w:r w:rsidR="00E37161">
        <w:t xml:space="preserve"> the</w:t>
      </w:r>
      <w:r>
        <w:t xml:space="preserve"> primary judge supplied</w:t>
      </w:r>
      <w:r w:rsidR="00E37161">
        <w:t xml:space="preserve"> several pages of information </w:t>
      </w:r>
      <w:r>
        <w:t>addressing what he characterised</w:t>
      </w:r>
      <w:r w:rsidR="00E37161">
        <w:t xml:space="preserve"> as background technical matters concerning artificial neural networks. It is not in dispute that none of this</w:t>
      </w:r>
      <w:r w:rsidR="0013137D">
        <w:t xml:space="preserve">, except for </w:t>
      </w:r>
      <w:proofErr w:type="gramStart"/>
      <w:r w:rsidR="007D0837">
        <w:t>J</w:t>
      </w:r>
      <w:r w:rsidR="0013137D">
        <w:t>[</w:t>
      </w:r>
      <w:proofErr w:type="gramEnd"/>
      <w:r w:rsidR="0013137D">
        <w:t>19],</w:t>
      </w:r>
      <w:r w:rsidR="00E37161">
        <w:t xml:space="preserve"> was in evidence. </w:t>
      </w:r>
      <w:r>
        <w:t>The primary judge then described</w:t>
      </w:r>
      <w:r w:rsidR="00E37161">
        <w:t xml:space="preserve"> DABUS, primarily (but not exclusively</w:t>
      </w:r>
      <w:r>
        <w:t>) by reference</w:t>
      </w:r>
      <w:r w:rsidR="00720A85">
        <w:t xml:space="preserve"> to</w:t>
      </w:r>
      <w:r>
        <w:t xml:space="preserve"> the</w:t>
      </w:r>
      <w:r w:rsidR="00720A85">
        <w:t xml:space="preserve"> agreed facts. He f</w:t>
      </w:r>
      <w:r>
        <w:t>ound t</w:t>
      </w:r>
      <w:r w:rsidR="00720A85">
        <w:t>hat DABUS “in one sense can be said to mimic aspects of h</w:t>
      </w:r>
      <w:r>
        <w:t>uman brain function” and accepted</w:t>
      </w:r>
      <w:r w:rsidR="00720A85">
        <w:t xml:space="preserve"> for the purposes of the proceedings Dr </w:t>
      </w:r>
      <w:proofErr w:type="spellStart"/>
      <w:r w:rsidR="00720A85">
        <w:t>Thaler’s</w:t>
      </w:r>
      <w:proofErr w:type="spellEnd"/>
      <w:r w:rsidR="00720A85">
        <w:t xml:space="preserve"> assertion that:</w:t>
      </w:r>
    </w:p>
    <w:p w14:paraId="18383DCC" w14:textId="77777777" w:rsidR="00720A85" w:rsidRDefault="00720A85" w:rsidP="00720A85">
      <w:pPr>
        <w:pStyle w:val="Quote1"/>
      </w:pPr>
      <w:r>
        <w:lastRenderedPageBreak/>
        <w:t>DABUS, and its underlying neural paradigm, represents a paradigm shift in machine learning since it is based upon the transient chaining topologies formed among associative memories, rather than activation patterns of individual neurons appearing within static architectures. From an engineering perspective, the use of network resonances to drive the formation of chaining topologies, spares programmers the ordeal of matching the output nodes of one [artificial neural network] with the input nodes of others, as in deep learning schemes. In effect, complex neural architectures autonomously wire themselves together using only scalar resonances.</w:t>
      </w:r>
    </w:p>
    <w:p w14:paraId="40A77FE5" w14:textId="77777777" w:rsidR="00720A85" w:rsidRDefault="00720A85" w:rsidP="00720A85">
      <w:pPr>
        <w:pStyle w:val="Quote1"/>
      </w:pPr>
      <w:r>
        <w:t>Reinforcement or weakening of such chains takes place when they appropriate special hot button nets containing memories of salient consequences. Therefore, instead of following error gradients, as in traditional artificial neural net training, conceptual chains are reinforced in proportion to the numbers and significances of advantages offered. Classification is not in terms of human defined categories, but via the consequence chains branching organically from any given concept, effectively providing functional definitions of it. Ideas form as islands of neural modules aggregate through simple learning rules, the semantic portions thereof, being human readable as pidgin language.</w:t>
      </w:r>
    </w:p>
    <w:p w14:paraId="1672A26E" w14:textId="00C197FB" w:rsidR="00D81020" w:rsidRDefault="00720A85" w:rsidP="00266C16">
      <w:pPr>
        <w:pStyle w:val="ParaNumbering"/>
      </w:pPr>
      <w:r>
        <w:t>This description was also not in evidence.</w:t>
      </w:r>
      <w:r w:rsidR="00D81020">
        <w:t xml:space="preserve"> </w:t>
      </w:r>
    </w:p>
    <w:p w14:paraId="74E24449" w14:textId="00916A49" w:rsidR="00E37161" w:rsidRDefault="00D81020" w:rsidP="00266C16">
      <w:pPr>
        <w:pStyle w:val="ParaNumbering"/>
      </w:pPr>
      <w:r>
        <w:t xml:space="preserve">The </w:t>
      </w:r>
      <w:r w:rsidR="00720A85">
        <w:t xml:space="preserve">primary judge concluded that an output of the process so described is the alleged invention the subject of the application. </w:t>
      </w:r>
      <w:r w:rsidR="00E37161">
        <w:t xml:space="preserve">  </w:t>
      </w:r>
    </w:p>
    <w:p w14:paraId="2762AB64" w14:textId="451F5806" w:rsidR="00720A85" w:rsidRDefault="00720A85" w:rsidP="00266C16">
      <w:pPr>
        <w:pStyle w:val="ParaNumbering"/>
      </w:pPr>
      <w:r>
        <w:t>The primary judge then described over several pages how artificial intelligence has been used in pharmaceutical research, drawing on further materials that we</w:t>
      </w:r>
      <w:r w:rsidR="004F632A">
        <w:t xml:space="preserve">re </w:t>
      </w:r>
      <w:r w:rsidR="009E561D">
        <w:t xml:space="preserve">also </w:t>
      </w:r>
      <w:r w:rsidR="004F632A">
        <w:t>not in evidence. He concluded</w:t>
      </w:r>
      <w:r>
        <w:t>:</w:t>
      </w:r>
    </w:p>
    <w:p w14:paraId="0F55F35F" w14:textId="77777777" w:rsidR="00720A85" w:rsidRDefault="00720A85" w:rsidP="00720A85">
      <w:pPr>
        <w:pStyle w:val="Quote1"/>
      </w:pPr>
      <w:r w:rsidRPr="00720A85">
        <w:t>Now I have just dealt with one field of scientific inquiry of interest to patent lawyers.  But the examples can be multiplied.  But what this all indicates is that no narrow view should be taken as to the concept of “inventor”.  And to do so would inhibit innovation not just in the field of computer science but all other scientific fields which may benefit from the output of an artificial intelligence system</w:t>
      </w:r>
      <w:r>
        <w:t>.</w:t>
      </w:r>
    </w:p>
    <w:p w14:paraId="6F664765" w14:textId="77777777" w:rsidR="00487937" w:rsidRDefault="00720A85" w:rsidP="002D29DF">
      <w:pPr>
        <w:pStyle w:val="ParaNumbering"/>
      </w:pPr>
      <w:r>
        <w:t>Th</w:t>
      </w:r>
      <w:r w:rsidR="00487937">
        <w:t xml:space="preserve">e primary judge </w:t>
      </w:r>
      <w:r w:rsidR="004F632A">
        <w:t xml:space="preserve">then </w:t>
      </w:r>
      <w:r w:rsidR="00487937">
        <w:t>set out relevant parts of</w:t>
      </w:r>
      <w:r w:rsidR="004F632A">
        <w:t xml:space="preserve"> the </w:t>
      </w:r>
      <w:r w:rsidR="004F632A" w:rsidRPr="00877ECB">
        <w:rPr>
          <w:i/>
        </w:rPr>
        <w:t>Patents Act</w:t>
      </w:r>
      <w:r w:rsidR="004F632A">
        <w:t xml:space="preserve"> and </w:t>
      </w:r>
      <w:r w:rsidR="004F632A" w:rsidRPr="00877ECB">
        <w:rPr>
          <w:i/>
        </w:rPr>
        <w:t>Regulations</w:t>
      </w:r>
      <w:r w:rsidR="00487937">
        <w:t xml:space="preserve"> and summarised the effect of the decision of the Deputy Commissioner. He then summarised the arguments of the parties. </w:t>
      </w:r>
      <w:r w:rsidR="005D01BD">
        <w:t xml:space="preserve"> </w:t>
      </w:r>
    </w:p>
    <w:p w14:paraId="41CDDD43" w14:textId="299F0050" w:rsidR="00DE6021" w:rsidRDefault="005D01BD" w:rsidP="00C87F03">
      <w:pPr>
        <w:pStyle w:val="ParaNumbering"/>
      </w:pPr>
      <w:r>
        <w:t xml:space="preserve">The primary judge began his </w:t>
      </w:r>
      <w:r w:rsidRPr="002D29DF">
        <w:rPr>
          <w:b/>
        </w:rPr>
        <w:t>analysis</w:t>
      </w:r>
      <w:r>
        <w:t xml:space="preserve"> of the dispute by making what he characterised as six general observations. The first was that no specific provision in the </w:t>
      </w:r>
      <w:r w:rsidRPr="00877ECB">
        <w:rPr>
          <w:i/>
        </w:rPr>
        <w:t>Patents Act</w:t>
      </w:r>
      <w:r>
        <w:t xml:space="preserve"> “expressly refutes” the proposition that an artificial intelligence system can be an inventor. The second was that</w:t>
      </w:r>
      <w:r w:rsidR="001E7DE1">
        <w:t>,</w:t>
      </w:r>
      <w:r>
        <w:t xml:space="preserve"> unlike copyright law, no specific aspect of patent law requires a human author. </w:t>
      </w:r>
      <w:r w:rsidR="00EA04AF">
        <w:t>The third was</w:t>
      </w:r>
      <w:r>
        <w:t xml:space="preserve"> that the word “inventor” is not a defined term and has its ordinary meaning. As an agent noun (like “computer</w:t>
      </w:r>
      <w:r w:rsidR="00102451">
        <w:t>”</w:t>
      </w:r>
      <w:r>
        <w:t xml:space="preserve">, “dishwasher” or </w:t>
      </w:r>
      <w:r w:rsidR="00EA04AF">
        <w:t>“</w:t>
      </w:r>
      <w:r>
        <w:t>lawnmower”</w:t>
      </w:r>
      <w:r w:rsidR="00EA04AF">
        <w:t>)</w:t>
      </w:r>
      <w:r>
        <w:t xml:space="preserve"> the agent can be a person or a thing. </w:t>
      </w:r>
      <w:r w:rsidR="00DE6021">
        <w:t>In this context the primary judge noted that</w:t>
      </w:r>
      <w:r w:rsidR="00720656">
        <w:t>,</w:t>
      </w:r>
      <w:r w:rsidR="00DE6021">
        <w:t xml:space="preserve"> whereas once the word “inventor”, like “computer”, might originall</w:t>
      </w:r>
      <w:r w:rsidR="00DE6021" w:rsidRPr="00C87F03">
        <w:t xml:space="preserve">y have been apt to describe persons when only humans could make </w:t>
      </w:r>
      <w:r w:rsidR="00DE6021" w:rsidRPr="00C87F03">
        <w:lastRenderedPageBreak/>
        <w:t>inventions</w:t>
      </w:r>
      <w:r w:rsidR="00EF003C">
        <w:t xml:space="preserve"> (or perform computations)</w:t>
      </w:r>
      <w:r w:rsidR="00DE6021" w:rsidRPr="00C87F03">
        <w:t xml:space="preserve">, now the term may be used to describe machines which can carry out the same function. </w:t>
      </w:r>
      <w:r w:rsidR="009F7D5D">
        <w:t>Fourthly</w:t>
      </w:r>
      <w:r w:rsidR="00DE6021">
        <w:t>, the primary judge considered that the concept of “inventor” should be seen as analogously flexible and evolutionary to the widening conception of the term “manner of manufacture” as conside</w:t>
      </w:r>
      <w:r w:rsidR="00EA04AF">
        <w:t>re</w:t>
      </w:r>
      <w:r w:rsidR="00DE6021">
        <w:t xml:space="preserve">d in </w:t>
      </w:r>
      <w:r w:rsidR="00DE6021" w:rsidRPr="00276C7E">
        <w:rPr>
          <w:b/>
          <w:i/>
        </w:rPr>
        <w:t>D’Arcy</w:t>
      </w:r>
      <w:r w:rsidR="00DE6021" w:rsidRPr="00276C7E">
        <w:rPr>
          <w:i/>
        </w:rPr>
        <w:t xml:space="preserve"> v Myriad Genetics </w:t>
      </w:r>
      <w:proofErr w:type="spellStart"/>
      <w:r w:rsidR="00DE6021" w:rsidRPr="00276C7E">
        <w:rPr>
          <w:i/>
        </w:rPr>
        <w:t>Inc</w:t>
      </w:r>
      <w:proofErr w:type="spellEnd"/>
      <w:r w:rsidR="00DE6021" w:rsidRPr="00276C7E">
        <w:rPr>
          <w:i/>
        </w:rPr>
        <w:t xml:space="preserve"> </w:t>
      </w:r>
      <w:r w:rsidR="007277C1" w:rsidRPr="00276C7E">
        <w:t>[</w:t>
      </w:r>
      <w:r w:rsidR="00DE6021" w:rsidRPr="00276C7E">
        <w:t>2015</w:t>
      </w:r>
      <w:r w:rsidR="007277C1" w:rsidRPr="00276C7E">
        <w:t>] HCA 35;</w:t>
      </w:r>
      <w:r w:rsidR="00DE6021" w:rsidRPr="00276C7E">
        <w:t xml:space="preserve"> 258 CLR 334</w:t>
      </w:r>
      <w:r w:rsidR="00DE6021" w:rsidRPr="00DE6021">
        <w:t xml:space="preserve"> at [18]</w:t>
      </w:r>
      <w:r w:rsidR="00251E5C">
        <w:t xml:space="preserve"> (French CJ, </w:t>
      </w:r>
      <w:proofErr w:type="spellStart"/>
      <w:r w:rsidR="00251E5C">
        <w:t>Kiefel</w:t>
      </w:r>
      <w:proofErr w:type="spellEnd"/>
      <w:r w:rsidR="00251E5C">
        <w:t>, Bell and Keane JJ)</w:t>
      </w:r>
      <w:r w:rsidR="00DE6021">
        <w:t xml:space="preserve">. Fifthly, he considered that the approach to the construction of the </w:t>
      </w:r>
      <w:r w:rsidR="00DE6021" w:rsidRPr="00877ECB">
        <w:rPr>
          <w:i/>
        </w:rPr>
        <w:t>Patents Act</w:t>
      </w:r>
      <w:r w:rsidR="00DE6021">
        <w:t xml:space="preserve"> should be consistent with the</w:t>
      </w:r>
      <w:r w:rsidR="006D1D71">
        <w:t xml:space="preserve"> s 2A</w:t>
      </w:r>
      <w:r w:rsidR="00DE6021">
        <w:t xml:space="preserve"> </w:t>
      </w:r>
      <w:r w:rsidR="00DE6021" w:rsidRPr="000442FA">
        <w:t>object clause</w:t>
      </w:r>
      <w:r w:rsidR="00DE6021">
        <w:t xml:space="preserve"> inserted </w:t>
      </w:r>
      <w:r w:rsidR="006D1D71">
        <w:t xml:space="preserve">recently </w:t>
      </w:r>
      <w:r w:rsidR="00DE6021">
        <w:t xml:space="preserve">into the </w:t>
      </w:r>
      <w:r w:rsidR="00DE6021" w:rsidRPr="00877ECB">
        <w:rPr>
          <w:i/>
        </w:rPr>
        <w:t>Patents Act</w:t>
      </w:r>
      <w:r w:rsidR="00DE6021">
        <w:t xml:space="preserve"> and that the Deputy Commissioner erred in expressing the view that he should have regard to it only where there </w:t>
      </w:r>
      <w:r w:rsidR="009F25ED">
        <w:t xml:space="preserve">was </w:t>
      </w:r>
      <w:r w:rsidR="00DE6021">
        <w:t xml:space="preserve">ambiguity. The primary judge said at </w:t>
      </w:r>
      <w:r w:rsidR="00827DC7">
        <w:t>J</w:t>
      </w:r>
      <w:r w:rsidR="00DE6021">
        <w:t>[124]:</w:t>
      </w:r>
    </w:p>
    <w:p w14:paraId="11AE18A7" w14:textId="77777777" w:rsidR="00DE6021" w:rsidRDefault="00DE6021" w:rsidP="00DE6021">
      <w:pPr>
        <w:pStyle w:val="Quote1"/>
      </w:pPr>
      <w:r w:rsidRPr="00DE6021">
        <w:t>In my view it is consistent with the object of the Act to construe the term “inventor” in a manner that promotes technological innovation and the publication and dissemination of such innovation by rewarding it, irrespective of whether the innovation is made by a human or not.</w:t>
      </w:r>
    </w:p>
    <w:p w14:paraId="5EF472D1" w14:textId="3107BBA1" w:rsidR="00520E8B" w:rsidRDefault="002D3C4E" w:rsidP="00C87F03">
      <w:pPr>
        <w:pStyle w:val="ParaNumbering"/>
      </w:pPr>
      <w:r>
        <w:t>He considered that</w:t>
      </w:r>
      <w:r w:rsidR="00C349B5">
        <w:t>,</w:t>
      </w:r>
      <w:r>
        <w:t xml:space="preserve"> consistently with s 2A, </w:t>
      </w:r>
      <w:r w:rsidR="009E561D">
        <w:t xml:space="preserve">recognition of </w:t>
      </w:r>
      <w:r>
        <w:t xml:space="preserve">computer </w:t>
      </w:r>
      <w:proofErr w:type="spellStart"/>
      <w:r>
        <w:t>inventorship</w:t>
      </w:r>
      <w:proofErr w:type="spellEnd"/>
      <w:r>
        <w:t xml:space="preserve"> would “incentivise the development by computer scientists of creative machines and also the development by others of the facilitation and use of the output of such machines, leading to new scientific advantages”. In so doing, his Honour considered that one is simply </w:t>
      </w:r>
      <w:r w:rsidRPr="005D7D4E">
        <w:t xml:space="preserve">recognising the </w:t>
      </w:r>
      <w:r w:rsidR="00A14DD2" w:rsidRPr="005D7D4E">
        <w:t>“</w:t>
      </w:r>
      <w:r w:rsidRPr="005D7D4E">
        <w:t>reality</w:t>
      </w:r>
      <w:r w:rsidR="00A14DD2" w:rsidRPr="005D7D4E">
        <w:t>”</w:t>
      </w:r>
      <w:r>
        <w:t xml:space="preserve"> that machines have been autonomously or semi-autonomously generating patentable results “for some time now”. </w:t>
      </w:r>
    </w:p>
    <w:p w14:paraId="3C159F65" w14:textId="41357625" w:rsidR="002120E8" w:rsidRDefault="00520E8B" w:rsidP="00266C16">
      <w:pPr>
        <w:pStyle w:val="ParaNumbering"/>
      </w:pPr>
      <w:r>
        <w:t>The primary judge then posited</w:t>
      </w:r>
      <w:r w:rsidR="00C349B5">
        <w:t>,</w:t>
      </w:r>
      <w:r>
        <w:t xml:space="preserve"> </w:t>
      </w:r>
      <w:r w:rsidR="009F7D5D">
        <w:t>as a question of policy</w:t>
      </w:r>
      <w:r w:rsidR="00C349B5">
        <w:t>,</w:t>
      </w:r>
      <w:r w:rsidR="009F7D5D">
        <w:t xml:space="preserve"> </w:t>
      </w:r>
      <w:r>
        <w:t>that if the output of an artificial intelligence system is said to be an invention, who other than th</w:t>
      </w:r>
      <w:r w:rsidR="00EA04AF">
        <w:t>e system should be the inventor?</w:t>
      </w:r>
      <w:r>
        <w:t xml:space="preserve"> </w:t>
      </w:r>
      <w:r w:rsidR="00DC2AE7">
        <w:t>Having raised this issue</w:t>
      </w:r>
      <w:r w:rsidR="005B268D">
        <w:t>,</w:t>
      </w:r>
      <w:r>
        <w:t xml:space="preserve"> his Honour provided his opinion </w:t>
      </w:r>
      <w:r w:rsidR="002120E8">
        <w:t xml:space="preserve">(at J[131]) </w:t>
      </w:r>
      <w:r>
        <w:t>that</w:t>
      </w:r>
      <w:r w:rsidR="002120E8">
        <w:t>:</w:t>
      </w:r>
      <w:r>
        <w:t xml:space="preserve"> </w:t>
      </w:r>
    </w:p>
    <w:p w14:paraId="270E5536" w14:textId="0D2740B2" w:rsidR="002120E8" w:rsidRDefault="002120E8" w:rsidP="00877ECB">
      <w:pPr>
        <w:pStyle w:val="Quote1"/>
      </w:pPr>
      <w:proofErr w:type="gramStart"/>
      <w:r>
        <w:t>…</w:t>
      </w:r>
      <w:r w:rsidR="005B268D">
        <w:t>[</w:t>
      </w:r>
      <w:proofErr w:type="spellStart"/>
      <w:proofErr w:type="gramEnd"/>
      <w:r w:rsidR="005B268D">
        <w:t>i</w:t>
      </w:r>
      <w:proofErr w:type="spellEnd"/>
      <w:r w:rsidR="005B268D">
        <w:t xml:space="preserve">]n some cases, </w:t>
      </w:r>
      <w:r w:rsidR="00520E8B" w:rsidRPr="00C87F03">
        <w:t>the better analysis, which is consistent with the s 2A object, is to say that the system is the inventor. That would reflect the reality. And you would otherwise avoid uncertainty</w:t>
      </w:r>
      <w:r>
        <w:t>…</w:t>
      </w:r>
      <w:r w:rsidR="00520E8B">
        <w:t xml:space="preserve">  </w:t>
      </w:r>
    </w:p>
    <w:p w14:paraId="62E5A5F3" w14:textId="2E3DC7C2" w:rsidR="00A14DD2" w:rsidRDefault="00DC2AE7" w:rsidP="00266C16">
      <w:pPr>
        <w:pStyle w:val="ParaNumbering"/>
      </w:pPr>
      <w:r>
        <w:t xml:space="preserve">The primary judge </w:t>
      </w:r>
      <w:r w:rsidR="00EA04AF">
        <w:t>considered that</w:t>
      </w:r>
      <w:r>
        <w:t xml:space="preserve"> if only an artificial intelligence system could be said to have created the output, but only human inventors are permitted, there may not be an inventor</w:t>
      </w:r>
      <w:r w:rsidR="00EA04AF">
        <w:t xml:space="preserve"> at all</w:t>
      </w:r>
      <w:r>
        <w:t>, and one may not be able to patent the i</w:t>
      </w:r>
      <w:r w:rsidR="00EA04AF">
        <w:t>nvention. The primary judge said</w:t>
      </w:r>
      <w:r>
        <w:t xml:space="preserve"> at </w:t>
      </w:r>
      <w:r w:rsidR="00256E0E">
        <w:t>J</w:t>
      </w:r>
      <w:r>
        <w:t>[132]:</w:t>
      </w:r>
    </w:p>
    <w:p w14:paraId="1F1C35F1" w14:textId="7AFE9886" w:rsidR="00DC2AE7" w:rsidRDefault="00256E0E" w:rsidP="00DC2AE7">
      <w:pPr>
        <w:pStyle w:val="Quote1"/>
      </w:pPr>
      <w:r>
        <w:t>…</w:t>
      </w:r>
      <w:r w:rsidR="00DC2AE7" w:rsidRPr="00DC2AE7">
        <w:t xml:space="preserve">Generally, it is </w:t>
      </w:r>
      <w:r w:rsidR="00DC2AE7" w:rsidRPr="00C87F03">
        <w:t>quite undesirable to preclude a class of otherwise patentable inventions from patentability on the</w:t>
      </w:r>
      <w:r w:rsidR="00DC2AE7" w:rsidRPr="00DC2AE7">
        <w:t xml:space="preserve"> basis of an exclusion that is not apparent from the express words of the Act.  Indeed, that would be the antithesis of promoting innovation.</w:t>
      </w:r>
    </w:p>
    <w:p w14:paraId="184E3027" w14:textId="38FDA1D7" w:rsidR="00DC2AE7" w:rsidRDefault="00DC2AE7" w:rsidP="00266C16">
      <w:pPr>
        <w:pStyle w:val="ParaNumbering"/>
      </w:pPr>
      <w:r>
        <w:t xml:space="preserve">The primary judge </w:t>
      </w:r>
      <w:r w:rsidR="000F1CD6">
        <w:t xml:space="preserve">considered the </w:t>
      </w:r>
      <w:r>
        <w:t xml:space="preserve">argument that if one permitted computer-generated patent applications that the </w:t>
      </w:r>
      <w:r w:rsidR="000F1CD6">
        <w:t xml:space="preserve">patent </w:t>
      </w:r>
      <w:r>
        <w:t>system would reach a breaking point</w:t>
      </w:r>
      <w:r w:rsidR="00256E0E">
        <w:t xml:space="preserve"> due to the likely increase in volume</w:t>
      </w:r>
      <w:r>
        <w:t xml:space="preserve"> </w:t>
      </w:r>
      <w:r w:rsidR="00256E0E">
        <w:t xml:space="preserve">of </w:t>
      </w:r>
      <w:r>
        <w:t>applications</w:t>
      </w:r>
      <w:r w:rsidR="000F1CD6">
        <w:t>.</w:t>
      </w:r>
      <w:r>
        <w:t xml:space="preserve"> </w:t>
      </w:r>
      <w:r w:rsidR="000F1CD6">
        <w:t xml:space="preserve">His Honour rejected that argument, </w:t>
      </w:r>
      <w:r>
        <w:t xml:space="preserve">noting that one requires a legal </w:t>
      </w:r>
      <w:r>
        <w:lastRenderedPageBreak/>
        <w:t>person to make a patent application, and so a person will have ultimate control over any computer generated application. The primary judge concluded</w:t>
      </w:r>
      <w:r w:rsidR="00C5039E">
        <w:t xml:space="preserve"> on this point</w:t>
      </w:r>
      <w:r w:rsidR="005D7D4E">
        <w:t xml:space="preserve"> at J[134]</w:t>
      </w:r>
      <w:r>
        <w:t>:</w:t>
      </w:r>
    </w:p>
    <w:p w14:paraId="0A99F43B" w14:textId="5B0658DA" w:rsidR="00DC2AE7" w:rsidRPr="00DE6021" w:rsidRDefault="00DC2AE7" w:rsidP="005D7D4E">
      <w:pPr>
        <w:pStyle w:val="Quote1"/>
      </w:pPr>
      <w:r w:rsidRPr="00C87F03">
        <w:t xml:space="preserve">Generally, the outcome of the Commissioner’s position is incompatible with s 2A.  The Commissioner accepts that Dr </w:t>
      </w:r>
      <w:proofErr w:type="spellStart"/>
      <w:r w:rsidRPr="00C87F03">
        <w:t>Thaler</w:t>
      </w:r>
      <w:proofErr w:type="spellEnd"/>
      <w:r w:rsidRPr="00C87F03">
        <w:t xml:space="preserve"> is not the inventor, and indeed in </w:t>
      </w:r>
      <w:r w:rsidRPr="00DC2AE7">
        <w:t xml:space="preserve">analogous circumstances concerning the output of an artificial intelligence system would seem to suggest that the person owning or controlling the machine would not be the inventor.  But the product or method that is described or detailed in such an output could involve an inventive step as that concept is used in the Act.  But on the Commissioner’s logic there would be no inventor.  Accordingly, it would follow on the Commissioner’s reasoning that you could not make a PCT application for the invention, as you would not satisfy </w:t>
      </w:r>
      <w:proofErr w:type="spellStart"/>
      <w:r w:rsidRPr="00DC2AE7">
        <w:t>reg</w:t>
      </w:r>
      <w:proofErr w:type="spellEnd"/>
      <w:r w:rsidRPr="00DC2AE7">
        <w:t xml:space="preserve"> </w:t>
      </w:r>
      <w:proofErr w:type="gramStart"/>
      <w:r w:rsidRPr="00DC2AE7">
        <w:t>3.2C(</w:t>
      </w:r>
      <w:proofErr w:type="gramEnd"/>
      <w:r w:rsidRPr="00DC2AE7">
        <w:t>2)(aa).  This would be a strange result, and at odds with the object in s 2A</w:t>
      </w:r>
      <w:r w:rsidR="009E561D">
        <w:t>…</w:t>
      </w:r>
      <w:r w:rsidRPr="00DC2AE7">
        <w:t xml:space="preserve">  </w:t>
      </w:r>
    </w:p>
    <w:p w14:paraId="4F3B276A" w14:textId="58570B1F" w:rsidR="00E37161" w:rsidRDefault="00AB61B8" w:rsidP="00C5039E">
      <w:pPr>
        <w:pStyle w:val="ParaNumbering"/>
      </w:pPr>
      <w:r>
        <w:t>Sixthly, t</w:t>
      </w:r>
      <w:r w:rsidR="00C5039E">
        <w:t xml:space="preserve">he primary judge next turned to consider the test for inventive step under </w:t>
      </w:r>
      <w:proofErr w:type="spellStart"/>
      <w:r w:rsidR="00C5039E">
        <w:t>ss</w:t>
      </w:r>
      <w:proofErr w:type="spellEnd"/>
      <w:r w:rsidR="00C349B5">
        <w:t> </w:t>
      </w:r>
      <w:r w:rsidR="00C5039E">
        <w:t>18(1</w:t>
      </w:r>
      <w:proofErr w:type="gramStart"/>
      <w:r w:rsidR="00C5039E">
        <w:t>)(</w:t>
      </w:r>
      <w:proofErr w:type="gramEnd"/>
      <w:r w:rsidR="00C5039E">
        <w:t xml:space="preserve">b)(ii) and 7 of the </w:t>
      </w:r>
      <w:r w:rsidR="00C5039E" w:rsidRPr="00877ECB">
        <w:rPr>
          <w:i/>
        </w:rPr>
        <w:t>Patents Act</w:t>
      </w:r>
      <w:r w:rsidR="00A6766E">
        <w:t xml:space="preserve">. </w:t>
      </w:r>
      <w:r w:rsidR="001252F9">
        <w:t xml:space="preserve">His Honour </w:t>
      </w:r>
      <w:r w:rsidR="00A6766E">
        <w:t>concluded</w:t>
      </w:r>
      <w:r w:rsidR="00C5039E">
        <w:t xml:space="preserve"> that the </w:t>
      </w:r>
      <w:r w:rsidR="00C5039E" w:rsidRPr="00877ECB">
        <w:rPr>
          <w:i/>
        </w:rPr>
        <w:t>Patents Act</w:t>
      </w:r>
      <w:r w:rsidR="00C5039E">
        <w:t xml:space="preserve"> focusses on inventive step as a hypothetical and objective construct which is not at all concerned with the inventor’s mental processes and that whether the inventive step is produced by a human or a machine is irrelevant to the inquiry in s 7(2). </w:t>
      </w:r>
    </w:p>
    <w:p w14:paraId="2B63FF40" w14:textId="4BCD1B99" w:rsidR="00A6766E" w:rsidRDefault="00A6766E" w:rsidP="005C3A0E">
      <w:pPr>
        <w:pStyle w:val="ParaNumbering"/>
      </w:pPr>
      <w:r>
        <w:t>The primary judge</w:t>
      </w:r>
      <w:r w:rsidR="009E561D">
        <w:t xml:space="preserve"> next considered </w:t>
      </w:r>
      <w:r>
        <w:t>the construction of s 15.</w:t>
      </w:r>
      <w:r w:rsidR="009E561D">
        <w:t xml:space="preserve"> </w:t>
      </w:r>
      <w:r w:rsidR="00C87F03">
        <w:t>He rejected the conclusion reached by the Deputy Commissioner that entitlement to the grant of a patent flows from the inventor under s 15(1), and that</w:t>
      </w:r>
      <w:r w:rsidR="000959E6">
        <w:t>,</w:t>
      </w:r>
      <w:r w:rsidR="00C87F03">
        <w:t xml:space="preserve"> absent devolution, the inventor will become the patentee</w:t>
      </w:r>
      <w:r w:rsidR="000C7820">
        <w:t>.</w:t>
      </w:r>
      <w:r w:rsidR="00C87F03">
        <w:t xml:space="preserve"> </w:t>
      </w:r>
      <w:r w:rsidR="000C7820">
        <w:t xml:space="preserve">His Honour </w:t>
      </w:r>
      <w:r w:rsidR="00C87F03">
        <w:t>preferr</w:t>
      </w:r>
      <w:r w:rsidR="000C7820">
        <w:t>ed</w:t>
      </w:r>
      <w:r w:rsidR="00C87F03">
        <w:t xml:space="preserve"> the view that s 15(1) contemplates four separate classes of person who may be granted a patent. </w:t>
      </w:r>
    </w:p>
    <w:p w14:paraId="364409C0" w14:textId="448D6E27" w:rsidR="00202AAA" w:rsidRDefault="00C87F03" w:rsidP="00C5039E">
      <w:pPr>
        <w:pStyle w:val="ParaNumbering"/>
      </w:pPr>
      <w:r>
        <w:t>Turning to s 15(1)(a), h</w:t>
      </w:r>
      <w:r w:rsidR="00202AAA">
        <w:t xml:space="preserve">e </w:t>
      </w:r>
      <w:r>
        <w:t xml:space="preserve">accepted </w:t>
      </w:r>
      <w:r w:rsidR="00202AAA">
        <w:t xml:space="preserve">that </w:t>
      </w:r>
      <w:r w:rsidR="00202AAA" w:rsidRPr="00276C7E">
        <w:t>s 15(1)(a)</w:t>
      </w:r>
      <w:r w:rsidR="00202AAA">
        <w:t xml:space="preserve"> provides that a patent may be granted to a person who is the inventor and that DABUS is excluded from eligibility for grant on this </w:t>
      </w:r>
      <w:r w:rsidR="00694CBD">
        <w:t xml:space="preserve">basis, </w:t>
      </w:r>
      <w:r w:rsidR="00202AAA">
        <w:t xml:space="preserve">because it is not a person. </w:t>
      </w:r>
    </w:p>
    <w:p w14:paraId="6B36D9DF" w14:textId="6F518329" w:rsidR="00673E61" w:rsidRDefault="00C87F03" w:rsidP="00694CBD">
      <w:pPr>
        <w:pStyle w:val="ParaNumbering"/>
      </w:pPr>
      <w:r>
        <w:t xml:space="preserve">However, he considered that </w:t>
      </w:r>
      <w:r w:rsidR="00A20AE2" w:rsidRPr="00276C7E">
        <w:t xml:space="preserve">s </w:t>
      </w:r>
      <w:r w:rsidR="00202AAA" w:rsidRPr="00276C7E">
        <w:t>15(1</w:t>
      </w:r>
      <w:proofErr w:type="gramStart"/>
      <w:r w:rsidR="00202AAA" w:rsidRPr="00276C7E">
        <w:t>)(</w:t>
      </w:r>
      <w:proofErr w:type="gramEnd"/>
      <w:r w:rsidR="00202AAA" w:rsidRPr="00276C7E">
        <w:t>b</w:t>
      </w:r>
      <w:r w:rsidRPr="00276C7E">
        <w:t xml:space="preserve">) </w:t>
      </w:r>
      <w:r w:rsidR="00862573">
        <w:t xml:space="preserve">does not require the existence of an inventor at all, but rather that the applicant is entitled to have the patent assigned to him in the event that there is a grant. He </w:t>
      </w:r>
      <w:r w:rsidR="004D5E98">
        <w:t>considered</w:t>
      </w:r>
      <w:r w:rsidR="00862573">
        <w:t xml:space="preserve"> that one such circumstance may be where the inventor is an employee. </w:t>
      </w:r>
      <w:r w:rsidR="00963148">
        <w:t xml:space="preserve">He considered </w:t>
      </w:r>
      <w:r w:rsidR="001A22C7">
        <w:t xml:space="preserve">that </w:t>
      </w:r>
      <w:r w:rsidR="00963148">
        <w:t>a</w:t>
      </w:r>
      <w:r w:rsidR="00862573">
        <w:t xml:space="preserve">nother is where a third party </w:t>
      </w:r>
      <w:r w:rsidR="00862573" w:rsidRPr="00C87F03">
        <w:t xml:space="preserve">misappropriates an invention, </w:t>
      </w:r>
      <w:r w:rsidR="00862573">
        <w:t>in which case the inventor’s employer could bring an action seeking an equitable assignment from the third party</w:t>
      </w:r>
      <w:r w:rsidR="00E34D7D">
        <w:t xml:space="preserve"> and posited,</w:t>
      </w:r>
      <w:r w:rsidR="00862573">
        <w:t xml:space="preserve"> </w:t>
      </w:r>
      <w:r w:rsidR="00E34D7D">
        <w:t>i</w:t>
      </w:r>
      <w:r w:rsidR="00862573">
        <w:t xml:space="preserve">n that circumstance, </w:t>
      </w:r>
      <w:r w:rsidR="00C349B5">
        <w:t xml:space="preserve">that </w:t>
      </w:r>
      <w:r w:rsidR="006D58FE">
        <w:t>t</w:t>
      </w:r>
      <w:r w:rsidR="00862573">
        <w:t>he inventor would not be a party to the assignment. The primary judge considered that</w:t>
      </w:r>
      <w:r w:rsidR="00A25FCF">
        <w:t>,</w:t>
      </w:r>
      <w:r w:rsidR="00862573">
        <w:t xml:space="preserve"> on its face, s 15(1)(b) could also apply where an invention made by an artificial intelligence system, rather than by a human inventor, was the subject of a contract or had been misappropriated, giving rise in either case to a legal or equitable right of assignment. In this regard the primary judge noted that s 113 </w:t>
      </w:r>
      <w:r w:rsidR="00C349B5">
        <w:t xml:space="preserve">(person claiming under an </w:t>
      </w:r>
      <w:r w:rsidR="00C349B5">
        <w:lastRenderedPageBreak/>
        <w:t xml:space="preserve">assignment or agreement) </w:t>
      </w:r>
      <w:r w:rsidR="00862573">
        <w:t xml:space="preserve">similarly does not refer to the inventor. </w:t>
      </w:r>
      <w:r w:rsidR="00B476CF">
        <w:t>His Honour</w:t>
      </w:r>
      <w:r w:rsidR="00862573">
        <w:t xml:space="preserve"> rejected </w:t>
      </w:r>
      <w:r w:rsidR="00694CBD">
        <w:t xml:space="preserve">the </w:t>
      </w:r>
      <w:r w:rsidR="00862573">
        <w:t>finding of the Deputy Commissioner</w:t>
      </w:r>
      <w:r w:rsidR="00673E61">
        <w:t xml:space="preserve"> </w:t>
      </w:r>
      <w:r w:rsidR="00862573">
        <w:t>that s 15(1</w:t>
      </w:r>
      <w:proofErr w:type="gramStart"/>
      <w:r w:rsidR="00862573">
        <w:t>)(</w:t>
      </w:r>
      <w:proofErr w:type="gramEnd"/>
      <w:r w:rsidR="00862573">
        <w:t>b) is limited to the case only of an assignment from the inventor</w:t>
      </w:r>
      <w:r w:rsidR="00673E61">
        <w:t xml:space="preserve"> </w:t>
      </w:r>
      <w:r w:rsidR="0005765A">
        <w:t>which pre-supposes an earlier vesting of title in the inventor</w:t>
      </w:r>
      <w:r w:rsidR="00673E61">
        <w:t>. He considered that s 15(1</w:t>
      </w:r>
      <w:proofErr w:type="gramStart"/>
      <w:r w:rsidR="00673E61">
        <w:t>)(</w:t>
      </w:r>
      <w:proofErr w:type="gramEnd"/>
      <w:r w:rsidR="00673E61">
        <w:t>b) does not require this expressly or by necessary implication. To the contrary, the primary judge found that</w:t>
      </w:r>
      <w:r w:rsidR="00BE55A2">
        <w:t>,</w:t>
      </w:r>
      <w:r w:rsidR="00673E61">
        <w:t xml:space="preserve"> because Dr </w:t>
      </w:r>
      <w:proofErr w:type="spellStart"/>
      <w:r w:rsidR="00673E61">
        <w:t>Thaler</w:t>
      </w:r>
      <w:proofErr w:type="spellEnd"/>
      <w:r w:rsidR="00673E61">
        <w:t xml:space="preserve"> is the owner, programmer and operator of DABUS, the invention was made for him and that on established principles of property law, he is the owner of the invention in a way analogous to the ownership of the progeny of animals. </w:t>
      </w:r>
      <w:r w:rsidR="00951234">
        <w:t>We note that t</w:t>
      </w:r>
      <w:r w:rsidR="002E6148">
        <w:t xml:space="preserve">his finding should not be considered to be determinative on the subject because the question of the entitlement of Dr </w:t>
      </w:r>
      <w:proofErr w:type="spellStart"/>
      <w:r w:rsidR="002E6148">
        <w:t>Thaler</w:t>
      </w:r>
      <w:proofErr w:type="spellEnd"/>
      <w:r w:rsidR="002E6148">
        <w:t xml:space="preserve"> to the invention as claimed was not the subject of the proceedings before the primary judge. </w:t>
      </w:r>
    </w:p>
    <w:p w14:paraId="32513906" w14:textId="713B0444" w:rsidR="00202AAA" w:rsidRDefault="0091373D" w:rsidP="00ED152A">
      <w:pPr>
        <w:pStyle w:val="ParaNumbering"/>
      </w:pPr>
      <w:r>
        <w:t xml:space="preserve">As we have set out above, </w:t>
      </w:r>
      <w:r w:rsidRPr="00276C7E">
        <w:t>s</w:t>
      </w:r>
      <w:r w:rsidR="00673E61" w:rsidRPr="00276C7E">
        <w:t xml:space="preserve"> 15(1</w:t>
      </w:r>
      <w:proofErr w:type="gramStart"/>
      <w:r w:rsidR="00673E61" w:rsidRPr="00276C7E">
        <w:t>)</w:t>
      </w:r>
      <w:r w:rsidR="00C87F03" w:rsidRPr="00276C7E">
        <w:t>(</w:t>
      </w:r>
      <w:proofErr w:type="gramEnd"/>
      <w:r w:rsidR="00C87F03" w:rsidRPr="00276C7E">
        <w:t>c)</w:t>
      </w:r>
      <w:r w:rsidR="00C87F03">
        <w:t xml:space="preserve"> prov</w:t>
      </w:r>
      <w:r w:rsidR="00673E61">
        <w:t xml:space="preserve">ides that a patent may be granted to a person who derives title to the invention from the inventor or a person mentioned in </w:t>
      </w:r>
      <w:r w:rsidR="007D2FA9">
        <w:t xml:space="preserve">s </w:t>
      </w:r>
      <w:r w:rsidR="00673E61">
        <w:t xml:space="preserve">15(1)(b). The primary judge considered that this </w:t>
      </w:r>
      <w:r w:rsidR="00934D23">
        <w:t>subsection r</w:t>
      </w:r>
      <w:r w:rsidR="00673E61">
        <w:t xml:space="preserve">ecognises that the </w:t>
      </w:r>
      <w:r w:rsidR="00934D23">
        <w:t>rights of a person who derives title to the invention from an inventor extend beyond assignments in s 15(1</w:t>
      </w:r>
      <w:proofErr w:type="gramStart"/>
      <w:r w:rsidR="00934D23">
        <w:t>)(</w:t>
      </w:r>
      <w:proofErr w:type="gramEnd"/>
      <w:r w:rsidR="00934D23">
        <w:t>b) to encompass other means by which an interest may be conferred</w:t>
      </w:r>
      <w:r w:rsidR="00934B4E">
        <w:t>.</w:t>
      </w:r>
      <w:r w:rsidR="00934D23">
        <w:t xml:space="preserve"> </w:t>
      </w:r>
      <w:r w:rsidR="00934B4E">
        <w:t xml:space="preserve">In this regard, his Honour considered that </w:t>
      </w:r>
      <w:r w:rsidR="00934D23">
        <w:t xml:space="preserve">the ordinary meaning to be given to “derives” </w:t>
      </w:r>
      <w:r w:rsidR="007F68B3">
        <w:t>is</w:t>
      </w:r>
      <w:r w:rsidR="00934D23">
        <w:t xml:space="preserve"> “obtained”, “got” or “acquired”. His Honour distinguished the reasoning </w:t>
      </w:r>
      <w:r w:rsidR="009F7D5D">
        <w:t>of</w:t>
      </w:r>
      <w:r w:rsidR="00212A82">
        <w:t xml:space="preserve"> the</w:t>
      </w:r>
      <w:r w:rsidR="009F7D5D">
        <w:t xml:space="preserve"> Full Courts </w:t>
      </w:r>
      <w:r w:rsidR="00934D23">
        <w:t xml:space="preserve">in </w:t>
      </w:r>
      <w:r w:rsidR="00E02FCA" w:rsidRPr="00877ECB">
        <w:rPr>
          <w:i/>
        </w:rPr>
        <w:t>JMVB Enterprises</w:t>
      </w:r>
      <w:r w:rsidR="00E02FCA" w:rsidRPr="00E02FCA">
        <w:rPr>
          <w:i/>
        </w:rPr>
        <w:t xml:space="preserve"> </w:t>
      </w:r>
      <w:r w:rsidR="00E02FCA" w:rsidRPr="00E02FCA">
        <w:t>at [69]</w:t>
      </w:r>
      <w:r w:rsidR="00ED152A">
        <w:t>-</w:t>
      </w:r>
      <w:r w:rsidR="00E02FCA">
        <w:t>[72]</w:t>
      </w:r>
      <w:r w:rsidR="00E02FCA" w:rsidRPr="00E02FCA">
        <w:t xml:space="preserve"> </w:t>
      </w:r>
      <w:r w:rsidR="00E02FCA">
        <w:t>(</w:t>
      </w:r>
      <w:r w:rsidR="00E02FCA" w:rsidRPr="00E02FCA">
        <w:t>Emmett, Stone and Bennett JJ</w:t>
      </w:r>
      <w:r w:rsidR="00E02FCA">
        <w:t>)</w:t>
      </w:r>
      <w:r w:rsidR="00E02FCA" w:rsidRPr="00E02FCA">
        <w:t xml:space="preserve"> </w:t>
      </w:r>
      <w:r w:rsidR="00934D23">
        <w:t xml:space="preserve">and </w:t>
      </w:r>
      <w:r w:rsidR="00ED152A" w:rsidRPr="00276C7E">
        <w:rPr>
          <w:b/>
          <w:i/>
        </w:rPr>
        <w:t>Stack</w:t>
      </w:r>
      <w:r w:rsidR="00ED152A" w:rsidRPr="00276C7E">
        <w:rPr>
          <w:i/>
        </w:rPr>
        <w:t xml:space="preserve"> v Davies </w:t>
      </w:r>
      <w:proofErr w:type="spellStart"/>
      <w:r w:rsidR="00ED152A" w:rsidRPr="00276C7E">
        <w:rPr>
          <w:i/>
        </w:rPr>
        <w:t>Shephard</w:t>
      </w:r>
      <w:proofErr w:type="spellEnd"/>
      <w:r w:rsidR="00ED152A" w:rsidRPr="00276C7E">
        <w:rPr>
          <w:i/>
        </w:rPr>
        <w:t xml:space="preserve"> Pty Ltd </w:t>
      </w:r>
      <w:r w:rsidR="00ED152A" w:rsidRPr="00276C7E">
        <w:t>[2001] FCA 501; 108 FCR 422</w:t>
      </w:r>
      <w:r w:rsidR="00934D23">
        <w:t xml:space="preserve"> at [21] </w:t>
      </w:r>
      <w:r w:rsidR="00740B42">
        <w:t xml:space="preserve">(Whitlam, </w:t>
      </w:r>
      <w:proofErr w:type="spellStart"/>
      <w:r w:rsidR="00740B42">
        <w:t>Sundberg</w:t>
      </w:r>
      <w:proofErr w:type="spellEnd"/>
      <w:r w:rsidR="00740B42">
        <w:t xml:space="preserve"> and </w:t>
      </w:r>
      <w:proofErr w:type="spellStart"/>
      <w:r w:rsidR="00740B42">
        <w:t>Dowsett</w:t>
      </w:r>
      <w:proofErr w:type="spellEnd"/>
      <w:r w:rsidR="00740B42">
        <w:t xml:space="preserve"> JJ) </w:t>
      </w:r>
      <w:r w:rsidR="003F295C">
        <w:t>on the basis that it w</w:t>
      </w:r>
      <w:r w:rsidR="00934D23">
        <w:t>as inapplicable. He reasoned that</w:t>
      </w:r>
      <w:r w:rsidR="007C03C3">
        <w:t>,</w:t>
      </w:r>
      <w:r w:rsidR="00EA04AF">
        <w:t xml:space="preserve"> </w:t>
      </w:r>
      <w:r w:rsidR="004D5E98">
        <w:t>as</w:t>
      </w:r>
      <w:r w:rsidR="00934D23">
        <w:t xml:space="preserve"> the owner and controller of DABUS</w:t>
      </w:r>
      <w:r w:rsidR="004D5E98">
        <w:t xml:space="preserve">, Dr </w:t>
      </w:r>
      <w:proofErr w:type="spellStart"/>
      <w:r w:rsidR="004D5E98">
        <w:t>Thaler</w:t>
      </w:r>
      <w:proofErr w:type="spellEnd"/>
      <w:r w:rsidR="00934D23">
        <w:t xml:space="preserve"> would own any inventions made by DABUS when they came into his possession. </w:t>
      </w:r>
      <w:r w:rsidR="00EA04AF">
        <w:t xml:space="preserve">Dr </w:t>
      </w:r>
      <w:proofErr w:type="spellStart"/>
      <w:r w:rsidR="00EA04AF">
        <w:t>Thaler</w:t>
      </w:r>
      <w:proofErr w:type="spellEnd"/>
      <w:r w:rsidR="00934D23">
        <w:t xml:space="preserve"> obtained possession of the invention of the application through and from DABUS. Accordingly, by reason of his possession of the invention combined with his ownership and control of DABUS</w:t>
      </w:r>
      <w:r w:rsidR="002E5B62">
        <w:t>,</w:t>
      </w:r>
      <w:r w:rsidR="00934D23">
        <w:t xml:space="preserve"> Dr </w:t>
      </w:r>
      <w:proofErr w:type="spellStart"/>
      <w:r w:rsidR="00934D23">
        <w:t>Thaler</w:t>
      </w:r>
      <w:proofErr w:type="spellEnd"/>
      <w:r w:rsidR="00934D23">
        <w:t xml:space="preserve"> prima facie obtained or derived title to the invention. H</w:t>
      </w:r>
      <w:r w:rsidR="00AC4C6D">
        <w:t>is Honour</w:t>
      </w:r>
      <w:r w:rsidR="00934D23">
        <w:t xml:space="preserve"> considered that there is no need for the inventor ever to have owned the invention</w:t>
      </w:r>
      <w:r w:rsidR="002E5B62">
        <w:t>,</w:t>
      </w:r>
      <w:r w:rsidR="00934D23">
        <w:t xml:space="preserve"> and there is no need for title to be derived by an assignment. </w:t>
      </w:r>
    </w:p>
    <w:p w14:paraId="71055C24" w14:textId="5BA7877B" w:rsidR="00FF36D2" w:rsidRDefault="00FF36D2" w:rsidP="00934D23">
      <w:pPr>
        <w:pStyle w:val="ParaNumbering"/>
      </w:pPr>
      <w:r>
        <w:t>Having reached these conclusions the primary judge rejected as incorrect the construction of s</w:t>
      </w:r>
      <w:r w:rsidR="009E38E4">
        <w:t> </w:t>
      </w:r>
      <w:r>
        <w:t xml:space="preserve">15(1) adopted by the Deputy Commissioner. He considered that no other section in the </w:t>
      </w:r>
      <w:r w:rsidRPr="00877ECB">
        <w:rPr>
          <w:i/>
        </w:rPr>
        <w:t>Patents Act</w:t>
      </w:r>
      <w:r>
        <w:t xml:space="preserve"> or </w:t>
      </w:r>
      <w:r w:rsidR="00AE0E1C" w:rsidRPr="00877ECB">
        <w:rPr>
          <w:i/>
        </w:rPr>
        <w:t>Regulations</w:t>
      </w:r>
      <w:r w:rsidR="00AE0E1C">
        <w:t xml:space="preserve"> </w:t>
      </w:r>
      <w:r>
        <w:t xml:space="preserve">precluded the conclusions that he had reached. </w:t>
      </w:r>
    </w:p>
    <w:p w14:paraId="75ACBD6C" w14:textId="77777777" w:rsidR="00FF36D2" w:rsidRDefault="00FF36D2" w:rsidP="00FF36D2">
      <w:pPr>
        <w:pStyle w:val="ParaNumbering"/>
      </w:pPr>
      <w:r>
        <w:t>The primary judge concluded:</w:t>
      </w:r>
    </w:p>
    <w:p w14:paraId="7EEBCB3F" w14:textId="65FA3AD8" w:rsidR="00FF36D2" w:rsidRPr="002E6148" w:rsidRDefault="009172FA" w:rsidP="00877ECB">
      <w:pPr>
        <w:pStyle w:val="Quote1"/>
        <w:ind w:left="1440" w:hanging="703"/>
      </w:pPr>
      <w:r>
        <w:rPr>
          <w:sz w:val="20"/>
        </w:rPr>
        <w:t>[</w:t>
      </w:r>
      <w:r w:rsidR="00FF36D2" w:rsidRPr="002E6148">
        <w:rPr>
          <w:sz w:val="20"/>
        </w:rPr>
        <w:t>221</w:t>
      </w:r>
      <w:r>
        <w:rPr>
          <w:sz w:val="20"/>
        </w:rPr>
        <w:t>]</w:t>
      </w:r>
      <w:r>
        <w:rPr>
          <w:sz w:val="20"/>
        </w:rPr>
        <w:tab/>
      </w:r>
      <w:proofErr w:type="gramStart"/>
      <w:r w:rsidR="00FF36D2" w:rsidRPr="002E6148">
        <w:t>As</w:t>
      </w:r>
      <w:proofErr w:type="gramEnd"/>
      <w:r w:rsidR="00FF36D2" w:rsidRPr="002E6148">
        <w:t xml:space="preserve"> I have said, s 15 concerns who may be granted</w:t>
      </w:r>
      <w:r w:rsidR="00FF36D2" w:rsidRPr="002E6148">
        <w:rPr>
          <w:i/>
        </w:rPr>
        <w:t xml:space="preserve"> </w:t>
      </w:r>
      <w:r w:rsidR="00FF36D2" w:rsidRPr="002E6148">
        <w:t xml:space="preserve">the patent.  The Commissioner is not being asked to decide that question now.  The question is whether a valid PCT application has been presently lodged.  The only impediment it would seem is </w:t>
      </w:r>
      <w:proofErr w:type="spellStart"/>
      <w:r w:rsidR="00FF36D2" w:rsidRPr="002E6148">
        <w:t>reg</w:t>
      </w:r>
      <w:proofErr w:type="spellEnd"/>
      <w:r w:rsidR="00FF36D2" w:rsidRPr="002E6148">
        <w:t> </w:t>
      </w:r>
      <w:proofErr w:type="gramStart"/>
      <w:r w:rsidR="00FF36D2" w:rsidRPr="002E6148">
        <w:t>3.2C(</w:t>
      </w:r>
      <w:proofErr w:type="gramEnd"/>
      <w:r w:rsidR="00FF36D2" w:rsidRPr="002E6148">
        <w:t xml:space="preserve">2)(aa) and the Commissioner’s </w:t>
      </w:r>
      <w:r w:rsidR="00FF36D2" w:rsidRPr="002E6148">
        <w:lastRenderedPageBreak/>
        <w:t>interpretation of that requirement.</w:t>
      </w:r>
    </w:p>
    <w:p w14:paraId="36E12932" w14:textId="6E6BFB9B" w:rsidR="00FF36D2" w:rsidRPr="002E6148" w:rsidRDefault="004D412F" w:rsidP="00877ECB">
      <w:pPr>
        <w:pStyle w:val="Quote1"/>
        <w:ind w:left="1440" w:hanging="703"/>
      </w:pPr>
      <w:r>
        <w:rPr>
          <w:sz w:val="20"/>
        </w:rPr>
        <w:t>[</w:t>
      </w:r>
      <w:r w:rsidR="00FF36D2" w:rsidRPr="002E6148">
        <w:rPr>
          <w:sz w:val="20"/>
        </w:rPr>
        <w:t>222</w:t>
      </w:r>
      <w:r>
        <w:rPr>
          <w:sz w:val="20"/>
        </w:rPr>
        <w:t>]</w:t>
      </w:r>
      <w:r w:rsidR="00FF36D2" w:rsidRPr="002E6148">
        <w:rPr>
          <w:sz w:val="20"/>
        </w:rPr>
        <w:tab/>
      </w:r>
      <w:proofErr w:type="gramStart"/>
      <w:r w:rsidR="00FF36D2" w:rsidRPr="002E6148">
        <w:t>First</w:t>
      </w:r>
      <w:proofErr w:type="gramEnd"/>
      <w:r w:rsidR="00FF36D2" w:rsidRPr="002E6148">
        <w:t>, in my view the name of the inventor can be a non-human.  The Commissioner is incorrect in saying that you cannot have a non-human inventor.</w:t>
      </w:r>
    </w:p>
    <w:p w14:paraId="76F63FFF" w14:textId="31660946" w:rsidR="00FF36D2" w:rsidRPr="002E6148" w:rsidRDefault="004D412F" w:rsidP="00877ECB">
      <w:pPr>
        <w:pStyle w:val="Quote1"/>
        <w:ind w:left="1440" w:hanging="703"/>
      </w:pPr>
      <w:r>
        <w:rPr>
          <w:sz w:val="20"/>
        </w:rPr>
        <w:t>[</w:t>
      </w:r>
      <w:r w:rsidR="00FF36D2" w:rsidRPr="002E6148">
        <w:rPr>
          <w:sz w:val="20"/>
        </w:rPr>
        <w:t>223</w:t>
      </w:r>
      <w:r>
        <w:rPr>
          <w:sz w:val="20"/>
        </w:rPr>
        <w:t>]</w:t>
      </w:r>
      <w:r w:rsidR="00FF36D2" w:rsidRPr="002E6148">
        <w:rPr>
          <w:sz w:val="20"/>
        </w:rPr>
        <w:tab/>
      </w:r>
      <w:r w:rsidR="00FF36D2" w:rsidRPr="002E6148">
        <w:t xml:space="preserve">Second, if the Commissioner would have it that </w:t>
      </w:r>
      <w:proofErr w:type="spellStart"/>
      <w:r w:rsidR="00FF36D2" w:rsidRPr="002E6148">
        <w:t>reg</w:t>
      </w:r>
      <w:proofErr w:type="spellEnd"/>
      <w:r w:rsidR="00FF36D2" w:rsidRPr="002E6148">
        <w:t xml:space="preserve"> </w:t>
      </w:r>
      <w:proofErr w:type="gramStart"/>
      <w:r w:rsidR="00FF36D2" w:rsidRPr="002E6148">
        <w:t>3.2C(</w:t>
      </w:r>
      <w:proofErr w:type="gramEnd"/>
      <w:r w:rsidR="00FF36D2" w:rsidRPr="002E6148">
        <w:t>2)(aa) requires the name of a human inventor, that is not what the Act mandates.  Accordingly, if the Commissioner is correct, I would read down the regulation to avoid it being ultra vires, so that in effect it reads “the name of a human inventor (if applicable)”.</w:t>
      </w:r>
    </w:p>
    <w:p w14:paraId="60021BDC" w14:textId="584177E2" w:rsidR="00FF36D2" w:rsidRPr="002E6148" w:rsidRDefault="004D412F" w:rsidP="00877ECB">
      <w:pPr>
        <w:pStyle w:val="Quote1"/>
        <w:ind w:left="1440" w:hanging="703"/>
      </w:pPr>
      <w:r>
        <w:rPr>
          <w:sz w:val="20"/>
        </w:rPr>
        <w:t>[</w:t>
      </w:r>
      <w:r w:rsidR="00FF36D2" w:rsidRPr="002E6148">
        <w:rPr>
          <w:sz w:val="20"/>
        </w:rPr>
        <w:t>224</w:t>
      </w:r>
      <w:r>
        <w:rPr>
          <w:sz w:val="20"/>
        </w:rPr>
        <w:t>]</w:t>
      </w:r>
      <w:r w:rsidR="00FF36D2" w:rsidRPr="002E6148">
        <w:rPr>
          <w:sz w:val="20"/>
        </w:rPr>
        <w:tab/>
      </w:r>
      <w:r w:rsidR="00FF36D2" w:rsidRPr="002E6148">
        <w:t xml:space="preserve">Third, the Deputy Commissioner ought not to have used subordinate legislation to summarily rule out a substantive consideration and examination of Dr </w:t>
      </w:r>
      <w:proofErr w:type="spellStart"/>
      <w:r w:rsidR="00FF36D2" w:rsidRPr="002E6148">
        <w:t>Thaler’s</w:t>
      </w:r>
      <w:proofErr w:type="spellEnd"/>
      <w:r w:rsidR="00FF36D2" w:rsidRPr="002E6148">
        <w:t xml:space="preserve"> application in circumstances where:</w:t>
      </w:r>
    </w:p>
    <w:p w14:paraId="4BF3BB6F" w14:textId="77777777" w:rsidR="00FF36D2" w:rsidRPr="002E6148" w:rsidRDefault="00FF36D2" w:rsidP="0086115E">
      <w:pPr>
        <w:pStyle w:val="Quote2"/>
        <w:ind w:left="2160" w:hanging="720"/>
      </w:pPr>
      <w:r w:rsidRPr="002E6148">
        <w:t>(a)</w:t>
      </w:r>
      <w:r w:rsidRPr="002E6148">
        <w:tab/>
        <w:t xml:space="preserve">Dr </w:t>
      </w:r>
      <w:proofErr w:type="spellStart"/>
      <w:r w:rsidRPr="002E6148">
        <w:t>Thaler</w:t>
      </w:r>
      <w:proofErr w:type="spellEnd"/>
      <w:r w:rsidRPr="002E6148">
        <w:t xml:space="preserve"> was a valid applicant;</w:t>
      </w:r>
    </w:p>
    <w:p w14:paraId="606A7C78" w14:textId="77777777" w:rsidR="00FF36D2" w:rsidRPr="002E6148" w:rsidRDefault="00FF36D2" w:rsidP="0086115E">
      <w:pPr>
        <w:pStyle w:val="Quote2"/>
        <w:ind w:left="2160" w:hanging="720"/>
      </w:pPr>
      <w:r w:rsidRPr="002E6148">
        <w:t>(b)</w:t>
      </w:r>
      <w:r w:rsidRPr="002E6148">
        <w:tab/>
        <w:t>prima facie his application is not said not to disclose a patentable invention;</w:t>
      </w:r>
    </w:p>
    <w:p w14:paraId="7035FE0E" w14:textId="77777777" w:rsidR="00FF36D2" w:rsidRPr="002E6148" w:rsidRDefault="00FF36D2" w:rsidP="0086115E">
      <w:pPr>
        <w:pStyle w:val="Quote2"/>
        <w:ind w:left="2160" w:hanging="720"/>
      </w:pPr>
      <w:r w:rsidRPr="002E6148">
        <w:t>(c)</w:t>
      </w:r>
      <w:r w:rsidRPr="002E6148">
        <w:tab/>
      </w:r>
      <w:proofErr w:type="gramStart"/>
      <w:r w:rsidRPr="002E6148">
        <w:t>no</w:t>
      </w:r>
      <w:proofErr w:type="gramEnd"/>
      <w:r w:rsidRPr="002E6148">
        <w:t xml:space="preserve"> other difficulties with his application have been identified;</w:t>
      </w:r>
    </w:p>
    <w:p w14:paraId="62603F98" w14:textId="77777777" w:rsidR="00FF36D2" w:rsidRPr="002E6148" w:rsidRDefault="00FF36D2" w:rsidP="0086115E">
      <w:pPr>
        <w:pStyle w:val="Quote2"/>
        <w:ind w:left="2160" w:hanging="720"/>
      </w:pPr>
      <w:r w:rsidRPr="002E6148">
        <w:t>(d)</w:t>
      </w:r>
      <w:r w:rsidRPr="002E6148">
        <w:tab/>
      </w:r>
      <w:proofErr w:type="gramStart"/>
      <w:r w:rsidRPr="002E6148">
        <w:t>the</w:t>
      </w:r>
      <w:proofErr w:type="gramEnd"/>
      <w:r w:rsidRPr="002E6148">
        <w:t xml:space="preserve"> question of grant is some years away; and</w:t>
      </w:r>
    </w:p>
    <w:p w14:paraId="21748243" w14:textId="77777777" w:rsidR="00FF36D2" w:rsidRPr="002E6148" w:rsidRDefault="00FF36D2" w:rsidP="0086115E">
      <w:pPr>
        <w:pStyle w:val="Quote2"/>
        <w:ind w:left="2160" w:hanging="720"/>
      </w:pPr>
      <w:r w:rsidRPr="002E6148">
        <w:t>(e)</w:t>
      </w:r>
      <w:r w:rsidRPr="002E6148">
        <w:tab/>
      </w:r>
      <w:proofErr w:type="gramStart"/>
      <w:r w:rsidRPr="002E6148">
        <w:t>it</w:t>
      </w:r>
      <w:proofErr w:type="gramEnd"/>
      <w:r w:rsidRPr="002E6148">
        <w:t xml:space="preserve"> cannot be said now that Dr </w:t>
      </w:r>
      <w:proofErr w:type="spellStart"/>
      <w:r w:rsidRPr="002E6148">
        <w:t>Thaler</w:t>
      </w:r>
      <w:proofErr w:type="spellEnd"/>
      <w:r w:rsidRPr="002E6148">
        <w:t xml:space="preserve"> could not later bring himself within s 15(1)(b) and / or s 15(1)(c) in terms of being entitled to a grant.</w:t>
      </w:r>
    </w:p>
    <w:p w14:paraId="0DB6083A" w14:textId="6C97786D" w:rsidR="00FF36D2" w:rsidRPr="002E6148" w:rsidRDefault="004D412F" w:rsidP="00877ECB">
      <w:pPr>
        <w:pStyle w:val="Quote1"/>
        <w:ind w:left="1440" w:hanging="703"/>
      </w:pPr>
      <w:r>
        <w:rPr>
          <w:sz w:val="20"/>
        </w:rPr>
        <w:t>[</w:t>
      </w:r>
      <w:r w:rsidR="00FF36D2" w:rsidRPr="002E6148">
        <w:rPr>
          <w:sz w:val="20"/>
        </w:rPr>
        <w:t>225</w:t>
      </w:r>
      <w:r>
        <w:rPr>
          <w:sz w:val="20"/>
        </w:rPr>
        <w:t>]</w:t>
      </w:r>
      <w:r w:rsidR="00FF36D2" w:rsidRPr="002E6148">
        <w:rPr>
          <w:sz w:val="20"/>
        </w:rPr>
        <w:tab/>
      </w:r>
      <w:proofErr w:type="gramStart"/>
      <w:r w:rsidR="00FF36D2" w:rsidRPr="002E6148">
        <w:t>On</w:t>
      </w:r>
      <w:proofErr w:type="gramEnd"/>
      <w:r w:rsidR="00FF36D2" w:rsidRPr="002E6148">
        <w:t xml:space="preserve"> this aspect, and if it is necessary to say so, I also agree with Dr </w:t>
      </w:r>
      <w:proofErr w:type="spellStart"/>
      <w:r w:rsidR="00FF36D2" w:rsidRPr="002E6148">
        <w:t>Thaler’s</w:t>
      </w:r>
      <w:proofErr w:type="spellEnd"/>
      <w:r w:rsidR="00FF36D2" w:rsidRPr="002E6148">
        <w:t xml:space="preserve"> procedural point that I referred to earlier.</w:t>
      </w:r>
    </w:p>
    <w:p w14:paraId="1B666247" w14:textId="2333090B" w:rsidR="00FF36D2" w:rsidRDefault="004D412F" w:rsidP="00877ECB">
      <w:pPr>
        <w:pStyle w:val="Quote1"/>
        <w:ind w:left="1440" w:hanging="703"/>
      </w:pPr>
      <w:r>
        <w:rPr>
          <w:sz w:val="20"/>
        </w:rPr>
        <w:t>[</w:t>
      </w:r>
      <w:r w:rsidR="00FF36D2" w:rsidRPr="002E6148">
        <w:rPr>
          <w:sz w:val="20"/>
        </w:rPr>
        <w:t>226</w:t>
      </w:r>
      <w:r>
        <w:rPr>
          <w:sz w:val="20"/>
        </w:rPr>
        <w:t>]</w:t>
      </w:r>
      <w:r w:rsidR="00FF36D2" w:rsidRPr="002E6148">
        <w:rPr>
          <w:sz w:val="20"/>
        </w:rPr>
        <w:tab/>
      </w:r>
      <w:proofErr w:type="gramStart"/>
      <w:r w:rsidR="00FF36D2" w:rsidRPr="002E6148">
        <w:t>In</w:t>
      </w:r>
      <w:proofErr w:type="gramEnd"/>
      <w:r w:rsidR="00FF36D2" w:rsidRPr="002E6148">
        <w:t xml:space="preserve"> summary, in my view, an inventor as recognised under the Act can be an artificial intelligence system or device.  But such a non-human inventor can neither be an applicant for a patent nor a grantee of a patent.  So to hold is consistent with the reality of the current technology.  It is consistent with the Act.  And it is consistent </w:t>
      </w:r>
      <w:r w:rsidR="00FF36D2">
        <w:t>with promoting innovation.</w:t>
      </w:r>
    </w:p>
    <w:p w14:paraId="23E1F717" w14:textId="62057F23" w:rsidR="00027B40" w:rsidRDefault="00027B40" w:rsidP="003D033E">
      <w:pPr>
        <w:pStyle w:val="ParaNumbering"/>
      </w:pPr>
      <w:r>
        <w:t xml:space="preserve">The “procedural point” is </w:t>
      </w:r>
      <w:r w:rsidR="004D5E98">
        <w:t>apparently</w:t>
      </w:r>
      <w:r>
        <w:t xml:space="preserve"> a reference to</w:t>
      </w:r>
      <w:r w:rsidR="00AC4C6D">
        <w:t xml:space="preserve"> a submission advanced by Dr </w:t>
      </w:r>
      <w:proofErr w:type="spellStart"/>
      <w:r w:rsidR="00AC4C6D">
        <w:t>Thaler</w:t>
      </w:r>
      <w:proofErr w:type="spellEnd"/>
      <w:r w:rsidR="00AC4C6D">
        <w:t xml:space="preserve">, summarised at </w:t>
      </w:r>
      <w:proofErr w:type="gramStart"/>
      <w:r w:rsidR="00AC4C6D">
        <w:t>J[</w:t>
      </w:r>
      <w:proofErr w:type="gramEnd"/>
      <w:r w:rsidR="00AC4C6D">
        <w:t>109] to [111]</w:t>
      </w:r>
      <w:r w:rsidR="00B83360">
        <w:t>, that the Commissioner ought to have awaited the examination stage under s 45 to consider whether the patent request and complete specification complied with the requirements of s 15(1)</w:t>
      </w:r>
      <w:r w:rsidR="00653401">
        <w:t>.</w:t>
      </w:r>
    </w:p>
    <w:p w14:paraId="2ED0F523" w14:textId="77777777" w:rsidR="00027B40" w:rsidRDefault="00E114E7" w:rsidP="00E114E7">
      <w:pPr>
        <w:pStyle w:val="Heading5"/>
      </w:pPr>
      <w:bookmarkStart w:id="36" w:name="_Ref100588673"/>
      <w:r>
        <w:t>THE SUBMISSIONS</w:t>
      </w:r>
      <w:bookmarkEnd w:id="36"/>
    </w:p>
    <w:p w14:paraId="21591A01" w14:textId="4BB052B3" w:rsidR="00C96116" w:rsidRPr="00C96116" w:rsidRDefault="002F0ED9" w:rsidP="00C96116">
      <w:pPr>
        <w:pStyle w:val="Heading6"/>
      </w:pPr>
      <w:bookmarkStart w:id="37" w:name="_Ref100588674"/>
      <w:r>
        <w:t>T</w:t>
      </w:r>
      <w:r w:rsidR="00C96116">
        <w:t>he Commissioner</w:t>
      </w:r>
      <w:r>
        <w:t>’s submissions</w:t>
      </w:r>
      <w:bookmarkEnd w:id="37"/>
      <w:r w:rsidR="00C96116">
        <w:t xml:space="preserve"> </w:t>
      </w:r>
    </w:p>
    <w:p w14:paraId="72476D7B" w14:textId="385BC86F" w:rsidR="00052E3B" w:rsidRDefault="00052E3B" w:rsidP="00DA4039">
      <w:pPr>
        <w:pStyle w:val="ParaNumbering"/>
      </w:pPr>
      <w:r>
        <w:t xml:space="preserve">The Commissioner takes issue with the findings of the primary judge that by determining the question under </w:t>
      </w:r>
      <w:proofErr w:type="spellStart"/>
      <w:r>
        <w:t>reg</w:t>
      </w:r>
      <w:proofErr w:type="spellEnd"/>
      <w:r>
        <w:t xml:space="preserve"> </w:t>
      </w:r>
      <w:proofErr w:type="gramStart"/>
      <w:r>
        <w:t>3.2C(</w:t>
      </w:r>
      <w:proofErr w:type="gramEnd"/>
      <w:r>
        <w:t>2)(aa) at the formalities stage she has acted prematurely. She submits that the</w:t>
      </w:r>
      <w:r w:rsidRPr="00276C7E">
        <w:t xml:space="preserve"> </w:t>
      </w:r>
      <w:r w:rsidRPr="00276C7E">
        <w:rPr>
          <w:b/>
        </w:rPr>
        <w:t xml:space="preserve">Explanatory </w:t>
      </w:r>
      <w:r w:rsidR="00787BDE" w:rsidRPr="00276C7E">
        <w:rPr>
          <w:b/>
        </w:rPr>
        <w:t>Statement</w:t>
      </w:r>
      <w:r w:rsidR="00787BDE" w:rsidRPr="00276C7E">
        <w:t xml:space="preserve"> </w:t>
      </w:r>
      <w:r w:rsidRPr="00276C7E">
        <w:t xml:space="preserve">to </w:t>
      </w:r>
      <w:r w:rsidRPr="00276C7E">
        <w:rPr>
          <w:i/>
        </w:rPr>
        <w:t>Select Legislative Instrument No</w:t>
      </w:r>
      <w:r w:rsidR="00787BDE" w:rsidRPr="00276C7E">
        <w:rPr>
          <w:i/>
        </w:rPr>
        <w:t>.</w:t>
      </w:r>
      <w:r w:rsidRPr="00276C7E">
        <w:rPr>
          <w:i/>
        </w:rPr>
        <w:t xml:space="preserve"> 88, 2015</w:t>
      </w:r>
      <w:r>
        <w:t xml:space="preserve"> issued under the Authority of the Minister for Industry and Science (authorities tab 25) demonstrates that </w:t>
      </w:r>
      <w:proofErr w:type="spellStart"/>
      <w:r w:rsidR="00CD6C8A">
        <w:t>re</w:t>
      </w:r>
      <w:r w:rsidR="00CD6C8A" w:rsidRPr="00A12A85">
        <w:t>g</w:t>
      </w:r>
      <w:proofErr w:type="spellEnd"/>
      <w:r w:rsidR="00CD6C8A" w:rsidRPr="00A12A85">
        <w:t xml:space="preserve"> 3.2(2)(aa)</w:t>
      </w:r>
      <w:r w:rsidRPr="00A12A85">
        <w:t xml:space="preserve"> </w:t>
      </w:r>
      <w:r w:rsidR="007A58B7" w:rsidRPr="00A12A85">
        <w:t>requires a name to be given</w:t>
      </w:r>
      <w:r w:rsidRPr="00A12A85">
        <w:t xml:space="preserve"> to show entit</w:t>
      </w:r>
      <w:r>
        <w:t>lement</w:t>
      </w:r>
      <w:r w:rsidR="00787BDE">
        <w:t>.</w:t>
      </w:r>
      <w:r>
        <w:t xml:space="preserve"> </w:t>
      </w:r>
      <w:r w:rsidR="00787BDE">
        <w:t xml:space="preserve">She further submits </w:t>
      </w:r>
      <w:r>
        <w:t xml:space="preserve">that the </w:t>
      </w:r>
      <w:r>
        <w:lastRenderedPageBreak/>
        <w:t xml:space="preserve">word “inventor” in the </w:t>
      </w:r>
      <w:proofErr w:type="spellStart"/>
      <w:r>
        <w:t>reg</w:t>
      </w:r>
      <w:proofErr w:type="spellEnd"/>
      <w:r w:rsidR="00787BDE">
        <w:t xml:space="preserve"> 3.2C(2)(aa)</w:t>
      </w:r>
      <w:r>
        <w:t xml:space="preserve"> has the same meaning as in the </w:t>
      </w:r>
      <w:r w:rsidRPr="00877ECB">
        <w:rPr>
          <w:i/>
        </w:rPr>
        <w:t>Patents Act</w:t>
      </w:r>
      <w:r>
        <w:t xml:space="preserve">, citing </w:t>
      </w:r>
      <w:r w:rsidRPr="00276C7E">
        <w:rPr>
          <w:i/>
        </w:rPr>
        <w:t xml:space="preserve">Regional Express Holdings Ltd v Australian Federation of Air Pilots </w:t>
      </w:r>
      <w:r w:rsidR="00DA4039" w:rsidRPr="00276C7E">
        <w:t>[2017] HCA 55; 262 CLR 456</w:t>
      </w:r>
      <w:r>
        <w:t xml:space="preserve"> at [21]. She submits that the failure by Dr </w:t>
      </w:r>
      <w:proofErr w:type="spellStart"/>
      <w:r>
        <w:t>Thaler</w:t>
      </w:r>
      <w:proofErr w:type="spellEnd"/>
      <w:r>
        <w:t xml:space="preserve"> to comply with the direction under </w:t>
      </w:r>
      <w:proofErr w:type="spellStart"/>
      <w:r>
        <w:t>reg</w:t>
      </w:r>
      <w:proofErr w:type="spellEnd"/>
      <w:r>
        <w:t xml:space="preserve"> </w:t>
      </w:r>
      <w:proofErr w:type="gramStart"/>
      <w:r>
        <w:t>3.2C(</w:t>
      </w:r>
      <w:proofErr w:type="gramEnd"/>
      <w:r>
        <w:t>4) to give the name of the inventor</w:t>
      </w:r>
      <w:r w:rsidR="00694CBD">
        <w:t xml:space="preserve"> (as that term is to be understood under the </w:t>
      </w:r>
      <w:r w:rsidR="00694CBD" w:rsidRPr="00877ECB">
        <w:rPr>
          <w:i/>
        </w:rPr>
        <w:t>Patents Act</w:t>
      </w:r>
      <w:r w:rsidR="00694CBD">
        <w:t>)</w:t>
      </w:r>
      <w:r>
        <w:t xml:space="preserve"> had the inevitable consequence that the application lapsed under </w:t>
      </w:r>
      <w:proofErr w:type="spellStart"/>
      <w:r>
        <w:t>reg</w:t>
      </w:r>
      <w:proofErr w:type="spellEnd"/>
      <w:r>
        <w:t xml:space="preserve"> 3.2C(5) for failure to satisfy a mandatory requirement. </w:t>
      </w:r>
      <w:r w:rsidR="00744C05">
        <w:t>She submits that e</w:t>
      </w:r>
      <w:r>
        <w:t xml:space="preserve">ven though the Commissioner might have delayed refusal under examination of the application under s 45(1) and </w:t>
      </w:r>
      <w:proofErr w:type="spellStart"/>
      <w:r>
        <w:t>reg</w:t>
      </w:r>
      <w:proofErr w:type="spellEnd"/>
      <w:r>
        <w:t xml:space="preserve"> 3.18(2</w:t>
      </w:r>
      <w:proofErr w:type="gramStart"/>
      <w:r>
        <w:t>)(</w:t>
      </w:r>
      <w:proofErr w:type="gramEnd"/>
      <w:r>
        <w:t>a)(</w:t>
      </w:r>
      <w:proofErr w:type="spellStart"/>
      <w:r>
        <w:t>i</w:t>
      </w:r>
      <w:proofErr w:type="spellEnd"/>
      <w:r>
        <w:t xml:space="preserve">), the question as to the proper construction of “inventor” under </w:t>
      </w:r>
      <w:proofErr w:type="spellStart"/>
      <w:r>
        <w:t>reg</w:t>
      </w:r>
      <w:proofErr w:type="spellEnd"/>
      <w:r>
        <w:t xml:space="preserve"> 3.2C(2)(aa) arose as an important question of principle that </w:t>
      </w:r>
      <w:r w:rsidR="006C6171">
        <w:t xml:space="preserve">was properly </w:t>
      </w:r>
      <w:r>
        <w:t xml:space="preserve">considered at this stage. </w:t>
      </w:r>
    </w:p>
    <w:p w14:paraId="393FEEB6" w14:textId="32F7013C" w:rsidR="00FC5485" w:rsidRDefault="00052E3B" w:rsidP="00FC326D">
      <w:pPr>
        <w:pStyle w:val="ParaNumbering"/>
      </w:pPr>
      <w:r>
        <w:t>Turning to the substantive question, t</w:t>
      </w:r>
      <w:r w:rsidR="00E114E7">
        <w:t xml:space="preserve">he Commissioner submits that the identification of an inventor draws its lineage from </w:t>
      </w:r>
      <w:r w:rsidR="00E114E7" w:rsidRPr="00276C7E">
        <w:t xml:space="preserve">s 6 of the </w:t>
      </w:r>
      <w:r w:rsidR="00E114E7" w:rsidRPr="00276C7E">
        <w:rPr>
          <w:b/>
          <w:i/>
        </w:rPr>
        <w:t>Statute of Monopolies</w:t>
      </w:r>
      <w:r w:rsidR="00E114E7" w:rsidRPr="00276C7E">
        <w:rPr>
          <w:i/>
        </w:rPr>
        <w:t xml:space="preserve"> </w:t>
      </w:r>
      <w:r w:rsidR="00FC326D" w:rsidRPr="00276C7E">
        <w:rPr>
          <w:i/>
        </w:rPr>
        <w:t xml:space="preserve">1624 </w:t>
      </w:r>
      <w:r w:rsidR="00FC326D" w:rsidRPr="00276C7E">
        <w:t xml:space="preserve">(21 </w:t>
      </w:r>
      <w:proofErr w:type="spellStart"/>
      <w:r w:rsidR="00FC326D" w:rsidRPr="00276C7E">
        <w:t>Jac</w:t>
      </w:r>
      <w:proofErr w:type="spellEnd"/>
      <w:r w:rsidR="00FC326D" w:rsidRPr="00276C7E">
        <w:t xml:space="preserve"> c 3)</w:t>
      </w:r>
      <w:r w:rsidR="00E114E7">
        <w:t xml:space="preserve"> and has always been confined to human inventors, citing </w:t>
      </w:r>
      <w:proofErr w:type="spellStart"/>
      <w:r w:rsidR="00E114E7" w:rsidRPr="00276C7E">
        <w:rPr>
          <w:i/>
        </w:rPr>
        <w:t>Thaler</w:t>
      </w:r>
      <w:proofErr w:type="spellEnd"/>
      <w:r w:rsidR="00E114E7" w:rsidRPr="00276C7E">
        <w:rPr>
          <w:i/>
        </w:rPr>
        <w:t xml:space="preserve"> v Comptroller General of Patents, Trade Marks and Designs </w:t>
      </w:r>
      <w:r w:rsidR="00E114E7" w:rsidRPr="00276C7E">
        <w:t xml:space="preserve">[2021] EWCA </w:t>
      </w:r>
      <w:proofErr w:type="spellStart"/>
      <w:r w:rsidR="00E114E7" w:rsidRPr="00276C7E">
        <w:t>Civ</w:t>
      </w:r>
      <w:proofErr w:type="spellEnd"/>
      <w:r w:rsidR="00E114E7" w:rsidRPr="00276C7E">
        <w:t xml:space="preserve"> 1374</w:t>
      </w:r>
      <w:r w:rsidR="00E114E7">
        <w:t xml:space="preserve"> (</w:t>
      </w:r>
      <w:proofErr w:type="spellStart"/>
      <w:r w:rsidR="00E114E7" w:rsidRPr="00877ECB">
        <w:rPr>
          <w:b/>
          <w:i/>
        </w:rPr>
        <w:t>Thaler</w:t>
      </w:r>
      <w:proofErr w:type="spellEnd"/>
      <w:r w:rsidR="00E114E7" w:rsidRPr="00877ECB">
        <w:rPr>
          <w:b/>
          <w:i/>
        </w:rPr>
        <w:t xml:space="preserve"> UK</w:t>
      </w:r>
      <w:r>
        <w:t>) and</w:t>
      </w:r>
      <w:r w:rsidR="00E114E7">
        <w:t xml:space="preserve"> </w:t>
      </w:r>
      <w:r w:rsidR="00C96116">
        <w:rPr>
          <w:i/>
        </w:rPr>
        <w:t xml:space="preserve">Stack </w:t>
      </w:r>
      <w:r w:rsidR="00E114E7">
        <w:t>at [13]</w:t>
      </w:r>
      <w:r w:rsidR="00443CBF">
        <w:t>-</w:t>
      </w:r>
      <w:r w:rsidR="00E114E7">
        <w:t xml:space="preserve">[18] (Whitlam, </w:t>
      </w:r>
      <w:proofErr w:type="spellStart"/>
      <w:r w:rsidR="00E114E7">
        <w:t>Sundberg</w:t>
      </w:r>
      <w:proofErr w:type="spellEnd"/>
      <w:r w:rsidR="00443CBF">
        <w:t xml:space="preserve"> and</w:t>
      </w:r>
      <w:r w:rsidR="00E114E7">
        <w:t xml:space="preserve"> </w:t>
      </w:r>
      <w:proofErr w:type="spellStart"/>
      <w:r w:rsidR="00E114E7">
        <w:t>Dowsett</w:t>
      </w:r>
      <w:proofErr w:type="spellEnd"/>
      <w:r w:rsidR="00E114E7">
        <w:t xml:space="preserve"> JJ). She submits that the learned author of </w:t>
      </w:r>
      <w:r w:rsidR="00E114E7" w:rsidRPr="00276C7E">
        <w:rPr>
          <w:i/>
        </w:rPr>
        <w:t>Terrell on the Law of Patents</w:t>
      </w:r>
      <w:r w:rsidR="00E114E7" w:rsidRPr="00276C7E">
        <w:t xml:space="preserve"> (Sweet &amp; Maxwell, 8</w:t>
      </w:r>
      <w:r w:rsidR="00E114E7" w:rsidRPr="00276C7E">
        <w:rPr>
          <w:vertAlign w:val="superscript"/>
        </w:rPr>
        <w:t>th</w:t>
      </w:r>
      <w:r w:rsidR="00E114E7" w:rsidRPr="00276C7E">
        <w:t xml:space="preserve"> </w:t>
      </w:r>
      <w:proofErr w:type="spellStart"/>
      <w:r w:rsidR="00C30FED" w:rsidRPr="00276C7E">
        <w:t>e</w:t>
      </w:r>
      <w:r w:rsidR="00E114E7" w:rsidRPr="00276C7E">
        <w:t>d</w:t>
      </w:r>
      <w:proofErr w:type="spellEnd"/>
      <w:r w:rsidR="00E114E7" w:rsidRPr="00276C7E">
        <w:t>, 1934)</w:t>
      </w:r>
      <w:r w:rsidR="003F295C">
        <w:t xml:space="preserve"> (</w:t>
      </w:r>
      <w:r w:rsidR="003F295C" w:rsidRPr="00877ECB">
        <w:rPr>
          <w:b/>
          <w:i/>
        </w:rPr>
        <w:t>Terrell 8</w:t>
      </w:r>
      <w:r w:rsidR="003F295C" w:rsidRPr="00877ECB">
        <w:rPr>
          <w:b/>
          <w:i/>
          <w:vertAlign w:val="superscript"/>
        </w:rPr>
        <w:t>th</w:t>
      </w:r>
      <w:r w:rsidR="003F295C" w:rsidRPr="00877ECB">
        <w:rPr>
          <w:b/>
          <w:i/>
        </w:rPr>
        <w:t xml:space="preserve"> </w:t>
      </w:r>
      <w:proofErr w:type="spellStart"/>
      <w:r w:rsidR="003F295C" w:rsidRPr="00877ECB">
        <w:rPr>
          <w:b/>
          <w:i/>
        </w:rPr>
        <w:t>ed</w:t>
      </w:r>
      <w:proofErr w:type="spellEnd"/>
      <w:r w:rsidR="003F295C">
        <w:t>)</w:t>
      </w:r>
      <w:r w:rsidR="00E114E7">
        <w:t xml:space="preserve"> emphasised </w:t>
      </w:r>
      <w:r w:rsidR="00C30FED">
        <w:t xml:space="preserve">(at pp 18-20) </w:t>
      </w:r>
      <w:r w:rsidR="00E114E7">
        <w:t>that the question of whether the patentee is the true and first inventor is entirely separate from the question of whether the invention itself was new</w:t>
      </w:r>
      <w:r w:rsidR="00FC5485">
        <w:t>, the former</w:t>
      </w:r>
      <w:r>
        <w:t xml:space="preserve"> question</w:t>
      </w:r>
      <w:r w:rsidR="00FC5485">
        <w:t xml:space="preserve"> placing emphasis on the human inventor and his or her ingenuity. She contends that an analogy may be drawn between patent rights and other intellectual property rights such as copyright, </w:t>
      </w:r>
      <w:proofErr w:type="spellStart"/>
      <w:r w:rsidR="00FC5485">
        <w:t>trade marks</w:t>
      </w:r>
      <w:proofErr w:type="spellEnd"/>
      <w:r w:rsidR="00FC5485">
        <w:t xml:space="preserve"> and designs in respect of which the Commonwealth Parliament is given power by </w:t>
      </w:r>
      <w:r w:rsidR="00FC5485" w:rsidRPr="00276C7E">
        <w:t xml:space="preserve">s 51(xviii) of the </w:t>
      </w:r>
      <w:r w:rsidR="00FC5485" w:rsidRPr="00276C7E">
        <w:rPr>
          <w:i/>
        </w:rPr>
        <w:t>Constitution</w:t>
      </w:r>
      <w:r w:rsidR="00FC5485">
        <w:t xml:space="preserve">. Such rights are, she submits, intended to support innovation by rewarding </w:t>
      </w:r>
      <w:r w:rsidR="00FC5485" w:rsidRPr="003D033E">
        <w:t>human endeavour</w:t>
      </w:r>
      <w:r w:rsidR="00FC5485">
        <w:t xml:space="preserve"> by encouraging the making of inventions and the authorship of works. Since artificial intelligence is not a person, </w:t>
      </w:r>
      <w:r w:rsidR="00F601DC">
        <w:t xml:space="preserve">she submits that </w:t>
      </w:r>
      <w:r w:rsidR="00FC5485">
        <w:t xml:space="preserve">there is no question of encouragement to innovate. </w:t>
      </w:r>
    </w:p>
    <w:p w14:paraId="64B58CAA" w14:textId="5E770C0F" w:rsidR="00FC5485" w:rsidRDefault="00C1478E" w:rsidP="00A16452">
      <w:pPr>
        <w:pStyle w:val="ParaNumbering"/>
      </w:pPr>
      <w:r>
        <w:t>T</w:t>
      </w:r>
      <w:r w:rsidR="00052E3B">
        <w:t xml:space="preserve">he Commissioner submits that each of paragraphs (b), (c) and (d) in s 15(1) concern title to a patent for an invention made by the inventor referred to in paragraph (a), citing </w:t>
      </w:r>
      <w:r w:rsidR="00052E3B">
        <w:rPr>
          <w:i/>
        </w:rPr>
        <w:t>Stack</w:t>
      </w:r>
      <w:r w:rsidR="00052E3B">
        <w:t xml:space="preserve">, </w:t>
      </w:r>
      <w:r w:rsidR="00052E3B">
        <w:rPr>
          <w:i/>
        </w:rPr>
        <w:t>J</w:t>
      </w:r>
      <w:r w:rsidR="00A06F8F">
        <w:rPr>
          <w:i/>
        </w:rPr>
        <w:t>M</w:t>
      </w:r>
      <w:r w:rsidR="00052E3B">
        <w:rPr>
          <w:i/>
        </w:rPr>
        <w:t xml:space="preserve">VB Enterprises </w:t>
      </w:r>
      <w:r w:rsidR="00052E3B">
        <w:t xml:space="preserve">and </w:t>
      </w:r>
      <w:r w:rsidR="00052E3B" w:rsidRPr="00276C7E">
        <w:rPr>
          <w:i/>
        </w:rPr>
        <w:t xml:space="preserve">Vehicle Monitoring Systems Pty Ltd v SARB Management Group Pty Ltd </w:t>
      </w:r>
      <w:r w:rsidR="0029327A" w:rsidRPr="00276C7E">
        <w:t>[</w:t>
      </w:r>
      <w:r w:rsidR="00052E3B" w:rsidRPr="00276C7E">
        <w:t>2020</w:t>
      </w:r>
      <w:r w:rsidR="0029327A" w:rsidRPr="00276C7E">
        <w:t>] FCA 408;</w:t>
      </w:r>
      <w:r w:rsidR="00052E3B" w:rsidRPr="00276C7E">
        <w:t xml:space="preserve"> 150 IPR 216</w:t>
      </w:r>
      <w:r w:rsidR="00052E3B">
        <w:t xml:space="preserve"> at [236] (Burley J)</w:t>
      </w:r>
      <w:r>
        <w:t xml:space="preserve"> and </w:t>
      </w:r>
      <w:r w:rsidR="00C96116">
        <w:t xml:space="preserve">on appeal in </w:t>
      </w:r>
      <w:r w:rsidR="0029327A" w:rsidRPr="00276C7E">
        <w:rPr>
          <w:b/>
          <w:i/>
        </w:rPr>
        <w:t>Vehicle Monitoring Systems</w:t>
      </w:r>
      <w:r w:rsidR="0029327A" w:rsidRPr="00276C7E">
        <w:rPr>
          <w:i/>
        </w:rPr>
        <w:t xml:space="preserve"> Pty Ltd v SARB Management Group Pty Ltd</w:t>
      </w:r>
      <w:r w:rsidR="0029327A" w:rsidRPr="00276C7E">
        <w:t xml:space="preserve"> </w:t>
      </w:r>
      <w:r w:rsidRPr="00276C7E">
        <w:t>[2021] FCAFC 224</w:t>
      </w:r>
      <w:r>
        <w:t xml:space="preserve"> at [52] (Nicholas, Yates and O’Br</w:t>
      </w:r>
      <w:r w:rsidR="00C66BBB">
        <w:t>yan</w:t>
      </w:r>
      <w:r>
        <w:t xml:space="preserve"> JJ)</w:t>
      </w:r>
      <w:r w:rsidR="00052E3B">
        <w:t xml:space="preserve">. </w:t>
      </w:r>
      <w:r w:rsidR="002F2019">
        <w:t xml:space="preserve">In this way, she submits that paragraphs (b), (c) and (d) are not </w:t>
      </w:r>
      <w:proofErr w:type="gramStart"/>
      <w:r w:rsidR="002F2019">
        <w:rPr>
          <w:i/>
        </w:rPr>
        <w:t>sui</w:t>
      </w:r>
      <w:proofErr w:type="gramEnd"/>
      <w:r w:rsidR="002F2019">
        <w:rPr>
          <w:i/>
        </w:rPr>
        <w:t xml:space="preserve"> generis</w:t>
      </w:r>
      <w:r w:rsidR="002F2019">
        <w:t xml:space="preserve"> sources of entitlement but add persons who can otherwise claim title from the inventor. </w:t>
      </w:r>
      <w:r w:rsidR="00052E3B">
        <w:t xml:space="preserve">She submits that </w:t>
      </w:r>
      <w:r>
        <w:t xml:space="preserve">contrary to the finding of the primary judge at </w:t>
      </w:r>
      <w:proofErr w:type="gramStart"/>
      <w:r w:rsidR="002F2019">
        <w:t>J</w:t>
      </w:r>
      <w:r>
        <w:t>[</w:t>
      </w:r>
      <w:proofErr w:type="gramEnd"/>
      <w:r>
        <w:t xml:space="preserve">64], s 15(1)(a) clearly excludes a non-person such as an artificial intelligence from </w:t>
      </w:r>
      <w:r w:rsidR="00E95F35">
        <w:t>being the inventor for the purposes of s 15(1)</w:t>
      </w:r>
      <w:r>
        <w:t xml:space="preserve">. She </w:t>
      </w:r>
      <w:r>
        <w:lastRenderedPageBreak/>
        <w:t>submits that the primary judge erred in his construction of s 15</w:t>
      </w:r>
      <w:r w:rsidR="004D5E98">
        <w:t>(1</w:t>
      </w:r>
      <w:proofErr w:type="gramStart"/>
      <w:r w:rsidR="004D5E98">
        <w:t>)</w:t>
      </w:r>
      <w:r>
        <w:t>(</w:t>
      </w:r>
      <w:proofErr w:type="gramEnd"/>
      <w:r>
        <w:t>b) and s 15</w:t>
      </w:r>
      <w:r w:rsidR="004D5E98">
        <w:t>(1)</w:t>
      </w:r>
      <w:r>
        <w:t>(c) because</w:t>
      </w:r>
      <w:r w:rsidR="008857D3">
        <w:t>,</w:t>
      </w:r>
      <w:r>
        <w:t xml:space="preserve"> in each case</w:t>
      </w:r>
      <w:r w:rsidR="008857D3">
        <w:t>,</w:t>
      </w:r>
      <w:r>
        <w:t xml:space="preserve"> </w:t>
      </w:r>
      <w:r w:rsidR="002332E6">
        <w:t xml:space="preserve">determining </w:t>
      </w:r>
      <w:r>
        <w:t xml:space="preserve">entitlement to the grant of a patent </w:t>
      </w:r>
      <w:r w:rsidR="00204D53">
        <w:t xml:space="preserve">proceeds from the </w:t>
      </w:r>
      <w:r>
        <w:t xml:space="preserve">starting point </w:t>
      </w:r>
      <w:r w:rsidR="0045038B">
        <w:t xml:space="preserve">of </w:t>
      </w:r>
      <w:r w:rsidR="00C96116">
        <w:t>identif</w:t>
      </w:r>
      <w:r w:rsidR="0045038B">
        <w:t>ying</w:t>
      </w:r>
      <w:r w:rsidR="00C96116">
        <w:t xml:space="preserve"> a person as </w:t>
      </w:r>
      <w:r>
        <w:t xml:space="preserve">the inventor. </w:t>
      </w:r>
      <w:r w:rsidR="00B70FC0">
        <w:t>Further, i</w:t>
      </w:r>
      <w:r>
        <w:t>n the case of s 15(1</w:t>
      </w:r>
      <w:proofErr w:type="gramStart"/>
      <w:r>
        <w:t>)(</w:t>
      </w:r>
      <w:proofErr w:type="gramEnd"/>
      <w:r>
        <w:t>c), the Commissioner submits that it requires that title be derived “from the inventor”</w:t>
      </w:r>
      <w:r w:rsidR="0005001E">
        <w:t>, that inventor</w:t>
      </w:r>
      <w:r>
        <w:t xml:space="preserve"> </w:t>
      </w:r>
      <w:r w:rsidR="0005001E">
        <w:t xml:space="preserve">being </w:t>
      </w:r>
      <w:r>
        <w:t xml:space="preserve">the inventor </w:t>
      </w:r>
      <w:r w:rsidR="0005001E">
        <w:t xml:space="preserve">of </w:t>
      </w:r>
      <w:r>
        <w:t xml:space="preserve">s 15(1)(a), citing </w:t>
      </w:r>
      <w:proofErr w:type="spellStart"/>
      <w:r>
        <w:rPr>
          <w:i/>
        </w:rPr>
        <w:t>Thaler</w:t>
      </w:r>
      <w:proofErr w:type="spellEnd"/>
      <w:r>
        <w:rPr>
          <w:i/>
        </w:rPr>
        <w:t xml:space="preserve"> UK </w:t>
      </w:r>
      <w:r>
        <w:t>at [20]</w:t>
      </w:r>
      <w:r w:rsidR="00262D62">
        <w:t>-</w:t>
      </w:r>
      <w:r>
        <w:t>[</w:t>
      </w:r>
      <w:r w:rsidR="0098637B">
        <w:t>23]</w:t>
      </w:r>
      <w:r w:rsidR="00262D62">
        <w:t xml:space="preserve"> and the </w:t>
      </w:r>
      <w:r w:rsidR="006D48F0">
        <w:t xml:space="preserve">corresponding entitlement provisions in the </w:t>
      </w:r>
      <w:r w:rsidR="00B9617D">
        <w:rPr>
          <w:i/>
        </w:rPr>
        <w:t>Patents Act 1977</w:t>
      </w:r>
      <w:r w:rsidR="00B9617D">
        <w:t xml:space="preserve"> (UK)</w:t>
      </w:r>
      <w:r w:rsidR="00BD77C6">
        <w:t>.</w:t>
      </w:r>
      <w:r w:rsidR="0098637B">
        <w:t xml:space="preserve"> </w:t>
      </w:r>
      <w:r w:rsidR="007A36DB">
        <w:t xml:space="preserve">She submits </w:t>
      </w:r>
      <w:r w:rsidR="0098637B">
        <w:t xml:space="preserve">that it is not possible for Dr </w:t>
      </w:r>
      <w:proofErr w:type="spellStart"/>
      <w:r w:rsidR="0098637B">
        <w:t>Thaler</w:t>
      </w:r>
      <w:proofErr w:type="spellEnd"/>
      <w:r w:rsidR="0098637B">
        <w:t xml:space="preserve"> to “derive title to the invention” from DABUS in circumstances where no inventor</w:t>
      </w:r>
      <w:r w:rsidR="00E37B5E">
        <w:t>,</w:t>
      </w:r>
      <w:r w:rsidR="0098637B">
        <w:t xml:space="preserve"> other than the person in s 15(1</w:t>
      </w:r>
      <w:proofErr w:type="gramStart"/>
      <w:r w:rsidR="0098637B">
        <w:t>)(</w:t>
      </w:r>
      <w:proofErr w:type="gramEnd"/>
      <w:r w:rsidR="0098637B">
        <w:t>a)</w:t>
      </w:r>
      <w:r w:rsidR="00E37B5E">
        <w:t>,</w:t>
      </w:r>
      <w:r w:rsidR="0098637B">
        <w:t xml:space="preserve"> </w:t>
      </w:r>
      <w:r w:rsidR="00E37B5E">
        <w:t xml:space="preserve">is contemplated by the </w:t>
      </w:r>
      <w:r w:rsidR="00E37B5E" w:rsidRPr="00877ECB">
        <w:rPr>
          <w:i/>
        </w:rPr>
        <w:t>Patents Act</w:t>
      </w:r>
      <w:r w:rsidR="0098637B">
        <w:t xml:space="preserve">. </w:t>
      </w:r>
      <w:r w:rsidR="00C13556">
        <w:t>In this regard</w:t>
      </w:r>
      <w:r w:rsidR="00653401">
        <w:t>,</w:t>
      </w:r>
      <w:r w:rsidR="00E564F0">
        <w:t xml:space="preserve"> the Commissioner submits that the reference by the primary judge in his reasons to “possession of the invention” is inapposite, because that phrase doe</w:t>
      </w:r>
      <w:r w:rsidR="009F7D5D">
        <w:t>s not mean a property right, but</w:t>
      </w:r>
      <w:r w:rsidR="00E564F0">
        <w:t xml:space="preserve"> rather the conception of the invention in the mind of the inventor, citing </w:t>
      </w:r>
      <w:r w:rsidR="00E564F0" w:rsidRPr="00276C7E">
        <w:rPr>
          <w:b/>
          <w:i/>
        </w:rPr>
        <w:t>Dunlop</w:t>
      </w:r>
      <w:r w:rsidR="00E564F0" w:rsidRPr="00276C7E">
        <w:rPr>
          <w:i/>
        </w:rPr>
        <w:t xml:space="preserve"> v Cooper </w:t>
      </w:r>
      <w:r w:rsidR="00A16452" w:rsidRPr="00276C7E">
        <w:t>[1908] HCA 67;</w:t>
      </w:r>
      <w:r w:rsidR="00A16452" w:rsidRPr="00276C7E">
        <w:rPr>
          <w:i/>
        </w:rPr>
        <w:t xml:space="preserve"> </w:t>
      </w:r>
      <w:r w:rsidR="00E564F0" w:rsidRPr="00276C7E">
        <w:t>7 CLR 146</w:t>
      </w:r>
      <w:r w:rsidR="00E564F0">
        <w:t xml:space="preserve"> at 155</w:t>
      </w:r>
      <w:r w:rsidR="00AE34AC">
        <w:t>-</w:t>
      </w:r>
      <w:r w:rsidR="00E564F0">
        <w:t xml:space="preserve">156 </w:t>
      </w:r>
      <w:r w:rsidR="00AE34AC">
        <w:t>(</w:t>
      </w:r>
      <w:r w:rsidR="00E564F0">
        <w:t>Griffiths CJ</w:t>
      </w:r>
      <w:r w:rsidR="00AE34AC">
        <w:t>)</w:t>
      </w:r>
      <w:r w:rsidR="00E564F0">
        <w:t xml:space="preserve">. </w:t>
      </w:r>
    </w:p>
    <w:p w14:paraId="23E239B7" w14:textId="778115C3" w:rsidR="0098637B" w:rsidRDefault="0098637B" w:rsidP="00960AB4">
      <w:pPr>
        <w:pStyle w:val="ParaNumbering"/>
      </w:pPr>
      <w:r>
        <w:t xml:space="preserve">The Commissioner contends that the primary judge </w:t>
      </w:r>
      <w:r w:rsidR="0010095C">
        <w:t xml:space="preserve">erred in the emphasis that he </w:t>
      </w:r>
      <w:r>
        <w:t xml:space="preserve">placed on the objects clause in s 2A of the </w:t>
      </w:r>
      <w:r w:rsidRPr="00877ECB">
        <w:rPr>
          <w:i/>
        </w:rPr>
        <w:t>Patents Act</w:t>
      </w:r>
      <w:r>
        <w:t xml:space="preserve">, citing [14] of the </w:t>
      </w:r>
      <w:r w:rsidRPr="00276C7E">
        <w:t xml:space="preserve">Explanatory Memorandum to the </w:t>
      </w:r>
      <w:r w:rsidRPr="00276C7E">
        <w:rPr>
          <w:i/>
        </w:rPr>
        <w:t xml:space="preserve">Intellectual Property Laws Amendment (Productivity </w:t>
      </w:r>
      <w:r w:rsidR="006D58FE">
        <w:rPr>
          <w:i/>
        </w:rPr>
        <w:t>Commission Response Part 2 and O</w:t>
      </w:r>
      <w:r w:rsidRPr="00276C7E">
        <w:rPr>
          <w:i/>
        </w:rPr>
        <w:t>ther Measures) Bill 2019</w:t>
      </w:r>
      <w:r w:rsidR="002B4094" w:rsidRPr="00276C7E">
        <w:t xml:space="preserve"> (</w:t>
      </w:r>
      <w:proofErr w:type="spellStart"/>
      <w:r w:rsidR="002B4094" w:rsidRPr="00276C7E">
        <w:t>Cth</w:t>
      </w:r>
      <w:proofErr w:type="spellEnd"/>
      <w:r w:rsidR="002B4094" w:rsidRPr="00276C7E">
        <w:t>)</w:t>
      </w:r>
      <w:r w:rsidRPr="00276C7E">
        <w:t xml:space="preserve"> </w:t>
      </w:r>
      <w:r>
        <w:t xml:space="preserve">which stated that the object clause “does not alter the ordinary meaning of the legislation or overturn existing case law and established precedent”. She submits that the primary judge erred in finding that his construction is “consistent with the object of the Act to construe the term </w:t>
      </w:r>
      <w:r w:rsidR="00F9349F">
        <w:t>‘</w:t>
      </w:r>
      <w:r>
        <w:t>inventor</w:t>
      </w:r>
      <w:r w:rsidR="00F9349F">
        <w:t>’</w:t>
      </w:r>
      <w:r>
        <w:t xml:space="preserve"> in a manner that promotes technological innovation…” in circumstances</w:t>
      </w:r>
      <w:r w:rsidR="0010095C">
        <w:t>,</w:t>
      </w:r>
      <w:r>
        <w:t xml:space="preserve"> first</w:t>
      </w:r>
      <w:r w:rsidR="0010095C">
        <w:t>,</w:t>
      </w:r>
      <w:r>
        <w:t xml:space="preserve"> where there was no evidentiary support for that proposition and</w:t>
      </w:r>
      <w:r w:rsidR="0010095C">
        <w:t>,</w:t>
      </w:r>
      <w:r>
        <w:t xml:space="preserve"> secondly</w:t>
      </w:r>
      <w:r w:rsidR="0010095C">
        <w:t>,</w:t>
      </w:r>
      <w:r>
        <w:t xml:space="preserve"> where </w:t>
      </w:r>
      <w:r w:rsidR="00C96116">
        <w:t>his Honour approach</w:t>
      </w:r>
      <w:r w:rsidR="00F9349F">
        <w:t>ed</w:t>
      </w:r>
      <w:r w:rsidR="00C96116">
        <w:t xml:space="preserve"> the task of statutory construction by reference to</w:t>
      </w:r>
      <w:r w:rsidR="0015731D">
        <w:t>:</w:t>
      </w:r>
      <w:r w:rsidR="00C96116">
        <w:t xml:space="preserve"> </w:t>
      </w:r>
      <w:r w:rsidR="00F9349F">
        <w:t xml:space="preserve">(a) </w:t>
      </w:r>
      <w:r w:rsidR="00C96116">
        <w:t xml:space="preserve">what </w:t>
      </w:r>
      <w:r w:rsidR="00F9349F">
        <w:t xml:space="preserve">he </w:t>
      </w:r>
      <w:r w:rsidR="00C96116">
        <w:t>regarded as desirable policy</w:t>
      </w:r>
      <w:r w:rsidR="0015731D">
        <w:t>; (b)</w:t>
      </w:r>
      <w:r w:rsidR="00C96116">
        <w:t xml:space="preserve"> imputing that policy to the legislation</w:t>
      </w:r>
      <w:r w:rsidR="000807C3">
        <w:t>;</w:t>
      </w:r>
      <w:r w:rsidR="00C96116">
        <w:t xml:space="preserve"> and </w:t>
      </w:r>
      <w:r w:rsidR="000807C3">
        <w:t xml:space="preserve">(c) </w:t>
      </w:r>
      <w:r w:rsidR="00C96116">
        <w:t xml:space="preserve">then characterising that as the purpose of the legislation, citing </w:t>
      </w:r>
      <w:r w:rsidR="00C96116" w:rsidRPr="00276C7E">
        <w:rPr>
          <w:b/>
          <w:i/>
        </w:rPr>
        <w:t>Deal</w:t>
      </w:r>
      <w:r w:rsidR="00C96116" w:rsidRPr="00276C7E">
        <w:rPr>
          <w:i/>
        </w:rPr>
        <w:t xml:space="preserve"> v Father Pius </w:t>
      </w:r>
      <w:proofErr w:type="spellStart"/>
      <w:r w:rsidR="00C96116" w:rsidRPr="00276C7E">
        <w:rPr>
          <w:i/>
        </w:rPr>
        <w:t>Kodakkathanath</w:t>
      </w:r>
      <w:proofErr w:type="spellEnd"/>
      <w:r w:rsidR="00C96116" w:rsidRPr="00276C7E">
        <w:rPr>
          <w:i/>
        </w:rPr>
        <w:t xml:space="preserve"> </w:t>
      </w:r>
      <w:r w:rsidR="00960AB4" w:rsidRPr="00276C7E">
        <w:t>[2016] HCA 31; 258 CLR 281</w:t>
      </w:r>
      <w:r w:rsidR="004D5E98">
        <w:t xml:space="preserve"> at</w:t>
      </w:r>
      <w:r w:rsidR="00C96116">
        <w:t xml:space="preserve"> [37] (French CJ, </w:t>
      </w:r>
      <w:proofErr w:type="spellStart"/>
      <w:r w:rsidR="00C96116">
        <w:t>Kiefel</w:t>
      </w:r>
      <w:proofErr w:type="spellEnd"/>
      <w:r w:rsidR="00C96116">
        <w:t xml:space="preserve">, Bell and Nettle JJ). </w:t>
      </w:r>
    </w:p>
    <w:p w14:paraId="38CCE0CC" w14:textId="1DE011ED" w:rsidR="0010095C" w:rsidRDefault="00C1478E" w:rsidP="00E114E7">
      <w:pPr>
        <w:pStyle w:val="ParaNumbering"/>
      </w:pPr>
      <w:r>
        <w:t xml:space="preserve">The Commissioner </w:t>
      </w:r>
      <w:r w:rsidR="00C96116">
        <w:t>further drew on the preconditions for validity of a patent</w:t>
      </w:r>
      <w:r w:rsidR="005762D9">
        <w:t xml:space="preserve"> – </w:t>
      </w:r>
      <w:r w:rsidR="00C96116">
        <w:t>novelty, inventiveness and innovative</w:t>
      </w:r>
      <w:r w:rsidR="00F71706">
        <w:t>ness</w:t>
      </w:r>
      <w:r w:rsidR="005762D9">
        <w:t xml:space="preserve"> –</w:t>
      </w:r>
      <w:r w:rsidR="00C96116">
        <w:t xml:space="preserve"> to support a submission that </w:t>
      </w:r>
      <w:r w:rsidR="00F71706">
        <w:t xml:space="preserve">the assessment </w:t>
      </w:r>
      <w:r w:rsidR="00873BC6">
        <w:t xml:space="preserve">of </w:t>
      </w:r>
      <w:r w:rsidR="00C96116">
        <w:t xml:space="preserve">these </w:t>
      </w:r>
      <w:r w:rsidR="00F71706">
        <w:t xml:space="preserve">criteria </w:t>
      </w:r>
      <w:r w:rsidR="004952E6">
        <w:t xml:space="preserve">of validity </w:t>
      </w:r>
      <w:r w:rsidR="00141AAC">
        <w:t xml:space="preserve">is performed having regard to “a person skilled in the relevant art”, </w:t>
      </w:r>
      <w:r w:rsidR="00C96116">
        <w:t xml:space="preserve">a human person whose knowledge and skills are notionally applied </w:t>
      </w:r>
      <w:r w:rsidR="001A0295">
        <w:t>by the Court</w:t>
      </w:r>
      <w:r w:rsidR="00C96116">
        <w:t xml:space="preserve">. </w:t>
      </w:r>
      <w:r w:rsidR="00754407">
        <w:t>She submits that s</w:t>
      </w:r>
      <w:r w:rsidR="00C96116">
        <w:t>uch provisions cannot work sensibly if the inventor is not a human and</w:t>
      </w:r>
      <w:r w:rsidR="004C77FE">
        <w:t>, indeed,</w:t>
      </w:r>
      <w:r w:rsidR="00C96116">
        <w:t xml:space="preserve"> proceed on the basis that the inventor is </w:t>
      </w:r>
      <w:r w:rsidR="00CA6843">
        <w:t>a human</w:t>
      </w:r>
      <w:r w:rsidR="00C96116">
        <w:t xml:space="preserve">. </w:t>
      </w:r>
      <w:r w:rsidR="0010095C">
        <w:t>By contrast, the Commissioner contends that</w:t>
      </w:r>
      <w:r w:rsidR="0010095C" w:rsidRPr="00942FEA">
        <w:t xml:space="preserve"> </w:t>
      </w:r>
      <w:proofErr w:type="spellStart"/>
      <w:r w:rsidR="0010095C" w:rsidRPr="00276C7E">
        <w:t>ss</w:t>
      </w:r>
      <w:proofErr w:type="spellEnd"/>
      <w:r w:rsidR="0010095C" w:rsidRPr="00276C7E">
        <w:t xml:space="preserve"> 172 and 182</w:t>
      </w:r>
      <w:r w:rsidR="008F5338" w:rsidRPr="00276C7E">
        <w:t xml:space="preserve"> of the </w:t>
      </w:r>
      <w:r w:rsidR="008F5338" w:rsidRPr="00276C7E">
        <w:rPr>
          <w:i/>
        </w:rPr>
        <w:t>Patents Act</w:t>
      </w:r>
      <w:r w:rsidR="0010095C" w:rsidRPr="00276C7E">
        <w:t xml:space="preserve"> </w:t>
      </w:r>
      <w:r w:rsidR="0010095C">
        <w:t>lend support for the construction that an inventor must be a person and may not be an artificial intelligence machine</w:t>
      </w:r>
      <w:r w:rsidR="00535311">
        <w:t>. She submits</w:t>
      </w:r>
      <w:r w:rsidR="0010095C">
        <w:t xml:space="preserve"> that the primary judge erred in concluding otherwise at </w:t>
      </w:r>
      <w:proofErr w:type="gramStart"/>
      <w:r w:rsidR="005A0454">
        <w:t>J</w:t>
      </w:r>
      <w:r w:rsidR="0010095C">
        <w:t>[</w:t>
      </w:r>
      <w:proofErr w:type="gramEnd"/>
      <w:r w:rsidR="0010095C">
        <w:t>204]</w:t>
      </w:r>
      <w:r w:rsidR="002D1C0F">
        <w:t>-</w:t>
      </w:r>
      <w:r w:rsidR="0010095C">
        <w:t>[207]</w:t>
      </w:r>
      <w:r w:rsidR="005A0454">
        <w:t xml:space="preserve"> and J[210]-[212]</w:t>
      </w:r>
      <w:r w:rsidR="0010095C">
        <w:t>.</w:t>
      </w:r>
    </w:p>
    <w:p w14:paraId="26D8B83E" w14:textId="77777777" w:rsidR="0010095C" w:rsidRDefault="0010095C" w:rsidP="0010095C">
      <w:pPr>
        <w:pStyle w:val="Heading6"/>
      </w:pPr>
      <w:bookmarkStart w:id="38" w:name="_Ref100588675"/>
      <w:r>
        <w:lastRenderedPageBreak/>
        <w:t xml:space="preserve">Dr </w:t>
      </w:r>
      <w:proofErr w:type="spellStart"/>
      <w:r>
        <w:t>Thaler’s</w:t>
      </w:r>
      <w:proofErr w:type="spellEnd"/>
      <w:r>
        <w:t xml:space="preserve"> submissions</w:t>
      </w:r>
      <w:bookmarkEnd w:id="38"/>
    </w:p>
    <w:p w14:paraId="6320FCF6" w14:textId="77777777" w:rsidR="00660C7A" w:rsidRDefault="0010095C" w:rsidP="0010095C">
      <w:pPr>
        <w:pStyle w:val="ParaNumbering"/>
      </w:pPr>
      <w:r>
        <w:t xml:space="preserve">Dr </w:t>
      </w:r>
      <w:proofErr w:type="spellStart"/>
      <w:r>
        <w:t>Thaler</w:t>
      </w:r>
      <w:proofErr w:type="spellEnd"/>
      <w:r>
        <w:t xml:space="preserve"> </w:t>
      </w:r>
      <w:r w:rsidR="00873BC6">
        <w:t>support</w:t>
      </w:r>
      <w:r>
        <w:t xml:space="preserve">s the reasons of the primary judge. </w:t>
      </w:r>
    </w:p>
    <w:p w14:paraId="03954C6D" w14:textId="5256B7ED" w:rsidR="00660C7A" w:rsidRDefault="00660C7A" w:rsidP="0010095C">
      <w:pPr>
        <w:pStyle w:val="ParaNumbering"/>
      </w:pPr>
      <w:r>
        <w:t xml:space="preserve">In relation to the procedural point, Dr </w:t>
      </w:r>
      <w:proofErr w:type="spellStart"/>
      <w:r>
        <w:t>Thaler</w:t>
      </w:r>
      <w:proofErr w:type="spellEnd"/>
      <w:r>
        <w:t xml:space="preserve"> notes that the Commissioner does not submit that </w:t>
      </w:r>
      <w:proofErr w:type="spellStart"/>
      <w:r w:rsidR="00794FE1">
        <w:t>r</w:t>
      </w:r>
      <w:r>
        <w:t>eg</w:t>
      </w:r>
      <w:proofErr w:type="spellEnd"/>
      <w:r>
        <w:t xml:space="preserve"> </w:t>
      </w:r>
      <w:proofErr w:type="gramStart"/>
      <w:r>
        <w:t>3.2C(</w:t>
      </w:r>
      <w:proofErr w:type="gramEnd"/>
      <w:r>
        <w:t xml:space="preserve">2)(aa) independently supports the conclusion that the inventor must be a human. It follows, he submits, that the primary judge was correct to conclude that the inventor can be a non-human and that the </w:t>
      </w:r>
      <w:r w:rsidRPr="00877ECB">
        <w:rPr>
          <w:i/>
        </w:rPr>
        <w:t>Patents Act</w:t>
      </w:r>
      <w:r>
        <w:t xml:space="preserve"> does not mandate a human inventor. He submits separately</w:t>
      </w:r>
      <w:r w:rsidR="00653401">
        <w:t>,</w:t>
      </w:r>
      <w:r>
        <w:t xml:space="preserve"> that since he provided the name of the inventor, then consistent with the requirements of </w:t>
      </w:r>
      <w:proofErr w:type="spellStart"/>
      <w:r>
        <w:t>reg</w:t>
      </w:r>
      <w:proofErr w:type="spellEnd"/>
      <w:r>
        <w:t xml:space="preserve"> </w:t>
      </w:r>
      <w:proofErr w:type="gramStart"/>
      <w:r>
        <w:t>3.2C(</w:t>
      </w:r>
      <w:proofErr w:type="gramEnd"/>
      <w:r>
        <w:t xml:space="preserve">2)(aa), the Commissioner should have examined the request and specification to consider whether s 15 was complied with under </w:t>
      </w:r>
      <w:proofErr w:type="spellStart"/>
      <w:r w:rsidRPr="00276C7E">
        <w:t>reg</w:t>
      </w:r>
      <w:proofErr w:type="spellEnd"/>
      <w:r w:rsidRPr="00276C7E">
        <w:t xml:space="preserve"> 3.18(2)(a)(</w:t>
      </w:r>
      <w:proofErr w:type="spellStart"/>
      <w:r w:rsidRPr="00276C7E">
        <w:t>i</w:t>
      </w:r>
      <w:proofErr w:type="spellEnd"/>
      <w:r w:rsidRPr="00276C7E">
        <w:t>)</w:t>
      </w:r>
      <w:r>
        <w:t xml:space="preserve">. </w:t>
      </w:r>
      <w:r w:rsidR="004D5E98">
        <w:t xml:space="preserve">He submits that it was possession of the invention which entitled the applicant to a patent. In this regard, Dr </w:t>
      </w:r>
      <w:proofErr w:type="spellStart"/>
      <w:r w:rsidR="004D5E98">
        <w:t>Thaler</w:t>
      </w:r>
      <w:proofErr w:type="spellEnd"/>
      <w:r w:rsidR="004D5E98">
        <w:t xml:space="preserve"> draws support from the reasons of </w:t>
      </w:r>
      <w:proofErr w:type="spellStart"/>
      <w:r w:rsidR="004D5E98">
        <w:t>Birss</w:t>
      </w:r>
      <w:proofErr w:type="spellEnd"/>
      <w:r w:rsidR="004D5E98">
        <w:t xml:space="preserve"> J in </w:t>
      </w:r>
      <w:proofErr w:type="spellStart"/>
      <w:r w:rsidR="004D5E98" w:rsidRPr="004D5E98">
        <w:rPr>
          <w:i/>
        </w:rPr>
        <w:t>Thaler</w:t>
      </w:r>
      <w:proofErr w:type="spellEnd"/>
      <w:r w:rsidR="004D5E98" w:rsidRPr="004D5E98">
        <w:rPr>
          <w:i/>
        </w:rPr>
        <w:t xml:space="preserve"> UK</w:t>
      </w:r>
      <w:r w:rsidR="004D5E98">
        <w:t xml:space="preserve"> </w:t>
      </w:r>
      <w:r w:rsidR="004D5E98" w:rsidRPr="00C13556">
        <w:t>at [36]</w:t>
      </w:r>
      <w:r w:rsidR="00C47413">
        <w:t xml:space="preserve"> and</w:t>
      </w:r>
      <w:r w:rsidR="004D5E98" w:rsidRPr="00C13556">
        <w:t xml:space="preserve"> [89]</w:t>
      </w:r>
      <w:r w:rsidR="004D5E98">
        <w:t>, noting contrary comments by Arnold J at [130]</w:t>
      </w:r>
      <w:r w:rsidR="00C47413">
        <w:t>-</w:t>
      </w:r>
      <w:r w:rsidR="004D5E98">
        <w:t>[133].</w:t>
      </w:r>
    </w:p>
    <w:p w14:paraId="11A1AA06" w14:textId="6D3ED60F" w:rsidR="00BE5F5D" w:rsidRDefault="00660C7A" w:rsidP="0010095C">
      <w:pPr>
        <w:pStyle w:val="ParaNumbering"/>
      </w:pPr>
      <w:r>
        <w:t xml:space="preserve">On the substantive point, Dr </w:t>
      </w:r>
      <w:proofErr w:type="spellStart"/>
      <w:r>
        <w:t>Thaler</w:t>
      </w:r>
      <w:proofErr w:type="spellEnd"/>
      <w:r>
        <w:t xml:space="preserve"> </w:t>
      </w:r>
      <w:r w:rsidR="0010095C">
        <w:t>contends that the approach of the Commissioner bespeaks error because</w:t>
      </w:r>
      <w:r w:rsidR="00C47413">
        <w:t>,</w:t>
      </w:r>
      <w:r w:rsidR="0010095C">
        <w:t xml:space="preserve"> on her construction, an invention which is otherwise valid may nonetheless be </w:t>
      </w:r>
      <w:proofErr w:type="spellStart"/>
      <w:r w:rsidR="0010095C">
        <w:t>unpatentable</w:t>
      </w:r>
      <w:proofErr w:type="spellEnd"/>
      <w:r w:rsidR="0010095C">
        <w:t xml:space="preserve"> because it was invented by an artificial intelligence </w:t>
      </w:r>
      <w:r w:rsidR="00BE5F5D">
        <w:t>machine, not by a human. He accepts that the language of s 15 governs entitlement to the grant of a patent, but contests the proposition that s 15 governs the meaning of the word “inventor”</w:t>
      </w:r>
      <w:r w:rsidR="00AB41FD">
        <w:t>,</w:t>
      </w:r>
      <w:r w:rsidR="00BE5F5D">
        <w:t xml:space="preserve"> particularly as that term is not defined in the </w:t>
      </w:r>
      <w:r w:rsidR="00BE5F5D" w:rsidRPr="00877ECB">
        <w:rPr>
          <w:i/>
        </w:rPr>
        <w:t>Patents Act</w:t>
      </w:r>
      <w:r w:rsidR="00BE5F5D">
        <w:t>. He contends that s 15(1</w:t>
      </w:r>
      <w:proofErr w:type="gramStart"/>
      <w:r w:rsidR="00BE5F5D">
        <w:t>)(</w:t>
      </w:r>
      <w:proofErr w:type="gramEnd"/>
      <w:r w:rsidR="00BE5F5D">
        <w:t xml:space="preserve">b) or (c) </w:t>
      </w:r>
      <w:r w:rsidR="009F7D5D">
        <w:t xml:space="preserve">are alternatives to s 15(1)(a) and neither </w:t>
      </w:r>
      <w:r w:rsidR="00BE5F5D">
        <w:t>require the inventor from w</w:t>
      </w:r>
      <w:r w:rsidR="00873BC6">
        <w:t xml:space="preserve">hom the </w:t>
      </w:r>
      <w:r w:rsidR="00E26FE9">
        <w:t xml:space="preserve">patentee </w:t>
      </w:r>
      <w:r w:rsidR="00873BC6">
        <w:t xml:space="preserve">obtains title </w:t>
      </w:r>
      <w:r w:rsidR="00BE5F5D">
        <w:t xml:space="preserve">be a person. He submits that to succeed in this appeal, which relates to a formalities rejection rather than consideration of the actual facts going to the existence of Dr </w:t>
      </w:r>
      <w:proofErr w:type="spellStart"/>
      <w:r w:rsidR="00BE5F5D">
        <w:t>Thaler’s</w:t>
      </w:r>
      <w:proofErr w:type="spellEnd"/>
      <w:r w:rsidR="00BE5F5D">
        <w:t xml:space="preserve"> </w:t>
      </w:r>
      <w:r>
        <w:t>title, the Commissioner would n</w:t>
      </w:r>
      <w:r w:rsidR="00BE5F5D">
        <w:t xml:space="preserve">eed to show that there is no situation in which </w:t>
      </w:r>
      <w:r w:rsidR="00E26FE9">
        <w:t xml:space="preserve">Dr </w:t>
      </w:r>
      <w:proofErr w:type="spellStart"/>
      <w:r w:rsidR="00E26FE9">
        <w:t>Thaler</w:t>
      </w:r>
      <w:proofErr w:type="spellEnd"/>
      <w:r w:rsidR="00E26FE9">
        <w:t xml:space="preserve"> </w:t>
      </w:r>
      <w:r w:rsidR="00BE5F5D">
        <w:t>could qualify under either s 15(1</w:t>
      </w:r>
      <w:proofErr w:type="gramStart"/>
      <w:r w:rsidR="00BE5F5D">
        <w:t>)(</w:t>
      </w:r>
      <w:proofErr w:type="gramEnd"/>
      <w:r w:rsidR="00BE5F5D">
        <w:t>b) or s 15(1)(c)</w:t>
      </w:r>
      <w:r w:rsidR="00E26FE9">
        <w:t xml:space="preserve"> of the </w:t>
      </w:r>
      <w:r w:rsidR="00E26FE9" w:rsidRPr="00877ECB">
        <w:rPr>
          <w:i/>
        </w:rPr>
        <w:t>Patents Act</w:t>
      </w:r>
      <w:r w:rsidR="00BE5F5D">
        <w:t xml:space="preserve">. </w:t>
      </w:r>
    </w:p>
    <w:p w14:paraId="0204530B" w14:textId="7666E49A" w:rsidR="00BE5F5D" w:rsidRDefault="00BE5F5D" w:rsidP="0010095C">
      <w:pPr>
        <w:pStyle w:val="ParaNumbering"/>
      </w:pPr>
      <w:r>
        <w:t>In relation to s 15(1</w:t>
      </w:r>
      <w:proofErr w:type="gramStart"/>
      <w:r>
        <w:t>)(</w:t>
      </w:r>
      <w:proofErr w:type="gramEnd"/>
      <w:r>
        <w:t xml:space="preserve">b), Dr </w:t>
      </w:r>
      <w:proofErr w:type="spellStart"/>
      <w:r>
        <w:t>Thaler</w:t>
      </w:r>
      <w:proofErr w:type="spellEnd"/>
      <w:r>
        <w:t xml:space="preserve"> submits that entitlement can arise by agreement, </w:t>
      </w:r>
      <w:r w:rsidR="00E26FE9">
        <w:t xml:space="preserve">by </w:t>
      </w:r>
      <w:r>
        <w:t xml:space="preserve">conduct or informally, </w:t>
      </w:r>
      <w:r w:rsidR="00E26FE9">
        <w:t xml:space="preserve">or </w:t>
      </w:r>
      <w:r>
        <w:t xml:space="preserve">by operation of law. </w:t>
      </w:r>
      <w:r w:rsidR="00F421EE">
        <w:t>He submits that i</w:t>
      </w:r>
      <w:r w:rsidR="00C13556">
        <w:t xml:space="preserve">n the present case, Dr </w:t>
      </w:r>
      <w:proofErr w:type="spellStart"/>
      <w:r w:rsidR="00C13556">
        <w:t>Thaler</w:t>
      </w:r>
      <w:proofErr w:type="spellEnd"/>
      <w:r w:rsidR="00C13556">
        <w:t xml:space="preserve"> owns, programs and operates DAB</w:t>
      </w:r>
      <w:r w:rsidR="00660C7A">
        <w:t>U</w:t>
      </w:r>
      <w:r w:rsidR="00C13556">
        <w:t>S and</w:t>
      </w:r>
      <w:r w:rsidR="00F421EE">
        <w:t>,</w:t>
      </w:r>
      <w:r w:rsidR="00C13556">
        <w:t xml:space="preserve"> if another person stole and sought to patent DABUS’ invention, he would be entitled to an assignment of the patent, including under the law of equitable confidentiality. This, he submits, is consistent with the reasoning of the Court of Appeal in </w:t>
      </w:r>
      <w:proofErr w:type="spellStart"/>
      <w:r w:rsidR="00C13556">
        <w:rPr>
          <w:i/>
        </w:rPr>
        <w:t>Thaler</w:t>
      </w:r>
      <w:proofErr w:type="spellEnd"/>
      <w:r w:rsidR="00C13556">
        <w:rPr>
          <w:i/>
        </w:rPr>
        <w:t xml:space="preserve"> UK</w:t>
      </w:r>
      <w:r w:rsidR="00C13556">
        <w:t xml:space="preserve">. </w:t>
      </w:r>
    </w:p>
    <w:p w14:paraId="7AF27C93" w14:textId="72379F4C" w:rsidR="00E50704" w:rsidRDefault="00C13556" w:rsidP="00E50704">
      <w:pPr>
        <w:pStyle w:val="ParaNumbering"/>
      </w:pPr>
      <w:r>
        <w:t xml:space="preserve">In relation to s 15(1)(c), Dr </w:t>
      </w:r>
      <w:proofErr w:type="spellStart"/>
      <w:r>
        <w:t>Thaler</w:t>
      </w:r>
      <w:proofErr w:type="spellEnd"/>
      <w:r>
        <w:t xml:space="preserve"> contends that the concept of “derivation” is broader than “assignment” in s 15(1)(b) and means “received, obtained, got, gain or obtain or acquired”. </w:t>
      </w:r>
      <w:r w:rsidR="00DC110A">
        <w:t xml:space="preserve">Dr </w:t>
      </w:r>
      <w:proofErr w:type="spellStart"/>
      <w:r w:rsidR="00DC110A">
        <w:t>Thaler</w:t>
      </w:r>
      <w:proofErr w:type="spellEnd"/>
      <w:r w:rsidR="00DC110A">
        <w:t xml:space="preserve"> submits that it is c</w:t>
      </w:r>
      <w:r>
        <w:t>onsistent with</w:t>
      </w:r>
      <w:r w:rsidRPr="00276C7E">
        <w:t xml:space="preserve"> </w:t>
      </w:r>
      <w:r w:rsidRPr="00276C7E">
        <w:rPr>
          <w:i/>
        </w:rPr>
        <w:t>Blackstone’s Commentaries of the Laws of England</w:t>
      </w:r>
      <w:r w:rsidRPr="00276C7E">
        <w:t xml:space="preserve"> </w:t>
      </w:r>
      <w:r w:rsidR="00F421EE" w:rsidRPr="00276C7E">
        <w:lastRenderedPageBreak/>
        <w:t>(</w:t>
      </w:r>
      <w:r w:rsidRPr="00276C7E">
        <w:t xml:space="preserve">Clarendon Press, </w:t>
      </w:r>
      <w:r w:rsidR="00F421EE" w:rsidRPr="00276C7E">
        <w:t xml:space="preserve">Book 2, </w:t>
      </w:r>
      <w:r w:rsidRPr="00276C7E">
        <w:t>1766</w:t>
      </w:r>
      <w:r w:rsidR="00F421EE" w:rsidRPr="00276C7E">
        <w:t>)</w:t>
      </w:r>
      <w:r>
        <w:t xml:space="preserve"> at pp</w:t>
      </w:r>
      <w:r w:rsidR="009E48A6">
        <w:t xml:space="preserve"> </w:t>
      </w:r>
      <w:r>
        <w:t>405</w:t>
      </w:r>
      <w:r w:rsidR="00F2253B">
        <w:t>-</w:t>
      </w:r>
      <w:r>
        <w:t xml:space="preserve">407, that occupancy, or exclusive possession, of an unpatented invention </w:t>
      </w:r>
      <w:r w:rsidR="00E564F0">
        <w:t>is the foundation of ownership</w:t>
      </w:r>
      <w:r w:rsidR="00BC2793">
        <w:t xml:space="preserve">. He further submits </w:t>
      </w:r>
      <w:r w:rsidR="00E564F0">
        <w:t xml:space="preserve">that the significance of possession is recognised in the form of application for an invention, which require applicants to declare that they </w:t>
      </w:r>
      <w:r w:rsidR="00653401">
        <w:t xml:space="preserve">are </w:t>
      </w:r>
      <w:r w:rsidR="00E564F0">
        <w:t xml:space="preserve">in possession of the invention, citing, inter alia, </w:t>
      </w:r>
      <w:r w:rsidR="00E564F0">
        <w:rPr>
          <w:i/>
        </w:rPr>
        <w:t xml:space="preserve">Dunlop </w:t>
      </w:r>
      <w:r w:rsidR="00E564F0">
        <w:t xml:space="preserve">at 155. </w:t>
      </w:r>
    </w:p>
    <w:p w14:paraId="43A1FA5B" w14:textId="199D73C6" w:rsidR="00DC110A" w:rsidRDefault="00E564F0" w:rsidP="00E50704">
      <w:pPr>
        <w:pStyle w:val="ParaNumbering"/>
      </w:pPr>
      <w:r>
        <w:t xml:space="preserve">Dr </w:t>
      </w:r>
      <w:proofErr w:type="spellStart"/>
      <w:r>
        <w:t>Thaler</w:t>
      </w:r>
      <w:proofErr w:type="spellEnd"/>
      <w:r>
        <w:t xml:space="preserve"> submits that where the owner of the physical property</w:t>
      </w:r>
      <w:r w:rsidR="00653401">
        <w:t>,</w:t>
      </w:r>
      <w:r>
        <w:t xml:space="preserve"> in the form of an artificial intelligence machine</w:t>
      </w:r>
      <w:r w:rsidR="00653401">
        <w:t>,</w:t>
      </w:r>
      <w:r>
        <w:t xml:space="preserve"> also programmed and operated the machine, and the resulting invention was not published to anyone but the owner of the artificial intelligence </w:t>
      </w:r>
      <w:r w:rsidR="00DC110A">
        <w:t>machine, the Court should no</w:t>
      </w:r>
      <w:r>
        <w:t>t foreclose the argument that the owner “derives title to the new intangible”</w:t>
      </w:r>
      <w:r w:rsidR="00503EBF">
        <w:t>.</w:t>
      </w:r>
      <w:r>
        <w:t xml:space="preserve"> </w:t>
      </w:r>
      <w:r w:rsidR="00503EBF">
        <w:t xml:space="preserve">He </w:t>
      </w:r>
      <w:r>
        <w:t>submits that this factual question is for another day. For the present case</w:t>
      </w:r>
      <w:r w:rsidR="006F7FD0">
        <w:t>,</w:t>
      </w:r>
      <w:r>
        <w:t xml:space="preserve"> he submits that it is </w:t>
      </w:r>
      <w:r w:rsidR="00DC110A">
        <w:t>sufficient</w:t>
      </w:r>
      <w:r>
        <w:t xml:space="preserve"> that circumstances can be posited where the title can be derived from an existing tangible object. </w:t>
      </w:r>
    </w:p>
    <w:p w14:paraId="380E55A4" w14:textId="486F26B4" w:rsidR="00BE5F5D" w:rsidRDefault="00E564F0" w:rsidP="0010095C">
      <w:pPr>
        <w:pStyle w:val="ParaNumbering"/>
      </w:pPr>
      <w:r>
        <w:t xml:space="preserve">In this context Dr </w:t>
      </w:r>
      <w:proofErr w:type="spellStart"/>
      <w:r>
        <w:t>Thaler</w:t>
      </w:r>
      <w:proofErr w:type="spellEnd"/>
      <w:r>
        <w:t xml:space="preserve"> </w:t>
      </w:r>
      <w:r w:rsidR="00873BC6">
        <w:t>repeats his submission</w:t>
      </w:r>
      <w:r>
        <w:t xml:space="preserve"> that his ownership of the work produ</w:t>
      </w:r>
      <w:r w:rsidR="00DC110A">
        <w:t>c</w:t>
      </w:r>
      <w:r>
        <w:t>t of the artificial intelligence machine is analogous to the ownership of the progeny of animals, or to fruit and</w:t>
      </w:r>
      <w:r w:rsidR="00DC110A">
        <w:t xml:space="preserve"> crops, adopting the findings of</w:t>
      </w:r>
      <w:r>
        <w:t xml:space="preserve"> the primary judge at </w:t>
      </w:r>
      <w:proofErr w:type="gramStart"/>
      <w:r w:rsidR="00FF3502">
        <w:t>J</w:t>
      </w:r>
      <w:r>
        <w:t>[</w:t>
      </w:r>
      <w:proofErr w:type="gramEnd"/>
      <w:r>
        <w:t xml:space="preserve">167]. </w:t>
      </w:r>
    </w:p>
    <w:p w14:paraId="18F85397" w14:textId="26C7F700" w:rsidR="00DC110A" w:rsidRDefault="00E564F0" w:rsidP="0010095C">
      <w:pPr>
        <w:pStyle w:val="ParaNumbering"/>
      </w:pPr>
      <w:r>
        <w:t xml:space="preserve">Dr </w:t>
      </w:r>
      <w:proofErr w:type="spellStart"/>
      <w:r>
        <w:t>Thaler</w:t>
      </w:r>
      <w:proofErr w:type="spellEnd"/>
      <w:r>
        <w:t xml:space="preserve"> </w:t>
      </w:r>
      <w:r w:rsidR="00665D6F">
        <w:t xml:space="preserve">also </w:t>
      </w:r>
      <w:r>
        <w:t xml:space="preserve">submits that the resort by the primary judge to s 2A of the </w:t>
      </w:r>
      <w:r w:rsidRPr="00877ECB">
        <w:rPr>
          <w:i/>
        </w:rPr>
        <w:t>Patents Act</w:t>
      </w:r>
      <w:r>
        <w:t xml:space="preserve"> was orthodox</w:t>
      </w:r>
      <w:r w:rsidR="00660C7A">
        <w:t>. Furthermore, he submits that to the extent that the primary judge made findings that were not supported by any evidence</w:t>
      </w:r>
      <w:r w:rsidR="00DC110A">
        <w:t xml:space="preserve"> (at </w:t>
      </w:r>
      <w:proofErr w:type="gramStart"/>
      <w:r w:rsidR="00665D6F">
        <w:t>J</w:t>
      </w:r>
      <w:r w:rsidR="00DC110A">
        <w:t>[</w:t>
      </w:r>
      <w:proofErr w:type="gramEnd"/>
      <w:r w:rsidR="00660C7A">
        <w:t>20]</w:t>
      </w:r>
      <w:r w:rsidR="00665D6F">
        <w:t>-</w:t>
      </w:r>
      <w:r w:rsidR="00660C7A">
        <w:t xml:space="preserve">[28], </w:t>
      </w:r>
      <w:r w:rsidR="00665D6F">
        <w:t>J</w:t>
      </w:r>
      <w:r w:rsidR="00660C7A">
        <w:t>[41]</w:t>
      </w:r>
      <w:r w:rsidR="00665D6F">
        <w:t>-</w:t>
      </w:r>
      <w:r w:rsidR="00660C7A">
        <w:t xml:space="preserve">[42] and </w:t>
      </w:r>
      <w:r w:rsidR="00665D6F">
        <w:t>J</w:t>
      </w:r>
      <w:r w:rsidR="00660C7A">
        <w:t>[44]</w:t>
      </w:r>
      <w:r w:rsidR="00665D6F">
        <w:t>-</w:t>
      </w:r>
      <w:r w:rsidR="00660C7A">
        <w:t>[56] of his reasons</w:t>
      </w:r>
      <w:r w:rsidR="00DC110A">
        <w:t>)</w:t>
      </w:r>
      <w:r w:rsidR="00660C7A">
        <w:t xml:space="preserve">, those findings merely represented non-controversial background and did not form part of the </w:t>
      </w:r>
      <w:r w:rsidR="00660C7A" w:rsidRPr="00877ECB">
        <w:rPr>
          <w:i/>
        </w:rPr>
        <w:t xml:space="preserve">ratio </w:t>
      </w:r>
      <w:proofErr w:type="spellStart"/>
      <w:r w:rsidR="00660C7A" w:rsidRPr="00877ECB">
        <w:rPr>
          <w:i/>
        </w:rPr>
        <w:t>d</w:t>
      </w:r>
      <w:r w:rsidR="00DC110A" w:rsidRPr="00877ECB">
        <w:rPr>
          <w:i/>
        </w:rPr>
        <w:t>ecidendi</w:t>
      </w:r>
      <w:proofErr w:type="spellEnd"/>
      <w:r w:rsidR="00DC110A">
        <w:t xml:space="preserve"> </w:t>
      </w:r>
      <w:r w:rsidR="00660C7A">
        <w:t xml:space="preserve">of his decision. To the extent that the primary judge expressed views that factual matters supported his view on the fulfilment of the objects of the </w:t>
      </w:r>
      <w:r w:rsidR="002029C5" w:rsidRPr="00877ECB">
        <w:rPr>
          <w:i/>
        </w:rPr>
        <w:t xml:space="preserve">Patents </w:t>
      </w:r>
      <w:r w:rsidR="00660C7A" w:rsidRPr="00877ECB">
        <w:rPr>
          <w:i/>
        </w:rPr>
        <w:t>Act</w:t>
      </w:r>
      <w:r w:rsidR="00660C7A">
        <w:t xml:space="preserve">, Dr </w:t>
      </w:r>
      <w:proofErr w:type="spellStart"/>
      <w:r w:rsidR="00660C7A">
        <w:t>Thaler</w:t>
      </w:r>
      <w:proofErr w:type="spellEnd"/>
      <w:r w:rsidR="00660C7A">
        <w:t xml:space="preserve"> submits that those findings were immaterial</w:t>
      </w:r>
      <w:r w:rsidR="00DC110A">
        <w:t>,</w:t>
      </w:r>
      <w:r w:rsidR="00660C7A">
        <w:t xml:space="preserve"> because his Honour had expressed a view on the objects of the </w:t>
      </w:r>
      <w:r w:rsidR="00660C7A" w:rsidRPr="00877ECB">
        <w:rPr>
          <w:i/>
        </w:rPr>
        <w:t>Patents Act</w:t>
      </w:r>
      <w:r w:rsidR="00660C7A">
        <w:t xml:space="preserve"> before making reference to those materials.</w:t>
      </w:r>
    </w:p>
    <w:p w14:paraId="09AB87A0" w14:textId="395D42B2" w:rsidR="00DC110A" w:rsidRDefault="00DC110A" w:rsidP="0010095C">
      <w:pPr>
        <w:pStyle w:val="ParaNumbering"/>
      </w:pPr>
      <w:r>
        <w:t xml:space="preserve">Dr </w:t>
      </w:r>
      <w:proofErr w:type="spellStart"/>
      <w:r>
        <w:t>Thaler</w:t>
      </w:r>
      <w:proofErr w:type="spellEnd"/>
      <w:r>
        <w:t xml:space="preserve"> concludes by submitting that the ordinary meaning of “inventor” is an agent noun, where the inventor is the agent, whether person or machine, who invents. The meaning of “inventor”</w:t>
      </w:r>
      <w:r w:rsidR="00943676">
        <w:t xml:space="preserve">, as contended for by Dr </w:t>
      </w:r>
      <w:proofErr w:type="spellStart"/>
      <w:r w:rsidR="00943676">
        <w:t>Thaler</w:t>
      </w:r>
      <w:proofErr w:type="spellEnd"/>
      <w:r w:rsidR="00943676">
        <w:t>,</w:t>
      </w:r>
      <w:r>
        <w:t xml:space="preserve"> is open and is consistent with the object of the </w:t>
      </w:r>
      <w:r w:rsidRPr="00877ECB">
        <w:rPr>
          <w:i/>
        </w:rPr>
        <w:t>Patents Act</w:t>
      </w:r>
      <w:r>
        <w:t>.</w:t>
      </w:r>
    </w:p>
    <w:p w14:paraId="147EA858" w14:textId="77777777" w:rsidR="00DC110A" w:rsidRDefault="00DC110A" w:rsidP="00DC110A">
      <w:pPr>
        <w:pStyle w:val="Heading5"/>
      </w:pPr>
      <w:bookmarkStart w:id="39" w:name="_Ref100588676"/>
      <w:r>
        <w:t>CONSIDERATION</w:t>
      </w:r>
      <w:bookmarkEnd w:id="39"/>
    </w:p>
    <w:p w14:paraId="5A0CF9AE" w14:textId="5148AF36" w:rsidR="00380362" w:rsidRDefault="00DD204B" w:rsidP="00380362">
      <w:pPr>
        <w:pStyle w:val="ParaNumbering"/>
      </w:pPr>
      <w:r>
        <w:t>The immediate cause of the present dispute arises f</w:t>
      </w:r>
      <w:r w:rsidR="006D2C9D">
        <w:t xml:space="preserve">rom the Commissioner’s application of </w:t>
      </w:r>
      <w:proofErr w:type="spellStart"/>
      <w:r w:rsidR="006D2C9D" w:rsidRPr="00276C7E">
        <w:t>reg</w:t>
      </w:r>
      <w:proofErr w:type="spellEnd"/>
      <w:r w:rsidR="006D2C9D" w:rsidRPr="00276C7E">
        <w:t xml:space="preserve"> </w:t>
      </w:r>
      <w:proofErr w:type="gramStart"/>
      <w:r w:rsidR="006D2C9D" w:rsidRPr="00276C7E">
        <w:t>3.2C(</w:t>
      </w:r>
      <w:proofErr w:type="gramEnd"/>
      <w:r w:rsidR="006D2C9D" w:rsidRPr="00276C7E">
        <w:t>2)(aa)</w:t>
      </w:r>
      <w:r w:rsidR="00B25466">
        <w:t>,</w:t>
      </w:r>
      <w:r w:rsidR="002E6148">
        <w:t xml:space="preserve"> which requires an</w:t>
      </w:r>
      <w:r w:rsidR="006D2C9D">
        <w:t xml:space="preserve"> applicant </w:t>
      </w:r>
      <w:r w:rsidR="00F23789">
        <w:t xml:space="preserve">to </w:t>
      </w:r>
      <w:r w:rsidR="006D2C9D">
        <w:t xml:space="preserve">provide the name of the inventor of the invention to which </w:t>
      </w:r>
      <w:r w:rsidR="0015728C">
        <w:t xml:space="preserve">a patent </w:t>
      </w:r>
      <w:r w:rsidR="006D2C9D">
        <w:t>application relates. The Commissioner determined, in effect, that it was a legal impossibility that an artificial in</w:t>
      </w:r>
      <w:r w:rsidR="00AE7D25">
        <w:t>telligence machine could be such</w:t>
      </w:r>
      <w:r w:rsidR="006D2C9D">
        <w:t xml:space="preserve"> an inventor, with the </w:t>
      </w:r>
      <w:r w:rsidR="006D2C9D">
        <w:lastRenderedPageBreak/>
        <w:t xml:space="preserve">consequence that the application lapsed in accordance with </w:t>
      </w:r>
      <w:proofErr w:type="spellStart"/>
      <w:r w:rsidR="006D2C9D" w:rsidRPr="00276C7E">
        <w:t>reg</w:t>
      </w:r>
      <w:proofErr w:type="spellEnd"/>
      <w:r w:rsidR="006D2C9D" w:rsidRPr="00276C7E">
        <w:t xml:space="preserve"> </w:t>
      </w:r>
      <w:proofErr w:type="gramStart"/>
      <w:r w:rsidR="006D2C9D" w:rsidRPr="00276C7E">
        <w:t>3.2C(</w:t>
      </w:r>
      <w:proofErr w:type="gramEnd"/>
      <w:r w:rsidR="006D2C9D" w:rsidRPr="00276C7E">
        <w:t>5)</w:t>
      </w:r>
      <w:r w:rsidR="006D2C9D">
        <w:t xml:space="preserve">. </w:t>
      </w:r>
      <w:r w:rsidR="00E02884">
        <w:t xml:space="preserve">The primary judge took a different view. </w:t>
      </w:r>
    </w:p>
    <w:p w14:paraId="3ED36D84" w14:textId="4D8634F0" w:rsidR="00667AFC" w:rsidRDefault="00667AFC" w:rsidP="00380362">
      <w:pPr>
        <w:pStyle w:val="ParaNumbering"/>
      </w:pPr>
      <w:r>
        <w:t xml:space="preserve">Reg </w:t>
      </w:r>
      <w:proofErr w:type="gramStart"/>
      <w:r>
        <w:t>3.2C(</w:t>
      </w:r>
      <w:proofErr w:type="gramEnd"/>
      <w:r>
        <w:t>2)(aa) imposes an obligation upon the applicant</w:t>
      </w:r>
      <w:r w:rsidR="002E6148">
        <w:t>,</w:t>
      </w:r>
      <w:r>
        <w:t xml:space="preserve"> and </w:t>
      </w:r>
      <w:proofErr w:type="spellStart"/>
      <w:r w:rsidRPr="00276C7E">
        <w:t>reg</w:t>
      </w:r>
      <w:proofErr w:type="spellEnd"/>
      <w:r w:rsidRPr="00276C7E">
        <w:t xml:space="preserve"> 3.2C(4)</w:t>
      </w:r>
      <w:r>
        <w:t xml:space="preserve"> empowers the Commissioner to direct an applicant to</w:t>
      </w:r>
      <w:r w:rsidR="00FC5AB7">
        <w:t xml:space="preserve">, </w:t>
      </w:r>
      <w:r w:rsidR="00FC5AB7" w:rsidRPr="00877ECB">
        <w:rPr>
          <w:i/>
        </w:rPr>
        <w:t>inter alia</w:t>
      </w:r>
      <w:r w:rsidR="00FC5AB7">
        <w:t>,</w:t>
      </w:r>
      <w:r>
        <w:t xml:space="preserve"> </w:t>
      </w:r>
      <w:r w:rsidRPr="00877ECB">
        <w:t>provide</w:t>
      </w:r>
      <w:r w:rsidRPr="00FC5AB7">
        <w:t xml:space="preserve"> the </w:t>
      </w:r>
      <w:r w:rsidRPr="00877ECB">
        <w:t>name of the inventor of the invention to which the application relates</w:t>
      </w:r>
      <w:r>
        <w:t xml:space="preserve">. Where </w:t>
      </w:r>
      <w:r w:rsidR="00FC5AB7">
        <w:t>the applicant has not complied with</w:t>
      </w:r>
      <w:r w:rsidR="00BF3679">
        <w:t xml:space="preserve"> such a direction</w:t>
      </w:r>
      <w:r>
        <w:t xml:space="preserve"> within </w:t>
      </w:r>
      <w:r w:rsidR="00FC5AB7">
        <w:t xml:space="preserve">two </w:t>
      </w:r>
      <w:r>
        <w:t xml:space="preserve">months of the date of </w:t>
      </w:r>
      <w:r w:rsidR="00BF3679">
        <w:t xml:space="preserve">that </w:t>
      </w:r>
      <w:r>
        <w:t>direction, the application will lapse</w:t>
      </w:r>
      <w:r w:rsidR="0084290F">
        <w:t>:</w:t>
      </w:r>
      <w:r w:rsidRPr="00276C7E">
        <w:t xml:space="preserve"> </w:t>
      </w:r>
      <w:proofErr w:type="spellStart"/>
      <w:r w:rsidRPr="00276C7E">
        <w:t>reg</w:t>
      </w:r>
      <w:proofErr w:type="spellEnd"/>
      <w:r w:rsidRPr="00276C7E">
        <w:t xml:space="preserve"> </w:t>
      </w:r>
      <w:proofErr w:type="gramStart"/>
      <w:r w:rsidRPr="00276C7E">
        <w:t>3.2C(</w:t>
      </w:r>
      <w:proofErr w:type="gramEnd"/>
      <w:r w:rsidRPr="00276C7E">
        <w:t>5)</w:t>
      </w:r>
      <w:r>
        <w:t xml:space="preserve">. </w:t>
      </w:r>
    </w:p>
    <w:p w14:paraId="501D2A9B" w14:textId="226B44E7" w:rsidR="00AE7D25" w:rsidRDefault="006D2C9D" w:rsidP="00AE7D25">
      <w:pPr>
        <w:pStyle w:val="ParaNumbering"/>
      </w:pPr>
      <w:r>
        <w:t xml:space="preserve">The purpose of </w:t>
      </w:r>
      <w:proofErr w:type="spellStart"/>
      <w:r>
        <w:t>reg</w:t>
      </w:r>
      <w:proofErr w:type="spellEnd"/>
      <w:r>
        <w:t xml:space="preserve"> </w:t>
      </w:r>
      <w:proofErr w:type="gramStart"/>
      <w:r>
        <w:t>3.2C(</w:t>
      </w:r>
      <w:proofErr w:type="gramEnd"/>
      <w:r>
        <w:t xml:space="preserve">2)(aa) is set out in the </w:t>
      </w:r>
      <w:r w:rsidR="00AE7D25">
        <w:t xml:space="preserve">Explanatory </w:t>
      </w:r>
      <w:r w:rsidR="00C85819">
        <w:t xml:space="preserve">Statement </w:t>
      </w:r>
      <w:r w:rsidR="00AE7D25">
        <w:t xml:space="preserve">which provides that the name of the inventor of the invention </w:t>
      </w:r>
      <w:r w:rsidR="00AE7D25">
        <w:rPr>
          <w:sz w:val="22"/>
        </w:rPr>
        <w:t>“</w:t>
      </w:r>
      <w:r w:rsidR="00AE7D25" w:rsidRPr="00877ECB">
        <w:t xml:space="preserve">is required to ensure that </w:t>
      </w:r>
      <w:r w:rsidR="00AE7D25" w:rsidRPr="00CE27C8">
        <w:rPr>
          <w:i/>
        </w:rPr>
        <w:t xml:space="preserve">the </w:t>
      </w:r>
      <w:r w:rsidR="00AE7D25" w:rsidRPr="00877ECB">
        <w:rPr>
          <w:i/>
        </w:rPr>
        <w:t xml:space="preserve">entitlement of the </w:t>
      </w:r>
      <w:r w:rsidR="00CE27C8">
        <w:rPr>
          <w:i/>
        </w:rPr>
        <w:t>applicant</w:t>
      </w:r>
      <w:r w:rsidR="00CE27C8" w:rsidRPr="00877ECB">
        <w:rPr>
          <w:i/>
        </w:rPr>
        <w:t xml:space="preserve"> </w:t>
      </w:r>
      <w:r w:rsidR="00AE7D25" w:rsidRPr="00877ECB">
        <w:rPr>
          <w:i/>
        </w:rPr>
        <w:t>to be granted a patent</w:t>
      </w:r>
      <w:r w:rsidR="00AE7D25" w:rsidRPr="00CE27C8">
        <w:rPr>
          <w:i/>
        </w:rPr>
        <w:t xml:space="preserve"> is clear</w:t>
      </w:r>
      <w:r w:rsidR="00AE7D25">
        <w:t>”. The path to entitlement to</w:t>
      </w:r>
      <w:r w:rsidR="009F7D5D">
        <w:t xml:space="preserve"> the grant of</w:t>
      </w:r>
      <w:r w:rsidR="00AE7D25">
        <w:t xml:space="preserve"> a patent may be traced in the </w:t>
      </w:r>
      <w:r w:rsidR="00AE7D25" w:rsidRPr="00877ECB">
        <w:rPr>
          <w:i/>
        </w:rPr>
        <w:t>Patents Act</w:t>
      </w:r>
      <w:r w:rsidR="00AE7D25">
        <w:t xml:space="preserve"> and </w:t>
      </w:r>
      <w:r w:rsidR="00AE7D25" w:rsidRPr="00877ECB">
        <w:rPr>
          <w:i/>
        </w:rPr>
        <w:t>Regulations</w:t>
      </w:r>
      <w:r w:rsidR="00AE7D25">
        <w:t xml:space="preserve"> from the filing of an application onwards. Under</w:t>
      </w:r>
      <w:r w:rsidR="00AE7D25" w:rsidRPr="00276C7E">
        <w:t xml:space="preserve"> s 29(1)</w:t>
      </w:r>
      <w:r w:rsidR="00AE7D25">
        <w:t>, a person may apply for an invention by filing</w:t>
      </w:r>
      <w:r w:rsidR="00021A69">
        <w:t>, in accordance with the regulations,</w:t>
      </w:r>
      <w:r w:rsidR="00AE7D25">
        <w:t xml:space="preserve"> a patent request</w:t>
      </w:r>
      <w:r w:rsidR="003D3575">
        <w:t xml:space="preserve"> </w:t>
      </w:r>
      <w:r w:rsidR="00021A69">
        <w:t>and such other documents as are prescribed</w:t>
      </w:r>
      <w:r w:rsidR="00DE0F3A">
        <w:t>:</w:t>
      </w:r>
      <w:r w:rsidR="00AE7D25">
        <w:t xml:space="preserve"> s 29(1).</w:t>
      </w:r>
      <w:r w:rsidR="006101AB">
        <w:t xml:space="preserve"> </w:t>
      </w:r>
      <w:r w:rsidR="006101AB" w:rsidRPr="00276C7E">
        <w:t>Section 29(4A)</w:t>
      </w:r>
      <w:r w:rsidR="006101AB">
        <w:t xml:space="preserve"> sets out the requirements for a patent request in relation to a complete application.</w:t>
      </w:r>
      <w:r w:rsidR="00AE7D25">
        <w:t xml:space="preserve"> </w:t>
      </w:r>
      <w:r w:rsidR="00BB413E" w:rsidRPr="00276C7E">
        <w:t xml:space="preserve">Section </w:t>
      </w:r>
      <w:proofErr w:type="gramStart"/>
      <w:r w:rsidR="00BB413E" w:rsidRPr="00276C7E">
        <w:t>29A(</w:t>
      </w:r>
      <w:proofErr w:type="gramEnd"/>
      <w:r w:rsidR="00BB413E" w:rsidRPr="00276C7E">
        <w:t xml:space="preserve">1) </w:t>
      </w:r>
      <w:r w:rsidR="00BB413E">
        <w:t>provides that a</w:t>
      </w:r>
      <w:r w:rsidR="00AE7D25">
        <w:t xml:space="preserve"> PCT application is to be treated as a complete application. The person who is identified in a patent request as the person to whom the patent is to be granted, whether for a complete application or a PCT application</w:t>
      </w:r>
      <w:r w:rsidR="002E6148">
        <w:t>,</w:t>
      </w:r>
      <w:r w:rsidR="00AE7D25">
        <w:t xml:space="preserve"> is defined as the “nominated person”</w:t>
      </w:r>
      <w:r w:rsidR="005A227C">
        <w:t>:</w:t>
      </w:r>
      <w:r w:rsidR="00AE7D25">
        <w:t xml:space="preserve"> </w:t>
      </w:r>
      <w:r w:rsidR="000E4DF5" w:rsidRPr="00276C7E">
        <w:rPr>
          <w:i/>
        </w:rPr>
        <w:t>Patents Act</w:t>
      </w:r>
      <w:r w:rsidR="000E4DF5" w:rsidRPr="00276C7E">
        <w:t xml:space="preserve"> </w:t>
      </w:r>
      <w:proofErr w:type="spellStart"/>
      <w:r w:rsidR="000E4DF5" w:rsidRPr="00276C7E">
        <w:t>sch</w:t>
      </w:r>
      <w:proofErr w:type="spellEnd"/>
      <w:r w:rsidR="000E4DF5" w:rsidRPr="00276C7E">
        <w:t xml:space="preserve"> 1</w:t>
      </w:r>
      <w:r w:rsidR="00B802C5" w:rsidRPr="00276C7E">
        <w:t xml:space="preserve">; </w:t>
      </w:r>
      <w:r w:rsidR="006D73D2" w:rsidRPr="00276C7E">
        <w:rPr>
          <w:i/>
        </w:rPr>
        <w:t>Regulations</w:t>
      </w:r>
      <w:r w:rsidR="006D73D2" w:rsidRPr="00276C7E">
        <w:t xml:space="preserve"> </w:t>
      </w:r>
      <w:proofErr w:type="spellStart"/>
      <w:r w:rsidR="00AE7D25" w:rsidRPr="00276C7E">
        <w:t>reg</w:t>
      </w:r>
      <w:proofErr w:type="spellEnd"/>
      <w:r w:rsidR="00AE7D25" w:rsidRPr="00276C7E">
        <w:t xml:space="preserve"> </w:t>
      </w:r>
      <w:proofErr w:type="gramStart"/>
      <w:r w:rsidR="00AE7D25" w:rsidRPr="00276C7E">
        <w:t>3.1A(</w:t>
      </w:r>
      <w:proofErr w:type="gramEnd"/>
      <w:r w:rsidR="00AE7D25" w:rsidRPr="00276C7E">
        <w:t>2)</w:t>
      </w:r>
      <w:r w:rsidR="00AE7D25">
        <w:t xml:space="preserve">. </w:t>
      </w:r>
    </w:p>
    <w:p w14:paraId="09F86B5B" w14:textId="605B85ED" w:rsidR="00291F25" w:rsidRDefault="00B25466" w:rsidP="00AE7D25">
      <w:pPr>
        <w:pStyle w:val="ParaNumbering"/>
      </w:pPr>
      <w:r>
        <w:t xml:space="preserve">After an application has been filed, the Commissioner must, if requested to do so, examine it and report on whether, to the best of her knowledge, the patent request and specification complies with </w:t>
      </w:r>
      <w:r w:rsidR="00AB3C2F" w:rsidRPr="00877ECB">
        <w:rPr>
          <w:i/>
        </w:rPr>
        <w:t>inter alia</w:t>
      </w:r>
      <w:r>
        <w:t>, s 15 and</w:t>
      </w:r>
      <w:r w:rsidR="00C15837">
        <w:t>, for a PCT application,</w:t>
      </w:r>
      <w:r>
        <w:t xml:space="preserve"> </w:t>
      </w:r>
      <w:proofErr w:type="spellStart"/>
      <w:r w:rsidR="00274E9C" w:rsidRPr="00276C7E">
        <w:t>regs</w:t>
      </w:r>
      <w:proofErr w:type="spellEnd"/>
      <w:r w:rsidRPr="00276C7E">
        <w:t xml:space="preserve"> </w:t>
      </w:r>
      <w:proofErr w:type="gramStart"/>
      <w:r w:rsidRPr="00276C7E">
        <w:t>3.2C</w:t>
      </w:r>
      <w:r w:rsidR="00504945" w:rsidRPr="00276C7E">
        <w:t>(</w:t>
      </w:r>
      <w:proofErr w:type="gramEnd"/>
      <w:r w:rsidR="00504945" w:rsidRPr="00276C7E">
        <w:t>2)</w:t>
      </w:r>
      <w:r w:rsidRPr="00276C7E">
        <w:t xml:space="preserve"> and (3)</w:t>
      </w:r>
      <w:r w:rsidR="00C15837">
        <w:t>:</w:t>
      </w:r>
      <w:r>
        <w:t xml:space="preserve"> </w:t>
      </w:r>
      <w:r w:rsidR="00C15837" w:rsidRPr="00276C7E">
        <w:rPr>
          <w:i/>
        </w:rPr>
        <w:t>Patents Act</w:t>
      </w:r>
      <w:r w:rsidR="00C15837" w:rsidRPr="00276C7E">
        <w:t xml:space="preserve"> </w:t>
      </w:r>
      <w:r w:rsidRPr="00276C7E">
        <w:t>s</w:t>
      </w:r>
      <w:r w:rsidR="009E38E4" w:rsidRPr="00276C7E">
        <w:t> </w:t>
      </w:r>
      <w:r w:rsidRPr="00276C7E">
        <w:t>45</w:t>
      </w:r>
      <w:r w:rsidR="00C15837" w:rsidRPr="00276C7E">
        <w:t>;</w:t>
      </w:r>
      <w:r w:rsidRPr="00276C7E">
        <w:t xml:space="preserve"> </w:t>
      </w:r>
      <w:r w:rsidR="00942FEA" w:rsidRPr="00276C7E">
        <w:rPr>
          <w:i/>
        </w:rPr>
        <w:t xml:space="preserve">Regulations </w:t>
      </w:r>
      <w:proofErr w:type="spellStart"/>
      <w:r w:rsidRPr="00276C7E">
        <w:t>reg</w:t>
      </w:r>
      <w:r w:rsidR="00C15837" w:rsidRPr="00276C7E">
        <w:t>s</w:t>
      </w:r>
      <w:proofErr w:type="spellEnd"/>
      <w:r w:rsidRPr="00276C7E">
        <w:t xml:space="preserve"> 3.18(2)(a)(</w:t>
      </w:r>
      <w:proofErr w:type="spellStart"/>
      <w:r w:rsidRPr="00276C7E">
        <w:t>i</w:t>
      </w:r>
      <w:proofErr w:type="spellEnd"/>
      <w:r w:rsidRPr="00276C7E">
        <w:t xml:space="preserve">) and </w:t>
      </w:r>
      <w:r w:rsidR="00C15837" w:rsidRPr="00276C7E">
        <w:t>3.18(2)</w:t>
      </w:r>
      <w:r w:rsidRPr="00276C7E">
        <w:t>(f)</w:t>
      </w:r>
      <w:r>
        <w:t>. The Commissioner must accept a patent request if she is satisfied, on the balance of probabilities, as to the matters prescribed</w:t>
      </w:r>
      <w:r w:rsidR="009F7D5D">
        <w:t>,</w:t>
      </w:r>
      <w:r>
        <w:t xml:space="preserve"> and then notify the applicant of acceptance and publish a notice of acceptance in the </w:t>
      </w:r>
      <w:r w:rsidRPr="00877ECB">
        <w:t>Official Journal</w:t>
      </w:r>
      <w:r w:rsidR="00315A3A">
        <w:t>:</w:t>
      </w:r>
      <w:r>
        <w:t xml:space="preserve"> </w:t>
      </w:r>
      <w:proofErr w:type="spellStart"/>
      <w:r w:rsidRPr="00276C7E">
        <w:t>s</w:t>
      </w:r>
      <w:r w:rsidR="0020634B" w:rsidRPr="00276C7E">
        <w:t>s</w:t>
      </w:r>
      <w:proofErr w:type="spellEnd"/>
      <w:r w:rsidRPr="00211607">
        <w:t xml:space="preserve"> 49(1)</w:t>
      </w:r>
      <w:r w:rsidR="0020634B" w:rsidRPr="00D72A99">
        <w:t xml:space="preserve"> and</w:t>
      </w:r>
      <w:r w:rsidRPr="00D72A99">
        <w:t xml:space="preserve"> (5)</w:t>
      </w:r>
      <w:r>
        <w:t xml:space="preserve">. Thereafter, any person may oppose the grant of the patent on the grounds set out in s 59 which </w:t>
      </w:r>
      <w:r w:rsidR="005E1274">
        <w:t xml:space="preserve">relevantly </w:t>
      </w:r>
      <w:r>
        <w:t xml:space="preserve">include that the nominated person is not entitled to a grant of </w:t>
      </w:r>
      <w:r w:rsidR="00C473C1">
        <w:t xml:space="preserve">a </w:t>
      </w:r>
      <w:r>
        <w:t>patent</w:t>
      </w:r>
      <w:r w:rsidR="00C473C1">
        <w:t xml:space="preserve"> for the invention:</w:t>
      </w:r>
      <w:r>
        <w:t xml:space="preserve"> </w:t>
      </w:r>
      <w:proofErr w:type="spellStart"/>
      <w:r w:rsidRPr="00276C7E">
        <w:t>s</w:t>
      </w:r>
      <w:r w:rsidR="00C473C1" w:rsidRPr="00276C7E">
        <w:t>s</w:t>
      </w:r>
      <w:proofErr w:type="spellEnd"/>
      <w:r w:rsidRPr="00211607">
        <w:t xml:space="preserve"> 59(a</w:t>
      </w:r>
      <w:r w:rsidR="00731010" w:rsidRPr="00D72A99">
        <w:t>)</w:t>
      </w:r>
      <w:r w:rsidR="00C473C1" w:rsidRPr="00D72A99">
        <w:t xml:space="preserve"> and </w:t>
      </w:r>
      <w:r w:rsidRPr="00D72A99">
        <w:t>33</w:t>
      </w:r>
      <w:r>
        <w:t xml:space="preserve">. </w:t>
      </w:r>
    </w:p>
    <w:p w14:paraId="1A3B3CE1" w14:textId="2F69E2C1" w:rsidR="00291F25" w:rsidRDefault="00291F25" w:rsidP="00F93035">
      <w:pPr>
        <w:pStyle w:val="ParaNumbering"/>
      </w:pPr>
      <w:r>
        <w:t>Separately, pursuant to</w:t>
      </w:r>
      <w:r w:rsidRPr="00276C7E">
        <w:t xml:space="preserve"> s 36</w:t>
      </w:r>
      <w:r>
        <w:t>, the Commissioner may, if satisfied on the balance of probabilities that the nominated person is not an eligible person</w:t>
      </w:r>
      <w:r w:rsidR="00653401">
        <w:t>,</w:t>
      </w:r>
      <w:r>
        <w:t xml:space="preserve"> but that one or more applicants </w:t>
      </w:r>
      <w:r w:rsidR="002C36FE">
        <w:t xml:space="preserve">who have applied </w:t>
      </w:r>
      <w:r>
        <w:t>under that section are eligible persons, make a declaration to that effect</w:t>
      </w:r>
      <w:r w:rsidR="00320F40">
        <w:t>:</w:t>
      </w:r>
      <w:r w:rsidR="002E6148">
        <w:t xml:space="preserve"> </w:t>
      </w:r>
      <w:r w:rsidR="002E6148" w:rsidRPr="00276C7E">
        <w:t>s 36(1)</w:t>
      </w:r>
      <w:r w:rsidR="000C4ADE" w:rsidRPr="00276C7E">
        <w:t>(c)(</w:t>
      </w:r>
      <w:proofErr w:type="spellStart"/>
      <w:r w:rsidR="000C4ADE" w:rsidRPr="00276C7E">
        <w:t>i</w:t>
      </w:r>
      <w:proofErr w:type="spellEnd"/>
      <w:r w:rsidR="000C4ADE" w:rsidRPr="00276C7E">
        <w:t>)</w:t>
      </w:r>
      <w:r w:rsidR="002E6148">
        <w:t xml:space="preserve">. Such a declaration may be made </w:t>
      </w:r>
      <w:r>
        <w:t>whether or not the patent app</w:t>
      </w:r>
      <w:r w:rsidR="002E6148">
        <w:t>lication lapses or is withdrawn</w:t>
      </w:r>
      <w:r w:rsidR="00AD7200">
        <w:t>:</w:t>
      </w:r>
      <w:r>
        <w:t xml:space="preserve"> </w:t>
      </w:r>
      <w:r w:rsidRPr="00276C7E">
        <w:t>s 36(2)</w:t>
      </w:r>
      <w:r>
        <w:t xml:space="preserve">. </w:t>
      </w:r>
    </w:p>
    <w:p w14:paraId="6D9B4DC4" w14:textId="01F53B9C" w:rsidR="00B25466" w:rsidRDefault="00B25466" w:rsidP="00F93035">
      <w:pPr>
        <w:pStyle w:val="ParaNumbering"/>
      </w:pPr>
      <w:r>
        <w:lastRenderedPageBreak/>
        <w:t xml:space="preserve">Following grant, a patent may be revoked on the grounds set out in </w:t>
      </w:r>
      <w:r w:rsidRPr="00276C7E">
        <w:t>s 138(3)</w:t>
      </w:r>
      <w:r>
        <w:t xml:space="preserve"> which</w:t>
      </w:r>
      <w:r w:rsidR="00D57F95">
        <w:t xml:space="preserve"> relevantly</w:t>
      </w:r>
      <w:r>
        <w:t xml:space="preserve"> include that the patentee is not enti</w:t>
      </w:r>
      <w:r w:rsidR="00DE3A94">
        <w:t>tled to th</w:t>
      </w:r>
      <w:r w:rsidR="007F3A83">
        <w:t>e patent</w:t>
      </w:r>
      <w:r w:rsidR="006F38BC">
        <w:t>:</w:t>
      </w:r>
      <w:r w:rsidR="007F3A83">
        <w:t xml:space="preserve"> </w:t>
      </w:r>
      <w:r w:rsidR="007F3A83" w:rsidRPr="00276C7E">
        <w:t>s 138(3)(a)</w:t>
      </w:r>
      <w:r w:rsidR="006E6597">
        <w:t>,</w:t>
      </w:r>
      <w:r w:rsidR="007F3A83">
        <w:t xml:space="preserve"> as qualified by s 22A.</w:t>
      </w:r>
      <w:r>
        <w:t xml:space="preserve"> </w:t>
      </w:r>
    </w:p>
    <w:p w14:paraId="7A0343B9" w14:textId="6D965699" w:rsidR="00667AFC" w:rsidRDefault="00667AFC" w:rsidP="00F93035">
      <w:pPr>
        <w:pStyle w:val="ParaNumbering"/>
      </w:pPr>
      <w:r>
        <w:t xml:space="preserve">It is apparent that the mechanism supplied by </w:t>
      </w:r>
      <w:proofErr w:type="spellStart"/>
      <w:r>
        <w:t>reg</w:t>
      </w:r>
      <w:proofErr w:type="spellEnd"/>
      <w:r>
        <w:t xml:space="preserve"> 3.2C is intended to provide a </w:t>
      </w:r>
      <w:r w:rsidR="00E02884">
        <w:t xml:space="preserve">preliminary </w:t>
      </w:r>
      <w:r>
        <w:t>stage whereby the Commissioner may screen a</w:t>
      </w:r>
      <w:r w:rsidR="00B50E82">
        <w:t xml:space="preserve"> PCT</w:t>
      </w:r>
      <w:r>
        <w:t xml:space="preserve"> application for non-compliance with the requirements </w:t>
      </w:r>
      <w:r w:rsidR="00B50E82">
        <w:t>prescribed therein</w:t>
      </w:r>
      <w:r>
        <w:t xml:space="preserve">. </w:t>
      </w:r>
    </w:p>
    <w:p w14:paraId="6A4A0338" w14:textId="05B25059" w:rsidR="00565545" w:rsidRDefault="00E02884" w:rsidP="00AE7D25">
      <w:pPr>
        <w:pStyle w:val="ParaNumbering"/>
      </w:pPr>
      <w:r>
        <w:t>In reaching his conclusions</w:t>
      </w:r>
      <w:r w:rsidR="00D00D53">
        <w:t>,</w:t>
      </w:r>
      <w:r>
        <w:t xml:space="preserve"> t</w:t>
      </w:r>
      <w:r w:rsidR="00B25466">
        <w:t xml:space="preserve">he primary judge found that the Deputy Commissioner wrongly used </w:t>
      </w:r>
      <w:proofErr w:type="spellStart"/>
      <w:r w:rsidR="00B25466">
        <w:t>reg</w:t>
      </w:r>
      <w:proofErr w:type="spellEnd"/>
      <w:r w:rsidR="00B25466">
        <w:t xml:space="preserve"> </w:t>
      </w:r>
      <w:proofErr w:type="gramStart"/>
      <w:r w:rsidR="00B25466">
        <w:t>3.2C(</w:t>
      </w:r>
      <w:proofErr w:type="gramEnd"/>
      <w:r w:rsidR="00B25466">
        <w:t>2)(aa) “</w:t>
      </w:r>
      <w:r w:rsidR="00291F25" w:rsidRPr="00877ECB">
        <w:t xml:space="preserve">to </w:t>
      </w:r>
      <w:r w:rsidR="00B25466" w:rsidRPr="00877ECB">
        <w:t>summarily rule out a substantive consideration and examination of the application</w:t>
      </w:r>
      <w:r w:rsidR="00B25466">
        <w:t xml:space="preserve">” </w:t>
      </w:r>
      <w:r w:rsidR="003D642D">
        <w:t xml:space="preserve">on the apparent basis that nothing in the </w:t>
      </w:r>
      <w:r w:rsidR="003D642D" w:rsidRPr="00877ECB">
        <w:rPr>
          <w:i/>
        </w:rPr>
        <w:t>Patents Act</w:t>
      </w:r>
      <w:r w:rsidR="003D642D">
        <w:t xml:space="preserve"> would permit this course. On appeal, Dr </w:t>
      </w:r>
      <w:proofErr w:type="spellStart"/>
      <w:r w:rsidR="003D642D">
        <w:t>Thaler</w:t>
      </w:r>
      <w:proofErr w:type="spellEnd"/>
      <w:r w:rsidR="003D642D">
        <w:t xml:space="preserve"> supports that finding, arguing that because he provided the name of the inventor he satisfied the requirements of </w:t>
      </w:r>
      <w:proofErr w:type="spellStart"/>
      <w:r w:rsidR="003D642D">
        <w:t>reg</w:t>
      </w:r>
      <w:proofErr w:type="spellEnd"/>
      <w:r w:rsidR="003D642D">
        <w:t xml:space="preserve"> </w:t>
      </w:r>
      <w:proofErr w:type="gramStart"/>
      <w:r w:rsidR="003D642D">
        <w:t>3.2C(</w:t>
      </w:r>
      <w:proofErr w:type="gramEnd"/>
      <w:r w:rsidR="003D642D">
        <w:t xml:space="preserve">2)(aa) and the request and specification ought to have proceeded to examination in accordance with </w:t>
      </w:r>
      <w:proofErr w:type="spellStart"/>
      <w:r w:rsidR="003D642D" w:rsidRPr="00276C7E">
        <w:t>reg</w:t>
      </w:r>
      <w:proofErr w:type="spellEnd"/>
      <w:r w:rsidR="003D642D" w:rsidRPr="00276C7E">
        <w:t xml:space="preserve"> 3.18(2)(a)(</w:t>
      </w:r>
      <w:proofErr w:type="spellStart"/>
      <w:r w:rsidR="003D642D" w:rsidRPr="00D72A99">
        <w:t>i</w:t>
      </w:r>
      <w:proofErr w:type="spellEnd"/>
      <w:r w:rsidR="003D642D" w:rsidRPr="00D72A99">
        <w:t>)</w:t>
      </w:r>
      <w:r w:rsidR="003D642D">
        <w:t xml:space="preserve">. </w:t>
      </w:r>
    </w:p>
    <w:p w14:paraId="346A74A7" w14:textId="24C125F3" w:rsidR="00E02884" w:rsidRDefault="00380362" w:rsidP="00072272">
      <w:pPr>
        <w:pStyle w:val="ParaNumbering"/>
      </w:pPr>
      <w:r>
        <w:t xml:space="preserve">These complaints are directed to the procedural question of whether or not the Commissioner ought to have deferred consideration of the </w:t>
      </w:r>
      <w:r w:rsidR="000E5EA4">
        <w:t xml:space="preserve">present </w:t>
      </w:r>
      <w:r>
        <w:t xml:space="preserve">question until the examination phase. </w:t>
      </w:r>
      <w:r w:rsidR="00667AFC">
        <w:t xml:space="preserve">Nothing in the present appeal turns upon this point. The parties prepared and conducted the </w:t>
      </w:r>
      <w:r w:rsidR="00072272">
        <w:t xml:space="preserve">proceedings before the primary judge and also the </w:t>
      </w:r>
      <w:r w:rsidR="00667AFC">
        <w:t xml:space="preserve">appeal on the basis that the substantive issue to be determined is whether or not </w:t>
      </w:r>
      <w:r w:rsidR="00D21D31">
        <w:t>the primary judge was correct to find that, as an artificial intelligence machine, DABUS is capable of being an</w:t>
      </w:r>
      <w:r w:rsidR="00667AFC">
        <w:t xml:space="preserve"> “inventor” </w:t>
      </w:r>
      <w:r w:rsidR="00D21D31">
        <w:t xml:space="preserve">within </w:t>
      </w:r>
      <w:proofErr w:type="spellStart"/>
      <w:r w:rsidR="00D21D31">
        <w:t>reg</w:t>
      </w:r>
      <w:proofErr w:type="spellEnd"/>
      <w:r w:rsidR="00D21D31">
        <w:t xml:space="preserve"> </w:t>
      </w:r>
      <w:proofErr w:type="gramStart"/>
      <w:r w:rsidR="00D21D31">
        <w:t>3.2C(</w:t>
      </w:r>
      <w:proofErr w:type="gramEnd"/>
      <w:r w:rsidR="00D21D31">
        <w:t xml:space="preserve">2)(aa), as that term is understood in the scheme of the </w:t>
      </w:r>
      <w:r w:rsidR="00D21D31" w:rsidRPr="00877ECB">
        <w:rPr>
          <w:i/>
        </w:rPr>
        <w:t>Patents Act</w:t>
      </w:r>
      <w:r w:rsidR="00D21D31">
        <w:t xml:space="preserve"> </w:t>
      </w:r>
      <w:r w:rsidR="00E02884">
        <w:t xml:space="preserve">and </w:t>
      </w:r>
      <w:r w:rsidR="00E02884" w:rsidRPr="00877ECB">
        <w:rPr>
          <w:i/>
        </w:rPr>
        <w:t>Regulations</w:t>
      </w:r>
      <w:r w:rsidR="0003339B">
        <w:t>.</w:t>
      </w:r>
      <w:r w:rsidR="00E02884">
        <w:t xml:space="preserve"> </w:t>
      </w:r>
      <w:r w:rsidR="0003339B">
        <w:t>T</w:t>
      </w:r>
      <w:r w:rsidR="00E02884">
        <w:t xml:space="preserve">he primary judge decided that point. However, it is appropriate, having regard to the primary judge’s </w:t>
      </w:r>
      <w:r w:rsidR="00072272">
        <w:t>criticism</w:t>
      </w:r>
      <w:r w:rsidR="00E02884">
        <w:t xml:space="preserve">, </w:t>
      </w:r>
      <w:r w:rsidR="0048610F">
        <w:t xml:space="preserve">for us to note </w:t>
      </w:r>
      <w:r w:rsidR="00E02884">
        <w:t>that</w:t>
      </w:r>
      <w:r w:rsidR="00565545">
        <w:t xml:space="preserve"> </w:t>
      </w:r>
      <w:proofErr w:type="spellStart"/>
      <w:r w:rsidR="00565545">
        <w:t>reg</w:t>
      </w:r>
      <w:proofErr w:type="spellEnd"/>
      <w:r w:rsidR="00565545">
        <w:t xml:space="preserve"> </w:t>
      </w:r>
      <w:proofErr w:type="gramStart"/>
      <w:r w:rsidR="00565545">
        <w:t>3.2C(</w:t>
      </w:r>
      <w:proofErr w:type="gramEnd"/>
      <w:r w:rsidR="00565545">
        <w:t xml:space="preserve">2) requires that an applicant provide an address for service and the name of the inventor of the invention. Where, on its face, it is apparent that </w:t>
      </w:r>
      <w:r w:rsidR="00072272">
        <w:t xml:space="preserve">one or both of </w:t>
      </w:r>
      <w:r w:rsidR="00565545">
        <w:t xml:space="preserve">those requirements </w:t>
      </w:r>
      <w:r w:rsidR="00056A43">
        <w:t xml:space="preserve">has </w:t>
      </w:r>
      <w:r w:rsidR="00565545">
        <w:t xml:space="preserve">not </w:t>
      </w:r>
      <w:r w:rsidR="00056A43">
        <w:t xml:space="preserve">been </w:t>
      </w:r>
      <w:r w:rsidR="00565545">
        <w:t>satisfied</w:t>
      </w:r>
      <w:r w:rsidR="002D4279">
        <w:t xml:space="preserve"> following a direction given by the Commissioner under </w:t>
      </w:r>
      <w:proofErr w:type="spellStart"/>
      <w:r w:rsidR="002D4279">
        <w:t>reg</w:t>
      </w:r>
      <w:proofErr w:type="spellEnd"/>
      <w:r w:rsidR="002D4279">
        <w:t xml:space="preserve"> 3.2C(4)</w:t>
      </w:r>
      <w:r w:rsidR="00565545">
        <w:t xml:space="preserve">, the </w:t>
      </w:r>
      <w:r w:rsidR="00BB0A88">
        <w:t xml:space="preserve">application lapses under </w:t>
      </w:r>
      <w:proofErr w:type="spellStart"/>
      <w:r w:rsidR="0041483E">
        <w:t>reg</w:t>
      </w:r>
      <w:proofErr w:type="spellEnd"/>
      <w:r w:rsidR="0041483E">
        <w:t xml:space="preserve"> 3.2C(5) and </w:t>
      </w:r>
      <w:r w:rsidR="00936C01">
        <w:t xml:space="preserve">the </w:t>
      </w:r>
      <w:r w:rsidR="00565545">
        <w:t xml:space="preserve">Commissioner has no alternative </w:t>
      </w:r>
      <w:r w:rsidR="00E02884">
        <w:t xml:space="preserve">but to </w:t>
      </w:r>
      <w:r w:rsidR="00920378">
        <w:t xml:space="preserve">take the course </w:t>
      </w:r>
      <w:r w:rsidR="00565545">
        <w:t xml:space="preserve">under </w:t>
      </w:r>
      <w:proofErr w:type="spellStart"/>
      <w:r w:rsidR="009F7D5D">
        <w:t>reg</w:t>
      </w:r>
      <w:proofErr w:type="spellEnd"/>
      <w:r w:rsidR="009F7D5D">
        <w:t xml:space="preserve"> 3.2</w:t>
      </w:r>
      <w:r w:rsidR="00207423">
        <w:t>C</w:t>
      </w:r>
      <w:r w:rsidR="009F7D5D">
        <w:t>(</w:t>
      </w:r>
      <w:r w:rsidR="00920378">
        <w:t>6</w:t>
      </w:r>
      <w:r w:rsidR="009F7D5D">
        <w:t>). In the present case</w:t>
      </w:r>
      <w:r w:rsidR="00565545">
        <w:t xml:space="preserve"> t</w:t>
      </w:r>
      <w:r w:rsidR="00D21D31">
        <w:t>he Deputy Commissioner formed the view</w:t>
      </w:r>
      <w:r w:rsidR="003831B8">
        <w:t xml:space="preserve">, following a direction issued under </w:t>
      </w:r>
      <w:proofErr w:type="spellStart"/>
      <w:r w:rsidR="003831B8">
        <w:t>reg</w:t>
      </w:r>
      <w:proofErr w:type="spellEnd"/>
      <w:r w:rsidR="003831B8">
        <w:t xml:space="preserve"> </w:t>
      </w:r>
      <w:proofErr w:type="gramStart"/>
      <w:r w:rsidR="003831B8">
        <w:t>3.2C(</w:t>
      </w:r>
      <w:proofErr w:type="gramEnd"/>
      <w:r w:rsidR="003831B8">
        <w:t>4)</w:t>
      </w:r>
      <w:r w:rsidR="007D2F61">
        <w:t>,</w:t>
      </w:r>
      <w:r w:rsidR="00D21D31">
        <w:t xml:space="preserve"> that </w:t>
      </w:r>
      <w:r w:rsidR="009F7D5D">
        <w:t xml:space="preserve">the name provided did not comply </w:t>
      </w:r>
      <w:r w:rsidR="00532A6B">
        <w:t xml:space="preserve">with the requirements of </w:t>
      </w:r>
      <w:proofErr w:type="spellStart"/>
      <w:r w:rsidR="00532A6B">
        <w:t>reg</w:t>
      </w:r>
      <w:proofErr w:type="spellEnd"/>
      <w:r w:rsidR="00532A6B">
        <w:t xml:space="preserve"> 3.2C(2)(aa) </w:t>
      </w:r>
      <w:r w:rsidR="009F7D5D">
        <w:t>because it</w:t>
      </w:r>
      <w:r w:rsidR="00D21D31">
        <w:t xml:space="preserve"> was a legal impossibility</w:t>
      </w:r>
      <w:r w:rsidR="009F7D5D">
        <w:t xml:space="preserve"> for an artificial intelligence machine to be “</w:t>
      </w:r>
      <w:r w:rsidR="00800F1D">
        <w:t xml:space="preserve">the </w:t>
      </w:r>
      <w:r w:rsidR="009F7D5D">
        <w:t>inventor of an invention”. A</w:t>
      </w:r>
      <w:r w:rsidR="00D21D31">
        <w:t>ccordingly</w:t>
      </w:r>
      <w:r w:rsidR="001400F0">
        <w:t>,</w:t>
      </w:r>
      <w:r w:rsidR="009F7D5D">
        <w:t xml:space="preserve"> </w:t>
      </w:r>
      <w:r w:rsidR="009C2D0C">
        <w:t xml:space="preserve">he </w:t>
      </w:r>
      <w:r w:rsidR="00D21D31">
        <w:t xml:space="preserve">concluded that the requirements of </w:t>
      </w:r>
      <w:proofErr w:type="spellStart"/>
      <w:r w:rsidR="007D2F61">
        <w:t>reg</w:t>
      </w:r>
      <w:proofErr w:type="spellEnd"/>
      <w:r w:rsidR="007D2F61">
        <w:t xml:space="preserve"> 3.2C </w:t>
      </w:r>
      <w:r w:rsidR="00D21D31">
        <w:t xml:space="preserve">had not been met. </w:t>
      </w:r>
      <w:r w:rsidR="00565545">
        <w:t>This was an appropriate course to take.</w:t>
      </w:r>
    </w:p>
    <w:p w14:paraId="730A076D" w14:textId="3FBBAA25" w:rsidR="00E029E7" w:rsidRDefault="00E02884" w:rsidP="00565545">
      <w:pPr>
        <w:pStyle w:val="ParaNumbering"/>
      </w:pPr>
      <w:r>
        <w:t>We now</w:t>
      </w:r>
      <w:r w:rsidR="00E029E7">
        <w:t xml:space="preserve"> turn to the substantive question which is whether the primary judge erred in concluding that</w:t>
      </w:r>
      <w:r w:rsidR="009F7D5D">
        <w:t xml:space="preserve"> the Deputy Commissioner had erred in law by finding that</w:t>
      </w:r>
      <w:r w:rsidR="00E029E7">
        <w:t xml:space="preserve"> DABUS</w:t>
      </w:r>
      <w:r w:rsidR="002E6148">
        <w:t xml:space="preserve"> </w:t>
      </w:r>
      <w:r w:rsidR="00E029E7">
        <w:t xml:space="preserve">could not be “the inventor” pursuant to </w:t>
      </w:r>
      <w:proofErr w:type="spellStart"/>
      <w:r w:rsidR="00E029E7">
        <w:t>reg</w:t>
      </w:r>
      <w:proofErr w:type="spellEnd"/>
      <w:r w:rsidR="00E029E7">
        <w:t xml:space="preserve"> 3.2C(2)(aa). </w:t>
      </w:r>
    </w:p>
    <w:p w14:paraId="62CBDBDA" w14:textId="20D996EC" w:rsidR="00667AFC" w:rsidRDefault="00E029E7" w:rsidP="00E029E7">
      <w:pPr>
        <w:pStyle w:val="ParaNumbering"/>
      </w:pPr>
      <w:r>
        <w:lastRenderedPageBreak/>
        <w:t>The duty to resolve an issue of statutory construction is a text-based activity</w:t>
      </w:r>
      <w:r w:rsidR="007721A4">
        <w:t>.</w:t>
      </w:r>
      <w:r>
        <w:t xml:space="preserve"> </w:t>
      </w:r>
      <w:r w:rsidR="007721A4">
        <w:t xml:space="preserve">However, </w:t>
      </w:r>
      <w:r>
        <w:t>questions of policy can inform the Court’s task of statutory construction</w:t>
      </w:r>
      <w:r w:rsidR="00A06BBA">
        <w:t>:</w:t>
      </w:r>
      <w:r>
        <w:t xml:space="preserve"> </w:t>
      </w:r>
      <w:proofErr w:type="spellStart"/>
      <w:r w:rsidRPr="00276C7E">
        <w:rPr>
          <w:b/>
          <w:i/>
        </w:rPr>
        <w:t>Alphapharm</w:t>
      </w:r>
      <w:proofErr w:type="spellEnd"/>
      <w:r w:rsidRPr="00276C7E">
        <w:rPr>
          <w:b/>
          <w:i/>
        </w:rPr>
        <w:t xml:space="preserve"> </w:t>
      </w:r>
      <w:r w:rsidRPr="00276C7E">
        <w:rPr>
          <w:i/>
        </w:rPr>
        <w:t xml:space="preserve">Pty Ltd v </w:t>
      </w:r>
      <w:proofErr w:type="spellStart"/>
      <w:r w:rsidRPr="00276C7E">
        <w:rPr>
          <w:i/>
        </w:rPr>
        <w:t>Lundbeck</w:t>
      </w:r>
      <w:proofErr w:type="spellEnd"/>
      <w:r w:rsidRPr="00276C7E">
        <w:rPr>
          <w:i/>
        </w:rPr>
        <w:t xml:space="preserve"> A/S </w:t>
      </w:r>
      <w:r w:rsidRPr="00276C7E">
        <w:t>[2014] HCA 42; 2</w:t>
      </w:r>
      <w:r w:rsidRPr="00211607">
        <w:t>54 CLR 247</w:t>
      </w:r>
      <w:r>
        <w:t xml:space="preserve"> at [42] (</w:t>
      </w:r>
      <w:proofErr w:type="spellStart"/>
      <w:r>
        <w:t>Crennan</w:t>
      </w:r>
      <w:proofErr w:type="spellEnd"/>
      <w:r>
        <w:t xml:space="preserve">, Bell and </w:t>
      </w:r>
      <w:proofErr w:type="spellStart"/>
      <w:r>
        <w:t>Gageler</w:t>
      </w:r>
      <w:proofErr w:type="spellEnd"/>
      <w:r>
        <w:t xml:space="preserve"> JJ); </w:t>
      </w:r>
      <w:r w:rsidRPr="00276C7E">
        <w:rPr>
          <w:i/>
        </w:rPr>
        <w:t>Acts Interpretation Act</w:t>
      </w:r>
      <w:r w:rsidR="00947843" w:rsidRPr="00276C7E">
        <w:t xml:space="preserve"> s 15AA</w:t>
      </w:r>
      <w:r>
        <w:t xml:space="preserve">. It is accordingly appropriate to consider policy considerations, </w:t>
      </w:r>
      <w:r w:rsidR="00617495">
        <w:t xml:space="preserve">however the surest guide to ascertaining the legislative intention is </w:t>
      </w:r>
      <w:r>
        <w:t xml:space="preserve">the language </w:t>
      </w:r>
      <w:r w:rsidR="00440E16">
        <w:t xml:space="preserve">of the text </w:t>
      </w:r>
      <w:r>
        <w:t>of the legislation itself</w:t>
      </w:r>
      <w:r w:rsidR="00E03FE3">
        <w:t>:</w:t>
      </w:r>
      <w:r>
        <w:t xml:space="preserve"> </w:t>
      </w:r>
      <w:r w:rsidRPr="00276C7E">
        <w:rPr>
          <w:i/>
        </w:rPr>
        <w:t xml:space="preserve">Alcan (NT) Alumina Pty Ltd v Commissioner of Territory Revenue (Northern Territory) </w:t>
      </w:r>
      <w:r w:rsidRPr="00276C7E">
        <w:t>[2009] HCA 41; 239 CLR 27</w:t>
      </w:r>
      <w:r>
        <w:rPr>
          <w:i/>
        </w:rPr>
        <w:t xml:space="preserve"> </w:t>
      </w:r>
      <w:r>
        <w:t xml:space="preserve">at [47] (Hayne, </w:t>
      </w:r>
      <w:proofErr w:type="spellStart"/>
      <w:r>
        <w:t>Heydon</w:t>
      </w:r>
      <w:proofErr w:type="spellEnd"/>
      <w:r>
        <w:t xml:space="preserve">, </w:t>
      </w:r>
      <w:proofErr w:type="spellStart"/>
      <w:r>
        <w:t>Crennan</w:t>
      </w:r>
      <w:proofErr w:type="spellEnd"/>
      <w:r>
        <w:t xml:space="preserve"> and </w:t>
      </w:r>
      <w:proofErr w:type="spellStart"/>
      <w:r>
        <w:t>Kiefel</w:t>
      </w:r>
      <w:proofErr w:type="spellEnd"/>
      <w:r>
        <w:t xml:space="preserve"> JJ). </w:t>
      </w:r>
    </w:p>
    <w:p w14:paraId="41BE32C1" w14:textId="0E84F379" w:rsidR="002E6148" w:rsidRDefault="00EE0271" w:rsidP="002E6148">
      <w:pPr>
        <w:pStyle w:val="ParaNumbering"/>
      </w:pPr>
      <w:r>
        <w:t xml:space="preserve">Regulation </w:t>
      </w:r>
      <w:proofErr w:type="gramStart"/>
      <w:r>
        <w:t>3.2C(</w:t>
      </w:r>
      <w:proofErr w:type="gramEnd"/>
      <w:r>
        <w:t>2)</w:t>
      </w:r>
      <w:r w:rsidR="00317379">
        <w:t>(aa)</w:t>
      </w:r>
      <w:r>
        <w:t xml:space="preserve"> requires the applicant to “provide the name of the </w:t>
      </w:r>
      <w:r w:rsidRPr="009F7D5D">
        <w:rPr>
          <w:i/>
        </w:rPr>
        <w:t>inventor</w:t>
      </w:r>
      <w:r>
        <w:t xml:space="preserve"> of </w:t>
      </w:r>
      <w:r w:rsidRPr="009F7D5D">
        <w:rPr>
          <w:i/>
        </w:rPr>
        <w:t>the invention</w:t>
      </w:r>
      <w:r>
        <w:t xml:space="preserve">”. This, as the Explanatory </w:t>
      </w:r>
      <w:r w:rsidR="00317379">
        <w:t xml:space="preserve">Statement </w:t>
      </w:r>
      <w:r>
        <w:t xml:space="preserve">makes clear, is for the purpose of </w:t>
      </w:r>
      <w:r w:rsidRPr="00EE0271">
        <w:t xml:space="preserve">ensuring that the entitlement of the </w:t>
      </w:r>
      <w:r w:rsidR="00677C6F">
        <w:t>applicant</w:t>
      </w:r>
      <w:r w:rsidR="00677C6F" w:rsidRPr="00EE0271">
        <w:t xml:space="preserve"> </w:t>
      </w:r>
      <w:r w:rsidRPr="00EE0271">
        <w:t>to be granted a patent</w:t>
      </w:r>
      <w:r w:rsidR="00503560">
        <w:t xml:space="preserve"> is clear</w:t>
      </w:r>
      <w:r>
        <w:t>. The reference</w:t>
      </w:r>
      <w:r w:rsidR="00D00D53">
        <w:t xml:space="preserve"> in the Explanatory Statement</w:t>
      </w:r>
      <w:r>
        <w:t xml:space="preserve"> to “entitlement” picks up </w:t>
      </w:r>
      <w:r w:rsidR="00971D32">
        <w:t xml:space="preserve">that term as it is used in the </w:t>
      </w:r>
      <w:r w:rsidR="00971D32" w:rsidRPr="00877ECB">
        <w:rPr>
          <w:i/>
        </w:rPr>
        <w:t>Patents Act</w:t>
      </w:r>
      <w:r w:rsidR="00971D32">
        <w:t xml:space="preserve"> to refer to the eligibility of an applicant (or “nominated person”) to the grant of a patent</w:t>
      </w:r>
      <w:r w:rsidR="00BB2BC6">
        <w:t xml:space="preserve"> for an invention</w:t>
      </w:r>
      <w:r w:rsidR="008450B4">
        <w:t>:</w:t>
      </w:r>
      <w:r w:rsidR="00971D32">
        <w:t xml:space="preserve"> see </w:t>
      </w:r>
      <w:proofErr w:type="spellStart"/>
      <w:r w:rsidR="008450B4" w:rsidRPr="00276C7E">
        <w:t>ss</w:t>
      </w:r>
      <w:proofErr w:type="spellEnd"/>
      <w:r w:rsidR="008450B4" w:rsidRPr="00276C7E">
        <w:t xml:space="preserve"> </w:t>
      </w:r>
      <w:r w:rsidR="009A3410" w:rsidRPr="00276C7E">
        <w:t xml:space="preserve">33, 34, </w:t>
      </w:r>
      <w:r w:rsidR="00971D32" w:rsidRPr="00211607">
        <w:t>59</w:t>
      </w:r>
      <w:r w:rsidR="009A3410" w:rsidRPr="00D72A99">
        <w:t xml:space="preserve"> and</w:t>
      </w:r>
      <w:r w:rsidR="00971D32" w:rsidRPr="00D72A99">
        <w:t xml:space="preserve"> 113</w:t>
      </w:r>
      <w:r w:rsidR="00971D32">
        <w:t xml:space="preserve">. </w:t>
      </w:r>
      <w:r w:rsidR="006F5E03">
        <w:t xml:space="preserve">Accordingly, we would understand the reference in </w:t>
      </w:r>
      <w:proofErr w:type="spellStart"/>
      <w:r w:rsidR="006F5E03">
        <w:t>reg</w:t>
      </w:r>
      <w:proofErr w:type="spellEnd"/>
      <w:r w:rsidR="006F5E03">
        <w:t xml:space="preserve"> </w:t>
      </w:r>
      <w:proofErr w:type="gramStart"/>
      <w:r w:rsidR="006F5E03">
        <w:t>3.2C(</w:t>
      </w:r>
      <w:proofErr w:type="gramEnd"/>
      <w:r w:rsidR="006F5E03">
        <w:t xml:space="preserve">2)(aa) to “inventor” </w:t>
      </w:r>
      <w:r w:rsidR="002E6148">
        <w:t xml:space="preserve">and “invention” </w:t>
      </w:r>
      <w:r w:rsidR="006F5E03">
        <w:t xml:space="preserve">to </w:t>
      </w:r>
      <w:r w:rsidR="00653401">
        <w:t xml:space="preserve">have the same meaning as </w:t>
      </w:r>
      <w:r w:rsidR="002E6148">
        <w:t xml:space="preserve">used in the </w:t>
      </w:r>
      <w:r w:rsidR="002E6148" w:rsidRPr="00877ECB">
        <w:rPr>
          <w:i/>
        </w:rPr>
        <w:t>Patents Act</w:t>
      </w:r>
      <w:r w:rsidR="002E6148">
        <w:t>. “</w:t>
      </w:r>
      <w:r w:rsidR="00124097">
        <w:t>I</w:t>
      </w:r>
      <w:r w:rsidR="002E6148">
        <w:t xml:space="preserve">nventor” </w:t>
      </w:r>
      <w:r w:rsidR="00124097">
        <w:t xml:space="preserve">is used </w:t>
      </w:r>
      <w:r w:rsidR="00072272">
        <w:t xml:space="preserve">in the </w:t>
      </w:r>
      <w:r w:rsidR="00072272" w:rsidRPr="00877ECB">
        <w:rPr>
          <w:i/>
        </w:rPr>
        <w:t xml:space="preserve">Patents </w:t>
      </w:r>
      <w:r w:rsidR="008501AF" w:rsidRPr="00877ECB">
        <w:rPr>
          <w:i/>
        </w:rPr>
        <w:t>Act</w:t>
      </w:r>
      <w:r w:rsidR="008501AF">
        <w:t xml:space="preserve"> </w:t>
      </w:r>
      <w:r w:rsidR="002E6148">
        <w:t>in s</w:t>
      </w:r>
      <w:r w:rsidR="006F5E03">
        <w:t xml:space="preserve"> 15(1)</w:t>
      </w:r>
      <w:r w:rsidR="00691B5C">
        <w:t>.</w:t>
      </w:r>
      <w:r w:rsidR="006F5E03">
        <w:t xml:space="preserve"> </w:t>
      </w:r>
      <w:r w:rsidR="009F7D5D">
        <w:t xml:space="preserve">The “invention” </w:t>
      </w:r>
      <w:r w:rsidR="002E6148">
        <w:t xml:space="preserve">as that term is used in </w:t>
      </w:r>
      <w:proofErr w:type="spellStart"/>
      <w:r w:rsidR="002E6148">
        <w:t>reg</w:t>
      </w:r>
      <w:proofErr w:type="spellEnd"/>
      <w:r w:rsidR="002E6148">
        <w:t xml:space="preserve"> </w:t>
      </w:r>
      <w:proofErr w:type="gramStart"/>
      <w:r w:rsidR="002E6148">
        <w:t>3.2C(</w:t>
      </w:r>
      <w:proofErr w:type="gramEnd"/>
      <w:r w:rsidR="002E6148">
        <w:t xml:space="preserve">2)(aa) must be </w:t>
      </w:r>
      <w:r w:rsidR="009F7D5D">
        <w:t xml:space="preserve">the invention the subject of the patent application. </w:t>
      </w:r>
      <w:r w:rsidR="002E6148">
        <w:t xml:space="preserve"> </w:t>
      </w:r>
    </w:p>
    <w:p w14:paraId="38ADF9EB" w14:textId="3B48F2BD" w:rsidR="00214D92" w:rsidRDefault="00971D32" w:rsidP="00AD7FC1">
      <w:pPr>
        <w:pStyle w:val="ParaNumbering"/>
      </w:pPr>
      <w:r>
        <w:t>Section 15(1</w:t>
      </w:r>
      <w:proofErr w:type="gramStart"/>
      <w:r>
        <w:t>)(</w:t>
      </w:r>
      <w:proofErr w:type="gramEnd"/>
      <w:r>
        <w:t xml:space="preserve">a) provides that </w:t>
      </w:r>
      <w:r w:rsidR="00BB2BC6">
        <w:t>“</w:t>
      </w:r>
      <w:r w:rsidRPr="00877ECB">
        <w:t>a patent for</w:t>
      </w:r>
      <w:r w:rsidRPr="00971D32">
        <w:rPr>
          <w:i/>
        </w:rPr>
        <w:t xml:space="preserve"> </w:t>
      </w:r>
      <w:r w:rsidRPr="00877ECB">
        <w:rPr>
          <w:i/>
        </w:rPr>
        <w:t>an invention</w:t>
      </w:r>
      <w:r w:rsidRPr="00971D32">
        <w:rPr>
          <w:i/>
        </w:rPr>
        <w:t xml:space="preserve"> </w:t>
      </w:r>
      <w:r w:rsidRPr="00877ECB">
        <w:t>may only be granted to a person who is</w:t>
      </w:r>
      <w:r w:rsidRPr="00971D32">
        <w:rPr>
          <w:i/>
        </w:rPr>
        <w:t xml:space="preserve"> </w:t>
      </w:r>
      <w:r w:rsidRPr="00877ECB">
        <w:rPr>
          <w:i/>
        </w:rPr>
        <w:t>the inventor</w:t>
      </w:r>
      <w:r w:rsidR="00BB2BC6">
        <w:t>”</w:t>
      </w:r>
      <w:r>
        <w:t xml:space="preserve">. </w:t>
      </w:r>
      <w:r w:rsidR="00214D92">
        <w:t>The term “invention” is defined in the dictionary to mean:</w:t>
      </w:r>
    </w:p>
    <w:p w14:paraId="0559841E" w14:textId="77777777" w:rsidR="00214D92" w:rsidRDefault="00214D92" w:rsidP="00214D92">
      <w:pPr>
        <w:pStyle w:val="Quote1"/>
      </w:pPr>
      <w:r>
        <w:t xml:space="preserve"> …</w:t>
      </w:r>
      <w:r w:rsidRPr="00AD7FC1">
        <w:t>any manner of new manufacture the subject of letters patent and grant of privilege within section 6 of the Statute of Monopolies, and includes an alleged invention.</w:t>
      </w:r>
    </w:p>
    <w:p w14:paraId="562E1AE9" w14:textId="4244EC40" w:rsidR="005C3A0E" w:rsidRDefault="005C3A0E" w:rsidP="00D00D53">
      <w:pPr>
        <w:pStyle w:val="ParaNumbering"/>
      </w:pPr>
      <w:r w:rsidRPr="00276C7E">
        <w:t>Section 6</w:t>
      </w:r>
      <w:r>
        <w:t xml:space="preserve"> provided an exception to the prohibition on monopolies </w:t>
      </w:r>
      <w:r w:rsidR="00D00D53">
        <w:t>for the term of 14 years “</w:t>
      </w:r>
      <w:r w:rsidR="00D00D53" w:rsidRPr="00D00D53">
        <w:t xml:space="preserve">of the sole working or making of any manner of new Manufactures within this Realm, </w:t>
      </w:r>
      <w:r w:rsidR="00D00D53" w:rsidRPr="00877ECB">
        <w:rPr>
          <w:i/>
        </w:rPr>
        <w:t>to the true and first Inventor and Inventors of such Manufactures</w:t>
      </w:r>
      <w:r w:rsidR="00D00D53" w:rsidRPr="00D00D53">
        <w:t>, which others at the time of making such Letters Patents and Grants shall not use</w:t>
      </w:r>
      <w:r w:rsidR="00D00D53">
        <w:t>”</w:t>
      </w:r>
      <w:r>
        <w:t>.</w:t>
      </w:r>
    </w:p>
    <w:p w14:paraId="41CB3655" w14:textId="01B907E1" w:rsidR="005C3A0E" w:rsidRDefault="005C3A0E" w:rsidP="005C3A0E">
      <w:pPr>
        <w:pStyle w:val="ParaNumbering"/>
      </w:pPr>
      <w:r w:rsidRPr="000D2BFB">
        <w:t xml:space="preserve">In </w:t>
      </w:r>
      <w:r w:rsidRPr="00276C7E">
        <w:rPr>
          <w:i/>
        </w:rPr>
        <w:t xml:space="preserve">Terrell </w:t>
      </w:r>
      <w:r w:rsidR="003F295C">
        <w:rPr>
          <w:i/>
        </w:rPr>
        <w:t>8</w:t>
      </w:r>
      <w:r w:rsidR="003F295C" w:rsidRPr="003D033E">
        <w:rPr>
          <w:i/>
          <w:vertAlign w:val="superscript"/>
        </w:rPr>
        <w:t>th</w:t>
      </w:r>
      <w:r w:rsidR="003F295C">
        <w:rPr>
          <w:i/>
        </w:rPr>
        <w:t xml:space="preserve"> </w:t>
      </w:r>
      <w:proofErr w:type="spellStart"/>
      <w:proofErr w:type="gramStart"/>
      <w:r w:rsidR="003F295C">
        <w:rPr>
          <w:i/>
        </w:rPr>
        <w:t>ed</w:t>
      </w:r>
      <w:proofErr w:type="spellEnd"/>
      <w:proofErr w:type="gramEnd"/>
      <w:r>
        <w:t xml:space="preserve"> </w:t>
      </w:r>
      <w:r w:rsidRPr="000D2BFB">
        <w:t>there is discu</w:t>
      </w:r>
      <w:r w:rsidRPr="00EB47FC">
        <w:t xml:space="preserve">ssion </w:t>
      </w:r>
      <w:r w:rsidR="00613E46">
        <w:t>(at pp</w:t>
      </w:r>
      <w:r w:rsidR="00F25C5D" w:rsidRPr="00EB47FC">
        <w:t xml:space="preserve"> 13-22) </w:t>
      </w:r>
      <w:r w:rsidRPr="00EB47FC">
        <w:t>of th</w:t>
      </w:r>
      <w:r w:rsidRPr="000D2BFB">
        <w:t xml:space="preserve">e meaning of the expression “true and first inventor” in s 6 of the </w:t>
      </w:r>
      <w:r w:rsidRPr="00877ECB">
        <w:rPr>
          <w:i/>
        </w:rPr>
        <w:t>Statute of Monopolies</w:t>
      </w:r>
      <w:r w:rsidRPr="000D2BFB">
        <w:t xml:space="preserve"> and equivalent terms in later legislation.</w:t>
      </w:r>
      <w:r>
        <w:t xml:space="preserve"> The learned author refer</w:t>
      </w:r>
      <w:r w:rsidR="005B6D7D">
        <w:t>s</w:t>
      </w:r>
      <w:r>
        <w:t xml:space="preserve"> </w:t>
      </w:r>
      <w:r w:rsidR="005B6D7D">
        <w:t>(</w:t>
      </w:r>
      <w:r>
        <w:t xml:space="preserve">at </w:t>
      </w:r>
      <w:r w:rsidR="00ED00BE">
        <w:t>pp</w:t>
      </w:r>
      <w:r w:rsidR="005B6D7D">
        <w:t xml:space="preserve"> </w:t>
      </w:r>
      <w:r>
        <w:t>18</w:t>
      </w:r>
      <w:r w:rsidR="006139B0">
        <w:t>-</w:t>
      </w:r>
      <w:r>
        <w:t>19</w:t>
      </w:r>
      <w:r w:rsidR="005B6D7D">
        <w:t>)</w:t>
      </w:r>
      <w:r>
        <w:t xml:space="preserve"> to the rationale underlying the identification of such a person or persons:</w:t>
      </w:r>
    </w:p>
    <w:p w14:paraId="2BF044FB" w14:textId="6F9BB84C" w:rsidR="005C3A0E" w:rsidRDefault="005C3A0E" w:rsidP="005C3A0E">
      <w:pPr>
        <w:pStyle w:val="Quote1"/>
      </w:pPr>
      <w:r w:rsidRPr="000D2BFB">
        <w:t xml:space="preserve">In </w:t>
      </w:r>
      <w:r w:rsidRPr="000D2BFB">
        <w:rPr>
          <w:i/>
        </w:rPr>
        <w:t>Cornish v Keene</w:t>
      </w:r>
      <w:r w:rsidRPr="000D2BFB">
        <w:t xml:space="preserve"> (</w:t>
      </w:r>
      <w:r w:rsidR="006139B0">
        <w:t>[</w:t>
      </w:r>
      <w:r w:rsidR="00D00D53">
        <w:t>1835</w:t>
      </w:r>
      <w:r w:rsidR="006139B0">
        <w:t>]</w:t>
      </w:r>
      <w:r w:rsidR="00D00D53">
        <w:t xml:space="preserve"> </w:t>
      </w:r>
      <w:r w:rsidRPr="000D2BFB">
        <w:t>1 WPC 501 at 507), Tindal CJ said:  ‘Sometimes it is a material question to determine whether the party who got the patent was the real and original inventor or not</w:t>
      </w:r>
      <w:r w:rsidRPr="000D2BFB">
        <w:rPr>
          <w:i/>
        </w:rPr>
        <w:t xml:space="preserve">; because these patents are granted as a reward, not only for the benefit conferred upon the public by the discovery, but also to the ingenuity of the </w:t>
      </w:r>
      <w:r w:rsidRPr="000D2BFB">
        <w:rPr>
          <w:i/>
        </w:rPr>
        <w:lastRenderedPageBreak/>
        <w:t>first inventor;</w:t>
      </w:r>
      <w:r w:rsidRPr="000D2BFB">
        <w:t xml:space="preserve"> and although it is proved that it is a new discovery, so far as the world is concerned, yet if anybody is able to show that although that (</w:t>
      </w:r>
      <w:proofErr w:type="spellStart"/>
      <w:r w:rsidRPr="000D2BFB">
        <w:t>ie</w:t>
      </w:r>
      <w:proofErr w:type="spellEnd"/>
      <w:r w:rsidRPr="000D2BFB">
        <w:t xml:space="preserve"> the publication to the world) was new</w:t>
      </w:r>
      <w:r w:rsidR="000C32BD">
        <w:t xml:space="preserve"> </w:t>
      </w:r>
      <w:r w:rsidR="00EB47FC" w:rsidRPr="000D2BFB">
        <w:t>–</w:t>
      </w:r>
      <w:r w:rsidRPr="000D2BFB">
        <w:t xml:space="preserve"> that the party who got the patent was not the man whose ingenuity first discovered it, that he borrowed it from A or B, or had taken it from a book that was printed in England, and which was open to all the world – then, although the public had the benefit of it, it would be an important question whether he was the first and original inventor of it.’  There is no doubt that, in the circumstances stated by the Chief Justice, the person obtaining the patent would not be the true and first inventor.</w:t>
      </w:r>
    </w:p>
    <w:p w14:paraId="7E3F28C5" w14:textId="6C762917" w:rsidR="00A54389" w:rsidRDefault="00A54389" w:rsidP="005C3A0E">
      <w:pPr>
        <w:pStyle w:val="Quote1"/>
      </w:pPr>
      <w:r>
        <w:t>(</w:t>
      </w:r>
      <w:proofErr w:type="gramStart"/>
      <w:r>
        <w:t>emphasis</w:t>
      </w:r>
      <w:proofErr w:type="gramEnd"/>
      <w:r>
        <w:t xml:space="preserve"> added)</w:t>
      </w:r>
    </w:p>
    <w:p w14:paraId="3B930C74" w14:textId="3EF7B3B7" w:rsidR="005C3A0E" w:rsidRDefault="005C3A0E" w:rsidP="005C3A0E">
      <w:pPr>
        <w:pStyle w:val="ParaNumbering"/>
      </w:pPr>
      <w:r>
        <w:t>We note that the consideration for “the reward” of the grant of the patent in the form of a statutory monopoly has long been the disclosure of the invention to the public in a manner that enables a person skilled in the art to perform the invention upon the expiry of the term of the patent</w:t>
      </w:r>
      <w:r w:rsidR="000C32BD">
        <w:t>:</w:t>
      </w:r>
      <w:r>
        <w:t xml:space="preserve"> </w:t>
      </w:r>
      <w:r w:rsidRPr="00276C7E">
        <w:rPr>
          <w:i/>
        </w:rPr>
        <w:t xml:space="preserve">Kimberly-Clark Australia Pty Ltd v </w:t>
      </w:r>
      <w:proofErr w:type="spellStart"/>
      <w:r w:rsidRPr="00276C7E">
        <w:rPr>
          <w:i/>
        </w:rPr>
        <w:t>Arico</w:t>
      </w:r>
      <w:proofErr w:type="spellEnd"/>
      <w:r w:rsidRPr="00276C7E">
        <w:rPr>
          <w:i/>
        </w:rPr>
        <w:t xml:space="preserve"> Trading International Pty Ltd</w:t>
      </w:r>
      <w:r w:rsidRPr="00276C7E">
        <w:t xml:space="preserve"> [2001] HCA 8; 207 CLR 1</w:t>
      </w:r>
      <w:r>
        <w:rPr>
          <w:i/>
        </w:rPr>
        <w:t xml:space="preserve"> </w:t>
      </w:r>
      <w:r>
        <w:t>at [25]</w:t>
      </w:r>
      <w:r w:rsidR="000C32BD">
        <w:t xml:space="preserve"> (Gleeson CJ, McHugh, </w:t>
      </w:r>
      <w:proofErr w:type="spellStart"/>
      <w:r w:rsidR="000C32BD">
        <w:t>Gummow</w:t>
      </w:r>
      <w:proofErr w:type="spellEnd"/>
      <w:r w:rsidR="000C32BD">
        <w:t xml:space="preserve">, Hayne and </w:t>
      </w:r>
      <w:proofErr w:type="spellStart"/>
      <w:r w:rsidR="000C32BD">
        <w:t>Callinan</w:t>
      </w:r>
      <w:proofErr w:type="spellEnd"/>
      <w:r w:rsidR="000C32BD">
        <w:t xml:space="preserve"> JJ)</w:t>
      </w:r>
      <w:r>
        <w:t xml:space="preserve"> citing </w:t>
      </w:r>
      <w:r w:rsidRPr="00276C7E">
        <w:rPr>
          <w:i/>
        </w:rPr>
        <w:t xml:space="preserve">No-Fume Ltd v Frank </w:t>
      </w:r>
      <w:proofErr w:type="spellStart"/>
      <w:r w:rsidRPr="00276C7E">
        <w:rPr>
          <w:i/>
        </w:rPr>
        <w:t>Pitchford</w:t>
      </w:r>
      <w:proofErr w:type="spellEnd"/>
      <w:r w:rsidRPr="00276C7E">
        <w:rPr>
          <w:i/>
        </w:rPr>
        <w:t xml:space="preserve"> &amp; Co Ltd</w:t>
      </w:r>
      <w:r w:rsidRPr="00211607">
        <w:t xml:space="preserve"> (1935) 52 RPC 231</w:t>
      </w:r>
      <w:r>
        <w:t xml:space="preserve"> at 243 (</w:t>
      </w:r>
      <w:proofErr w:type="spellStart"/>
      <w:r w:rsidRPr="009E4B09">
        <w:t>Romer</w:t>
      </w:r>
      <w:proofErr w:type="spellEnd"/>
      <w:r w:rsidRPr="009E4B09">
        <w:t xml:space="preserve"> LJ)</w:t>
      </w:r>
      <w:r>
        <w:t>.</w:t>
      </w:r>
      <w:r w:rsidR="00D00D53">
        <w:t xml:space="preserve"> As noted above, a person’s entitlement to that reward is closely linked to </w:t>
      </w:r>
      <w:r w:rsidR="00EB47FC">
        <w:t xml:space="preserve">the </w:t>
      </w:r>
      <w:r w:rsidR="00D00D53">
        <w:t xml:space="preserve">act of invention by the true and first inventor. </w:t>
      </w:r>
      <w:r>
        <w:t xml:space="preserve"> </w:t>
      </w:r>
    </w:p>
    <w:p w14:paraId="13518B9F" w14:textId="4C11D4EE" w:rsidR="005C3A0E" w:rsidRDefault="00D73645" w:rsidP="005C3A0E">
      <w:pPr>
        <w:pStyle w:val="ParaNumbering"/>
      </w:pPr>
      <w:r>
        <w:t>T</w:t>
      </w:r>
      <w:r w:rsidR="005C3A0E">
        <w:t xml:space="preserve">he expression “true and first inventor” in s 6 of the </w:t>
      </w:r>
      <w:r w:rsidR="005C3A0E">
        <w:rPr>
          <w:i/>
        </w:rPr>
        <w:t xml:space="preserve">Statute of Monopolies </w:t>
      </w:r>
      <w:r w:rsidR="005C3A0E">
        <w:t>was</w:t>
      </w:r>
      <w:r w:rsidR="00FA21E5">
        <w:t>,</w:t>
      </w:r>
      <w:r w:rsidR="005C3A0E">
        <w:t xml:space="preserve"> through usage</w:t>
      </w:r>
      <w:r w:rsidR="00FA21E5">
        <w:t>,</w:t>
      </w:r>
      <w:r w:rsidR="005C3A0E">
        <w:t xml:space="preserve"> extended to </w:t>
      </w:r>
      <w:r w:rsidR="00FA21E5">
        <w:t>apply to</w:t>
      </w:r>
      <w:r w:rsidR="005C3A0E">
        <w:t xml:space="preserve"> a person who</w:t>
      </w:r>
      <w:r w:rsidR="00AB497F">
        <w:t xml:space="preserve"> did not in fact invent the invention but who</w:t>
      </w:r>
      <w:r w:rsidR="005C3A0E">
        <w:t xml:space="preserve"> imported </w:t>
      </w:r>
      <w:r w:rsidR="00AB497F">
        <w:t xml:space="preserve">that </w:t>
      </w:r>
      <w:r w:rsidR="005C3A0E">
        <w:t>invention from abroad</w:t>
      </w:r>
      <w:r w:rsidR="003D78DA">
        <w:t>. However</w:t>
      </w:r>
      <w:r w:rsidR="005C3A0E">
        <w:t xml:space="preserve">, the rationale for </w:t>
      </w:r>
      <w:r w:rsidR="00AF1490">
        <w:t>extending the entitlement of that person to a patent for the invention</w:t>
      </w:r>
      <w:r w:rsidR="005C3A0E">
        <w:t xml:space="preserve"> was the same as </w:t>
      </w:r>
      <w:r w:rsidR="00CC0705">
        <w:t xml:space="preserve">that applying to the entitlement of the </w:t>
      </w:r>
      <w:r w:rsidR="005C3A0E">
        <w:t>person who was literally the true and first inventor</w:t>
      </w:r>
      <w:r w:rsidR="00C67EA9">
        <w:t>;</w:t>
      </w:r>
      <w:r w:rsidR="005C3A0E">
        <w:t xml:space="preserve"> namely</w:t>
      </w:r>
      <w:r w:rsidR="0029019A">
        <w:t>,</w:t>
      </w:r>
      <w:r w:rsidR="005C3A0E">
        <w:t xml:space="preserve"> that by doing so the person who imported the invention </w:t>
      </w:r>
      <w:r w:rsidR="000605B9">
        <w:t xml:space="preserve">ought to be </w:t>
      </w:r>
      <w:r w:rsidR="005C3A0E">
        <w:t xml:space="preserve">rewarded for introducing into the kingdom </w:t>
      </w:r>
      <w:r w:rsidR="00FA187B">
        <w:t xml:space="preserve">an invention </w:t>
      </w:r>
      <w:r w:rsidR="005C3A0E">
        <w:t>that was not previously known. This came from a time when travelling abroad involved considerable peril, and so it was considered to be no less a meritorious service that the person imported, rather than invented, the invention in question</w:t>
      </w:r>
      <w:r w:rsidR="00A50885">
        <w:t>:</w:t>
      </w:r>
      <w:r w:rsidR="005C3A0E">
        <w:t xml:space="preserve"> </w:t>
      </w:r>
      <w:r w:rsidR="005724EF">
        <w:t xml:space="preserve">see </w:t>
      </w:r>
      <w:r w:rsidR="005724EF">
        <w:rPr>
          <w:i/>
        </w:rPr>
        <w:t xml:space="preserve">Stack </w:t>
      </w:r>
      <w:r w:rsidR="005724EF">
        <w:t>at [15]-[16]</w:t>
      </w:r>
      <w:r w:rsidR="00ED7A91">
        <w:t>;</w:t>
      </w:r>
      <w:r w:rsidR="005724EF">
        <w:t xml:space="preserve"> </w:t>
      </w:r>
      <w:r w:rsidR="005C3A0E" w:rsidRPr="00276C7E">
        <w:rPr>
          <w:i/>
        </w:rPr>
        <w:t xml:space="preserve">Marsden v The Saville Street Foundry and Engineering Co Ltd </w:t>
      </w:r>
      <w:r w:rsidR="005C3A0E" w:rsidRPr="00211607">
        <w:t>(1878) 3 Ex D 203</w:t>
      </w:r>
      <w:r w:rsidR="005C3A0E">
        <w:t xml:space="preserve"> at 206</w:t>
      </w:r>
      <w:r w:rsidR="00ED7A91">
        <w:t>-</w:t>
      </w:r>
      <w:r w:rsidR="005C3A0E">
        <w:t>207 (</w:t>
      </w:r>
      <w:proofErr w:type="spellStart"/>
      <w:r w:rsidR="00737EB6">
        <w:t>Jessel</w:t>
      </w:r>
      <w:proofErr w:type="spellEnd"/>
      <w:r w:rsidR="00737EB6">
        <w:t xml:space="preserve"> </w:t>
      </w:r>
      <w:r w:rsidR="005C3A0E">
        <w:t>MR)</w:t>
      </w:r>
      <w:r w:rsidR="006D58FE">
        <w:t>;</w:t>
      </w:r>
      <w:r w:rsidR="005C3A0E">
        <w:t xml:space="preserve"> </w:t>
      </w:r>
      <w:r w:rsidR="005C3A0E" w:rsidRPr="00276C7E">
        <w:rPr>
          <w:i/>
        </w:rPr>
        <w:t xml:space="preserve">The </w:t>
      </w:r>
      <w:proofErr w:type="spellStart"/>
      <w:r w:rsidR="005C3A0E" w:rsidRPr="00276C7E">
        <w:rPr>
          <w:i/>
        </w:rPr>
        <w:t>Clothworkers</w:t>
      </w:r>
      <w:proofErr w:type="spellEnd"/>
      <w:r w:rsidR="005C3A0E" w:rsidRPr="00276C7E">
        <w:rPr>
          <w:i/>
        </w:rPr>
        <w:t xml:space="preserve"> of Ipswich Case </w:t>
      </w:r>
      <w:r w:rsidR="00072272" w:rsidRPr="00276C7E">
        <w:t xml:space="preserve">(1615) </w:t>
      </w:r>
      <w:proofErr w:type="spellStart"/>
      <w:r w:rsidR="00072272" w:rsidRPr="00276C7E">
        <w:t>Godb</w:t>
      </w:r>
      <w:proofErr w:type="spellEnd"/>
      <w:r w:rsidR="00072272" w:rsidRPr="00276C7E">
        <w:t xml:space="preserve"> 252; 78 ER 147</w:t>
      </w:r>
      <w:r w:rsidR="00737EB6">
        <w:t xml:space="preserve">; </w:t>
      </w:r>
      <w:r w:rsidR="00737EB6" w:rsidRPr="00877ECB">
        <w:rPr>
          <w:i/>
        </w:rPr>
        <w:t>Terrell 8</w:t>
      </w:r>
      <w:r w:rsidR="00737EB6" w:rsidRPr="00877ECB">
        <w:rPr>
          <w:i/>
          <w:vertAlign w:val="superscript"/>
        </w:rPr>
        <w:t>th</w:t>
      </w:r>
      <w:r w:rsidR="00737EB6" w:rsidRPr="00877ECB">
        <w:rPr>
          <w:i/>
        </w:rPr>
        <w:t xml:space="preserve"> </w:t>
      </w:r>
      <w:proofErr w:type="spellStart"/>
      <w:r w:rsidR="00737EB6" w:rsidRPr="00877ECB">
        <w:rPr>
          <w:i/>
        </w:rPr>
        <w:t>ed</w:t>
      </w:r>
      <w:proofErr w:type="spellEnd"/>
      <w:r w:rsidR="00737EB6">
        <w:t xml:space="preserve"> at </w:t>
      </w:r>
      <w:r w:rsidR="003063BB">
        <w:t xml:space="preserve">pp </w:t>
      </w:r>
      <w:r w:rsidR="00737EB6">
        <w:t>14-16.</w:t>
      </w:r>
      <w:r w:rsidR="00D00D53">
        <w:t xml:space="preserve"> That extended usage has</w:t>
      </w:r>
      <w:r w:rsidR="003063BB">
        <w:t>,</w:t>
      </w:r>
      <w:r w:rsidR="00D00D53">
        <w:t xml:space="preserve"> </w:t>
      </w:r>
      <w:r w:rsidR="003063BB">
        <w:t>following</w:t>
      </w:r>
      <w:r w:rsidR="00D00D53">
        <w:t xml:space="preserve"> the introduction of various Patents Acts, </w:t>
      </w:r>
      <w:r w:rsidR="00072272">
        <w:t>fallen away.</w:t>
      </w:r>
    </w:p>
    <w:p w14:paraId="3A65FF32" w14:textId="0D6A0BF4" w:rsidR="005C3A0E" w:rsidRDefault="005C3A0E" w:rsidP="005C3A0E">
      <w:pPr>
        <w:pStyle w:val="ParaNumbering"/>
      </w:pPr>
      <w:r>
        <w:t xml:space="preserve">The role of the inventor has been repeatedly emphasised in the context of Australian </w:t>
      </w:r>
      <w:r w:rsidR="007C52D9">
        <w:t>patent</w:t>
      </w:r>
      <w:r w:rsidR="001E0812">
        <w:t>s</w:t>
      </w:r>
      <w:r w:rsidR="007C52D9">
        <w:t xml:space="preserve"> legislation</w:t>
      </w:r>
      <w:r>
        <w:t xml:space="preserve"> preceding the </w:t>
      </w:r>
      <w:r w:rsidRPr="00877ECB">
        <w:rPr>
          <w:i/>
        </w:rPr>
        <w:t>Patents Act</w:t>
      </w:r>
      <w:r>
        <w:t xml:space="preserve"> under present consideration. In </w:t>
      </w:r>
      <w:r w:rsidRPr="00276C7E">
        <w:rPr>
          <w:i/>
        </w:rPr>
        <w:t xml:space="preserve">Tate v Haskins </w:t>
      </w:r>
      <w:r w:rsidR="00E61663" w:rsidRPr="00276C7E">
        <w:t>[1935] HCA 40;</w:t>
      </w:r>
      <w:r w:rsidRPr="00D72A99">
        <w:t xml:space="preserve"> 53 CLR 594</w:t>
      </w:r>
      <w:r>
        <w:t>, the High Court (Rich, Dixon, Evatt</w:t>
      </w:r>
      <w:r w:rsidR="00207423">
        <w:t xml:space="preserve"> and</w:t>
      </w:r>
      <w:r>
        <w:t xml:space="preserve"> </w:t>
      </w:r>
      <w:proofErr w:type="spellStart"/>
      <w:r>
        <w:t>McTiernan</w:t>
      </w:r>
      <w:proofErr w:type="spellEnd"/>
      <w:r>
        <w:t xml:space="preserve"> JJ) considered the obligation of a person to describe the invention in the specification</w:t>
      </w:r>
      <w:r w:rsidR="00072272">
        <w:t xml:space="preserve"> within the terms of the </w:t>
      </w:r>
      <w:r w:rsidR="00072272" w:rsidRPr="00877ECB">
        <w:rPr>
          <w:b/>
          <w:i/>
        </w:rPr>
        <w:t>Patents Act 1903</w:t>
      </w:r>
      <w:r w:rsidR="00072272">
        <w:t xml:space="preserve"> (</w:t>
      </w:r>
      <w:proofErr w:type="spellStart"/>
      <w:r w:rsidR="00072272">
        <w:t>Cth</w:t>
      </w:r>
      <w:proofErr w:type="spellEnd"/>
      <w:r w:rsidR="00072272">
        <w:t>)</w:t>
      </w:r>
      <w:r>
        <w:t>, drawing on the lengthy history of the development of patent law (at 606-607):</w:t>
      </w:r>
    </w:p>
    <w:p w14:paraId="75FBEFFC" w14:textId="54D237AA" w:rsidR="005C3A0E" w:rsidRDefault="005C3A0E" w:rsidP="005C3A0E">
      <w:pPr>
        <w:pStyle w:val="Quote1"/>
      </w:pPr>
      <w:r>
        <w:lastRenderedPageBreak/>
        <w:t>The requirement that a complete specification shall conform to the provisional has its source in the history of English patent law. The specification took its origin in the introduction early in the eighteenth century into the letters patent of an express condition that the grant should be void if the grantee should not within six months particularly describe and ascertain the nature of his invention</w:t>
      </w:r>
      <w:r w:rsidR="00F544EF">
        <w:t>,</w:t>
      </w:r>
      <w:r>
        <w:t xml:space="preserve"> and in what manner the same was to be performed, by an instrument in writing enrolled in Chancery.  There was no provisional specification at that time. The grant itself was made upon a brief description of the invention which was incorporated in the letters patent. This description provided at once a foundation for the grant and a means of restricting the area of the monopoly. “</w:t>
      </w:r>
      <w:r w:rsidRPr="00072272">
        <w:rPr>
          <w:i/>
        </w:rPr>
        <w:t xml:space="preserve">The language in which the supposed invention is described in a patent of this nature is the language of the patentee himself. He represents to the Crown, that he has invented this or that thing, and that he is the first and sole inventor thereof, </w:t>
      </w:r>
      <w:proofErr w:type="spellStart"/>
      <w:r w:rsidRPr="00072272">
        <w:rPr>
          <w:i/>
        </w:rPr>
        <w:t>etc</w:t>
      </w:r>
      <w:proofErr w:type="spellEnd"/>
      <w:r w:rsidRPr="00072272">
        <w:rPr>
          <w:i/>
        </w:rPr>
        <w:t xml:space="preserve">,; and the Crown yielding to his representation, and willing to give encouragement to all arts and inventions that may be for the public good, grants to the patentee the sole liberty and privilege of using his said invention, for a certain term, under the conditions before noticed. </w:t>
      </w:r>
      <w:r w:rsidRPr="00072272">
        <w:rPr>
          <w:b/>
          <w:i/>
        </w:rPr>
        <w:t>It is obvious, therefore, that if the patentee has not invented the matter or thing of which he represents himself to be the inventor, the consideration of the Royal grant fails, and the grant consequently becomes void. And this will not be the less true, if it should happen that the patentee has invented some other matter or thing, of which, upon a due representation thereof, he might have been entitled to a grant of the exclusive use</w:t>
      </w:r>
      <w:r w:rsidRPr="00072272">
        <w:rPr>
          <w:i/>
        </w:rPr>
        <w:t>…</w:t>
      </w:r>
      <w:r>
        <w:t xml:space="preserve">” </w:t>
      </w:r>
      <w:r w:rsidR="008C0F97">
        <w:t>(</w:t>
      </w:r>
      <w:proofErr w:type="gramStart"/>
      <w:r>
        <w:t>per</w:t>
      </w:r>
      <w:proofErr w:type="gramEnd"/>
      <w:r>
        <w:t xml:space="preserve"> </w:t>
      </w:r>
      <w:r w:rsidRPr="00877ECB">
        <w:t>Abbott CJ,</w:t>
      </w:r>
      <w:r w:rsidRPr="009C2798">
        <w:rPr>
          <w:i/>
        </w:rPr>
        <w:t xml:space="preserve"> R v Wheeler</w:t>
      </w:r>
      <w:r>
        <w:t xml:space="preserve"> (1819) 2 B &amp; Ald.</w:t>
      </w:r>
      <w:r w:rsidR="008C0F97">
        <w:t xml:space="preserve"> </w:t>
      </w:r>
      <w:r>
        <w:t>345 at pp</w:t>
      </w:r>
      <w:r w:rsidR="008C0F97">
        <w:t xml:space="preserve">. </w:t>
      </w:r>
      <w:r>
        <w:t>349</w:t>
      </w:r>
      <w:r w:rsidR="008C0F97">
        <w:t>-</w:t>
      </w:r>
      <w:r>
        <w:t>351; 106 ER 392 at pp</w:t>
      </w:r>
      <w:r w:rsidR="008C0F97">
        <w:t xml:space="preserve">. </w:t>
      </w:r>
      <w:r>
        <w:t>394, 395…</w:t>
      </w:r>
    </w:p>
    <w:p w14:paraId="564372F4" w14:textId="3846B5F7" w:rsidR="00F544EF" w:rsidRDefault="00F544EF" w:rsidP="005C3A0E">
      <w:pPr>
        <w:pStyle w:val="Quote1"/>
      </w:pPr>
      <w:r>
        <w:t>(</w:t>
      </w:r>
      <w:proofErr w:type="gramStart"/>
      <w:r>
        <w:t>emphasis</w:t>
      </w:r>
      <w:proofErr w:type="gramEnd"/>
      <w:r>
        <w:t xml:space="preserve"> added)</w:t>
      </w:r>
    </w:p>
    <w:p w14:paraId="776B01FC" w14:textId="1ACF456C" w:rsidR="00E972B9" w:rsidRDefault="005C3A0E" w:rsidP="00877ECB">
      <w:pPr>
        <w:pStyle w:val="ParaNumbering"/>
      </w:pPr>
      <w:r>
        <w:t xml:space="preserve">It is apparent that in the cited passage from in </w:t>
      </w:r>
      <w:r w:rsidR="005C7312" w:rsidRPr="00276C7E">
        <w:rPr>
          <w:i/>
        </w:rPr>
        <w:t xml:space="preserve">R v Wheeler </w:t>
      </w:r>
      <w:r w:rsidR="005C7312" w:rsidRPr="00276C7E">
        <w:t>(1819) 2 B &amp; Ald. 345</w:t>
      </w:r>
      <w:r>
        <w:t>, Abbott CJ use</w:t>
      </w:r>
      <w:r w:rsidR="001C73A0">
        <w:t>d</w:t>
      </w:r>
      <w:r>
        <w:t xml:space="preserve"> the term</w:t>
      </w:r>
      <w:r w:rsidR="00072272">
        <w:t xml:space="preserve"> “patentee” </w:t>
      </w:r>
      <w:r w:rsidR="00A96909">
        <w:t xml:space="preserve">in a way </w:t>
      </w:r>
      <w:r w:rsidR="00072272">
        <w:t xml:space="preserve">synonymous with </w:t>
      </w:r>
      <w:r>
        <w:t xml:space="preserve">“inventor”. </w:t>
      </w:r>
      <w:r w:rsidR="001C087E">
        <w:t>It is the inventor’s invention that warrants the grant.</w:t>
      </w:r>
      <w:r w:rsidR="0060757F">
        <w:t xml:space="preserve"> </w:t>
      </w:r>
    </w:p>
    <w:p w14:paraId="020FA7CF" w14:textId="5CA80EE9" w:rsidR="00E972B9" w:rsidRDefault="0060757F" w:rsidP="00877ECB">
      <w:pPr>
        <w:pStyle w:val="ParaNumbering"/>
      </w:pPr>
      <w:r>
        <w:t>Indeed, the modern ground of revocation under</w:t>
      </w:r>
      <w:r w:rsidRPr="00276C7E">
        <w:t xml:space="preserve"> s 138(3)(d) </w:t>
      </w:r>
      <w:r w:rsidR="009E3678" w:rsidRPr="00276C7E">
        <w:t xml:space="preserve">of the </w:t>
      </w:r>
      <w:r w:rsidR="009E3678" w:rsidRPr="00211607">
        <w:rPr>
          <w:i/>
        </w:rPr>
        <w:t>Patents Act</w:t>
      </w:r>
      <w:r w:rsidR="00AF0C1B" w:rsidRPr="00D72A99">
        <w:t xml:space="preserve"> </w:t>
      </w:r>
      <w:r w:rsidR="00AF0C1B">
        <w:t>–</w:t>
      </w:r>
      <w:r w:rsidR="009E3678">
        <w:t xml:space="preserve"> </w:t>
      </w:r>
      <w:r>
        <w:t xml:space="preserve">that the patent was obtained by fraud, false suggestion or misrepresentation </w:t>
      </w:r>
      <w:r w:rsidR="00AF0C1B">
        <w:t xml:space="preserve">– </w:t>
      </w:r>
      <w:r>
        <w:t xml:space="preserve">proceeds on the assumption that the language of the patentee in the specification reflects the representations made by the inventor to the Crown. As Lockhart J noted in </w:t>
      </w:r>
      <w:r w:rsidRPr="003D033E">
        <w:rPr>
          <w:b/>
          <w:i/>
        </w:rPr>
        <w:t>Prestige Group</w:t>
      </w:r>
      <w:r w:rsidRPr="00276C7E">
        <w:rPr>
          <w:i/>
        </w:rPr>
        <w:t xml:space="preserve"> v Dart Industries </w:t>
      </w:r>
      <w:proofErr w:type="spellStart"/>
      <w:r w:rsidRPr="00276C7E">
        <w:rPr>
          <w:i/>
        </w:rPr>
        <w:t>Inc</w:t>
      </w:r>
      <w:proofErr w:type="spellEnd"/>
      <w:r w:rsidRPr="00276C7E">
        <w:rPr>
          <w:i/>
        </w:rPr>
        <w:t xml:space="preserve"> </w:t>
      </w:r>
      <w:r w:rsidR="001561C2" w:rsidRPr="00276C7E">
        <w:t xml:space="preserve">[1990] FCA 406; </w:t>
      </w:r>
      <w:r w:rsidRPr="00D72A99">
        <w:t>26 FCR 197</w:t>
      </w:r>
      <w:r>
        <w:t xml:space="preserve"> at 199, if the inventor asserts an inventive merit of his invention and promises a particularly beneficial or useful result, </w:t>
      </w:r>
      <w:r w:rsidR="00E972B9">
        <w:t xml:space="preserve">this may persuade members of the public into believing the claims are valid and act on the faith of that by, for example, becoming a licensee or by not using the alleged invention. The reasons of </w:t>
      </w:r>
      <w:proofErr w:type="spellStart"/>
      <w:r w:rsidR="00E972B9">
        <w:t>Gummow</w:t>
      </w:r>
      <w:proofErr w:type="spellEnd"/>
      <w:r w:rsidR="00E972B9">
        <w:t xml:space="preserve"> J </w:t>
      </w:r>
      <w:r w:rsidR="003F295C">
        <w:t xml:space="preserve">in </w:t>
      </w:r>
      <w:r w:rsidR="003F295C" w:rsidRPr="003F295C">
        <w:rPr>
          <w:i/>
        </w:rPr>
        <w:t>Prestige Group</w:t>
      </w:r>
      <w:r w:rsidR="003F295C">
        <w:t xml:space="preserve"> </w:t>
      </w:r>
      <w:r w:rsidR="006D58FE">
        <w:t xml:space="preserve">at </w:t>
      </w:r>
      <w:r w:rsidR="00E972B9">
        <w:t>213</w:t>
      </w:r>
      <w:r w:rsidR="00161CC2">
        <w:t>-</w:t>
      </w:r>
      <w:r w:rsidR="00E972B9">
        <w:t xml:space="preserve">218 include an informative review of the history of this ground of revocation, from its origins in the writ of </w:t>
      </w:r>
      <w:proofErr w:type="spellStart"/>
      <w:r w:rsidR="00E972B9" w:rsidRPr="00877ECB">
        <w:rPr>
          <w:i/>
        </w:rPr>
        <w:t>scire</w:t>
      </w:r>
      <w:proofErr w:type="spellEnd"/>
      <w:r w:rsidR="00E972B9" w:rsidRPr="00877ECB">
        <w:rPr>
          <w:i/>
        </w:rPr>
        <w:t xml:space="preserve"> </w:t>
      </w:r>
      <w:proofErr w:type="spellStart"/>
      <w:r w:rsidR="00E972B9" w:rsidRPr="00877ECB">
        <w:rPr>
          <w:i/>
        </w:rPr>
        <w:t>facias</w:t>
      </w:r>
      <w:proofErr w:type="spellEnd"/>
      <w:r w:rsidR="00E972B9">
        <w:t xml:space="preserve"> as a</w:t>
      </w:r>
      <w:r w:rsidR="00B11A9E">
        <w:t xml:space="preserve"> means of applying to revoke a Crown </w:t>
      </w:r>
      <w:r w:rsidR="004A4A22">
        <w:t xml:space="preserve">grant </w:t>
      </w:r>
      <w:r w:rsidR="00E972B9">
        <w:t>of letters patent</w:t>
      </w:r>
      <w:r w:rsidR="00461719">
        <w:t>,</w:t>
      </w:r>
      <w:r w:rsidR="00E972B9">
        <w:t xml:space="preserve"> to the</w:t>
      </w:r>
      <w:r w:rsidR="00B11A9E">
        <w:t xml:space="preserve"> (then </w:t>
      </w:r>
      <w:r w:rsidR="004527E2">
        <w:t>current</w:t>
      </w:r>
      <w:r w:rsidR="00B11A9E">
        <w:t>)</w:t>
      </w:r>
      <w:r w:rsidR="00E972B9">
        <w:t xml:space="preserve"> terms of the </w:t>
      </w:r>
      <w:r w:rsidR="00E972B9" w:rsidRPr="00877ECB">
        <w:rPr>
          <w:i/>
        </w:rPr>
        <w:t>Patents Act 195</w:t>
      </w:r>
      <w:r w:rsidR="00FE0263">
        <w:rPr>
          <w:i/>
        </w:rPr>
        <w:t>2</w:t>
      </w:r>
      <w:r w:rsidR="00E972B9">
        <w:t xml:space="preserve"> </w:t>
      </w:r>
      <w:r w:rsidR="00461719">
        <w:t>(</w:t>
      </w:r>
      <w:proofErr w:type="spellStart"/>
      <w:r w:rsidR="00461719">
        <w:t>Cth</w:t>
      </w:r>
      <w:proofErr w:type="spellEnd"/>
      <w:r w:rsidR="00461719">
        <w:t xml:space="preserve">) </w:t>
      </w:r>
      <w:r w:rsidR="00E972B9">
        <w:t xml:space="preserve">(which the Court was there considering). It is instructive to note the following passage quoted by </w:t>
      </w:r>
      <w:proofErr w:type="spellStart"/>
      <w:r w:rsidR="00E972B9">
        <w:t>Gummow</w:t>
      </w:r>
      <w:proofErr w:type="spellEnd"/>
      <w:r w:rsidR="00E972B9">
        <w:t xml:space="preserve"> J from </w:t>
      </w:r>
      <w:proofErr w:type="spellStart"/>
      <w:r w:rsidR="00E972B9" w:rsidRPr="00276C7E">
        <w:t>Hindmarch</w:t>
      </w:r>
      <w:proofErr w:type="spellEnd"/>
      <w:r w:rsidR="004A4A22" w:rsidRPr="00276C7E">
        <w:t xml:space="preserve">, </w:t>
      </w:r>
      <w:r w:rsidR="004A4A22" w:rsidRPr="00211607">
        <w:rPr>
          <w:i/>
        </w:rPr>
        <w:t>The Law Relating to Patents</w:t>
      </w:r>
      <w:r w:rsidR="004A4A22" w:rsidRPr="00D72A99">
        <w:t xml:space="preserve"> (1846)</w:t>
      </w:r>
      <w:r w:rsidR="00E972B9">
        <w:t xml:space="preserve"> at 377-378</w:t>
      </w:r>
      <w:r w:rsidR="00B11A9E">
        <w:t xml:space="preserve"> (at 215)</w:t>
      </w:r>
      <w:r w:rsidR="00E972B9">
        <w:t>:</w:t>
      </w:r>
    </w:p>
    <w:p w14:paraId="0C3015A2" w14:textId="6218DC0A" w:rsidR="00E972B9" w:rsidRPr="00877ECB" w:rsidRDefault="00E972B9" w:rsidP="00877ECB">
      <w:pPr>
        <w:pStyle w:val="Quote1"/>
        <w:rPr>
          <w:szCs w:val="24"/>
          <w:lang w:eastAsia="en-AU"/>
        </w:rPr>
      </w:pPr>
      <w:r w:rsidRPr="00E972B9">
        <w:rPr>
          <w:w w:val="105"/>
          <w:lang w:eastAsia="en-AU"/>
        </w:rPr>
        <w:t>Crown</w:t>
      </w:r>
      <w:r w:rsidRPr="00E972B9">
        <w:rPr>
          <w:spacing w:val="83"/>
          <w:w w:val="105"/>
          <w:lang w:eastAsia="en-AU"/>
        </w:rPr>
        <w:t xml:space="preserve"> </w:t>
      </w:r>
      <w:r w:rsidRPr="00E972B9">
        <w:rPr>
          <w:w w:val="105"/>
          <w:lang w:eastAsia="en-AU"/>
        </w:rPr>
        <w:t>grants</w:t>
      </w:r>
      <w:r w:rsidRPr="00E972B9">
        <w:rPr>
          <w:spacing w:val="90"/>
          <w:w w:val="105"/>
          <w:lang w:eastAsia="en-AU"/>
        </w:rPr>
        <w:t xml:space="preserve"> </w:t>
      </w:r>
      <w:r w:rsidRPr="00E972B9">
        <w:rPr>
          <w:w w:val="105"/>
          <w:lang w:eastAsia="en-AU"/>
        </w:rPr>
        <w:t>are</w:t>
      </w:r>
      <w:r w:rsidRPr="00E972B9">
        <w:rPr>
          <w:spacing w:val="91"/>
          <w:w w:val="105"/>
          <w:lang w:eastAsia="en-AU"/>
        </w:rPr>
        <w:t xml:space="preserve"> </w:t>
      </w:r>
      <w:r w:rsidRPr="00E972B9">
        <w:rPr>
          <w:w w:val="105"/>
          <w:lang w:eastAsia="en-AU"/>
        </w:rPr>
        <w:t>indeed</w:t>
      </w:r>
      <w:r w:rsidRPr="00E972B9">
        <w:rPr>
          <w:spacing w:val="98"/>
          <w:w w:val="105"/>
          <w:lang w:eastAsia="en-AU"/>
        </w:rPr>
        <w:t xml:space="preserve"> </w:t>
      </w:r>
      <w:r w:rsidRPr="00E972B9">
        <w:rPr>
          <w:w w:val="105"/>
          <w:lang w:eastAsia="en-AU"/>
        </w:rPr>
        <w:t>almost</w:t>
      </w:r>
      <w:r w:rsidRPr="00E972B9">
        <w:rPr>
          <w:spacing w:val="87"/>
          <w:w w:val="105"/>
          <w:lang w:eastAsia="en-AU"/>
        </w:rPr>
        <w:t xml:space="preserve"> </w:t>
      </w:r>
      <w:r w:rsidRPr="00E972B9">
        <w:rPr>
          <w:w w:val="105"/>
          <w:lang w:eastAsia="en-AU"/>
        </w:rPr>
        <w:t>always obtained by means of representations made by, or on the behalf of the grantees, and as the sovereign is so much occupied with the</w:t>
      </w:r>
      <w:r w:rsidRPr="00E972B9">
        <w:rPr>
          <w:spacing w:val="74"/>
          <w:w w:val="105"/>
          <w:lang w:eastAsia="en-AU"/>
        </w:rPr>
        <w:t xml:space="preserve"> </w:t>
      </w:r>
      <w:r w:rsidRPr="00E972B9">
        <w:rPr>
          <w:w w:val="105"/>
          <w:lang w:eastAsia="en-AU"/>
        </w:rPr>
        <w:t>affairs</w:t>
      </w:r>
      <w:r w:rsidRPr="00E972B9">
        <w:rPr>
          <w:spacing w:val="76"/>
          <w:w w:val="105"/>
          <w:lang w:eastAsia="en-AU"/>
        </w:rPr>
        <w:t xml:space="preserve"> </w:t>
      </w:r>
      <w:r w:rsidRPr="00E972B9">
        <w:rPr>
          <w:w w:val="105"/>
          <w:lang w:eastAsia="en-AU"/>
        </w:rPr>
        <w:t>of</w:t>
      </w:r>
      <w:r w:rsidRPr="00E972B9">
        <w:rPr>
          <w:spacing w:val="82"/>
          <w:w w:val="105"/>
          <w:lang w:eastAsia="en-AU"/>
        </w:rPr>
        <w:t xml:space="preserve"> </w:t>
      </w:r>
      <w:r w:rsidRPr="00E972B9">
        <w:rPr>
          <w:w w:val="105"/>
          <w:lang w:eastAsia="en-AU"/>
        </w:rPr>
        <w:t>the</w:t>
      </w:r>
      <w:r w:rsidRPr="00E972B9">
        <w:rPr>
          <w:spacing w:val="83"/>
          <w:w w:val="105"/>
          <w:lang w:eastAsia="en-AU"/>
        </w:rPr>
        <w:t xml:space="preserve"> </w:t>
      </w:r>
      <w:r w:rsidRPr="00E972B9">
        <w:rPr>
          <w:w w:val="105"/>
          <w:lang w:eastAsia="en-AU"/>
        </w:rPr>
        <w:t>state,</w:t>
      </w:r>
      <w:r w:rsidRPr="00E972B9">
        <w:rPr>
          <w:spacing w:val="75"/>
          <w:w w:val="105"/>
          <w:lang w:eastAsia="en-AU"/>
        </w:rPr>
        <w:t xml:space="preserve"> </w:t>
      </w:r>
      <w:r w:rsidRPr="00E972B9">
        <w:rPr>
          <w:w w:val="105"/>
          <w:lang w:eastAsia="en-AU"/>
        </w:rPr>
        <w:t>it</w:t>
      </w:r>
      <w:r w:rsidRPr="00E972B9">
        <w:rPr>
          <w:spacing w:val="70"/>
          <w:w w:val="105"/>
          <w:lang w:eastAsia="en-AU"/>
        </w:rPr>
        <w:t xml:space="preserve"> </w:t>
      </w:r>
      <w:r w:rsidRPr="00E972B9">
        <w:rPr>
          <w:w w:val="105"/>
          <w:lang w:eastAsia="en-AU"/>
        </w:rPr>
        <w:t>would</w:t>
      </w:r>
      <w:r w:rsidRPr="00E972B9">
        <w:rPr>
          <w:spacing w:val="104"/>
          <w:w w:val="105"/>
          <w:lang w:eastAsia="en-AU"/>
        </w:rPr>
        <w:t xml:space="preserve"> </w:t>
      </w:r>
      <w:r w:rsidRPr="00E972B9">
        <w:rPr>
          <w:w w:val="105"/>
          <w:lang w:eastAsia="en-AU"/>
        </w:rPr>
        <w:t>be impossible</w:t>
      </w:r>
      <w:r w:rsidRPr="00E972B9">
        <w:rPr>
          <w:spacing w:val="73"/>
          <w:w w:val="105"/>
          <w:lang w:eastAsia="en-AU"/>
        </w:rPr>
        <w:t xml:space="preserve"> </w:t>
      </w:r>
      <w:r w:rsidRPr="00E972B9">
        <w:rPr>
          <w:w w:val="105"/>
          <w:lang w:eastAsia="en-AU"/>
        </w:rPr>
        <w:t>always</w:t>
      </w:r>
      <w:r w:rsidRPr="00E972B9">
        <w:rPr>
          <w:spacing w:val="68"/>
          <w:w w:val="105"/>
          <w:lang w:eastAsia="en-AU"/>
        </w:rPr>
        <w:t xml:space="preserve"> </w:t>
      </w:r>
      <w:r w:rsidRPr="00E972B9">
        <w:rPr>
          <w:w w:val="105"/>
          <w:lang w:eastAsia="en-AU"/>
        </w:rPr>
        <w:t>to</w:t>
      </w:r>
      <w:r w:rsidRPr="00E972B9">
        <w:rPr>
          <w:spacing w:val="64"/>
          <w:w w:val="105"/>
          <w:lang w:eastAsia="en-AU"/>
        </w:rPr>
        <w:t xml:space="preserve"> </w:t>
      </w:r>
      <w:r w:rsidRPr="00E972B9">
        <w:rPr>
          <w:w w:val="105"/>
          <w:lang w:eastAsia="en-AU"/>
        </w:rPr>
        <w:t>ascertain</w:t>
      </w:r>
      <w:r w:rsidRPr="00E972B9">
        <w:rPr>
          <w:spacing w:val="74"/>
          <w:w w:val="105"/>
          <w:lang w:eastAsia="en-AU"/>
        </w:rPr>
        <w:t xml:space="preserve"> </w:t>
      </w:r>
      <w:r w:rsidRPr="00E972B9">
        <w:rPr>
          <w:w w:val="105"/>
          <w:lang w:eastAsia="en-AU"/>
        </w:rPr>
        <w:lastRenderedPageBreak/>
        <w:t>with certainty whether the representations of a</w:t>
      </w:r>
      <w:r w:rsidRPr="00E972B9">
        <w:rPr>
          <w:spacing w:val="75"/>
          <w:w w:val="105"/>
          <w:lang w:eastAsia="en-AU"/>
        </w:rPr>
        <w:t xml:space="preserve"> </w:t>
      </w:r>
      <w:r w:rsidRPr="00E972B9">
        <w:rPr>
          <w:w w:val="105"/>
          <w:lang w:eastAsia="en-AU"/>
        </w:rPr>
        <w:t>petition</w:t>
      </w:r>
      <w:r w:rsidRPr="00E972B9">
        <w:rPr>
          <w:spacing w:val="85"/>
          <w:w w:val="105"/>
          <w:lang w:eastAsia="en-AU"/>
        </w:rPr>
        <w:t xml:space="preserve"> </w:t>
      </w:r>
      <w:r w:rsidRPr="00E972B9">
        <w:rPr>
          <w:w w:val="105"/>
          <w:lang w:eastAsia="en-AU"/>
        </w:rPr>
        <w:t>for</w:t>
      </w:r>
      <w:r w:rsidRPr="00E972B9">
        <w:rPr>
          <w:spacing w:val="87"/>
          <w:w w:val="105"/>
          <w:lang w:eastAsia="en-AU"/>
        </w:rPr>
        <w:t xml:space="preserve"> </w:t>
      </w:r>
      <w:r w:rsidRPr="00E972B9">
        <w:rPr>
          <w:w w:val="105"/>
          <w:lang w:eastAsia="en-AU"/>
        </w:rPr>
        <w:t>a</w:t>
      </w:r>
      <w:r w:rsidRPr="00E972B9">
        <w:rPr>
          <w:spacing w:val="74"/>
          <w:w w:val="105"/>
          <w:lang w:eastAsia="en-AU"/>
        </w:rPr>
        <w:t xml:space="preserve"> </w:t>
      </w:r>
      <w:r w:rsidRPr="00E972B9">
        <w:rPr>
          <w:w w:val="105"/>
          <w:lang w:eastAsia="en-AU"/>
        </w:rPr>
        <w:t>grant</w:t>
      </w:r>
      <w:r w:rsidRPr="00E972B9">
        <w:rPr>
          <w:spacing w:val="90"/>
          <w:w w:val="105"/>
          <w:lang w:eastAsia="en-AU"/>
        </w:rPr>
        <w:t xml:space="preserve"> </w:t>
      </w:r>
      <w:r w:rsidRPr="00E972B9">
        <w:rPr>
          <w:w w:val="105"/>
          <w:lang w:eastAsia="en-AU"/>
        </w:rPr>
        <w:t>by</w:t>
      </w:r>
      <w:r w:rsidRPr="00E972B9">
        <w:rPr>
          <w:spacing w:val="87"/>
          <w:w w:val="105"/>
          <w:lang w:eastAsia="en-AU"/>
        </w:rPr>
        <w:t xml:space="preserve"> </w:t>
      </w:r>
      <w:r w:rsidRPr="00E972B9">
        <w:rPr>
          <w:w w:val="105"/>
          <w:lang w:eastAsia="en-AU"/>
        </w:rPr>
        <w:t>patent</w:t>
      </w:r>
      <w:r w:rsidRPr="00E972B9">
        <w:rPr>
          <w:spacing w:val="88"/>
          <w:w w:val="105"/>
          <w:lang w:eastAsia="en-AU"/>
        </w:rPr>
        <w:t xml:space="preserve"> </w:t>
      </w:r>
      <w:r w:rsidRPr="00E972B9">
        <w:rPr>
          <w:w w:val="105"/>
          <w:lang w:eastAsia="en-AU"/>
        </w:rPr>
        <w:t>were true or not.</w:t>
      </w:r>
      <w:r w:rsidRPr="00E972B9">
        <w:rPr>
          <w:spacing w:val="68"/>
          <w:w w:val="105"/>
          <w:lang w:eastAsia="en-AU"/>
        </w:rPr>
        <w:t xml:space="preserve"> </w:t>
      </w:r>
      <w:r w:rsidRPr="00E972B9">
        <w:rPr>
          <w:w w:val="105"/>
          <w:lang w:eastAsia="en-AU"/>
        </w:rPr>
        <w:t>The law, therefore,</w:t>
      </w:r>
      <w:r w:rsidRPr="00E972B9">
        <w:rPr>
          <w:spacing w:val="61"/>
          <w:w w:val="105"/>
          <w:lang w:eastAsia="en-AU"/>
        </w:rPr>
        <w:t xml:space="preserve"> </w:t>
      </w:r>
      <w:r w:rsidRPr="00E972B9">
        <w:rPr>
          <w:w w:val="105"/>
          <w:lang w:eastAsia="en-AU"/>
        </w:rPr>
        <w:t>takes especial</w:t>
      </w:r>
      <w:r w:rsidRPr="00E972B9">
        <w:rPr>
          <w:spacing w:val="63"/>
          <w:w w:val="105"/>
          <w:lang w:eastAsia="en-AU"/>
        </w:rPr>
        <w:t xml:space="preserve"> </w:t>
      </w:r>
      <w:r w:rsidRPr="00E972B9">
        <w:rPr>
          <w:w w:val="105"/>
          <w:lang w:eastAsia="en-AU"/>
        </w:rPr>
        <w:t>care</w:t>
      </w:r>
      <w:r w:rsidRPr="00E972B9">
        <w:rPr>
          <w:spacing w:val="62"/>
          <w:w w:val="105"/>
          <w:lang w:eastAsia="en-AU"/>
        </w:rPr>
        <w:t xml:space="preserve"> </w:t>
      </w:r>
      <w:r w:rsidRPr="00E972B9">
        <w:rPr>
          <w:w w:val="105"/>
          <w:lang w:eastAsia="en-AU"/>
        </w:rPr>
        <w:t>to</w:t>
      </w:r>
      <w:r w:rsidRPr="00E972B9">
        <w:rPr>
          <w:spacing w:val="55"/>
          <w:w w:val="105"/>
          <w:lang w:eastAsia="en-AU"/>
        </w:rPr>
        <w:t xml:space="preserve"> </w:t>
      </w:r>
      <w:r w:rsidRPr="00E972B9">
        <w:rPr>
          <w:w w:val="105"/>
          <w:lang w:eastAsia="en-AU"/>
        </w:rPr>
        <w:t>protect</w:t>
      </w:r>
      <w:r w:rsidRPr="00E972B9">
        <w:rPr>
          <w:spacing w:val="75"/>
          <w:w w:val="105"/>
          <w:lang w:eastAsia="en-AU"/>
        </w:rPr>
        <w:t xml:space="preserve"> </w:t>
      </w:r>
      <w:r w:rsidRPr="00E972B9">
        <w:rPr>
          <w:w w:val="105"/>
          <w:lang w:eastAsia="en-AU"/>
        </w:rPr>
        <w:t>the</w:t>
      </w:r>
      <w:r w:rsidRPr="00E972B9">
        <w:rPr>
          <w:spacing w:val="61"/>
          <w:w w:val="105"/>
          <w:lang w:eastAsia="en-AU"/>
        </w:rPr>
        <w:t xml:space="preserve"> </w:t>
      </w:r>
      <w:r w:rsidRPr="00E972B9">
        <w:rPr>
          <w:w w:val="105"/>
          <w:lang w:eastAsia="en-AU"/>
        </w:rPr>
        <w:t>Crown against</w:t>
      </w:r>
      <w:r w:rsidRPr="00E972B9">
        <w:rPr>
          <w:spacing w:val="115"/>
          <w:w w:val="105"/>
          <w:lang w:eastAsia="en-AU"/>
        </w:rPr>
        <w:t xml:space="preserve"> </w:t>
      </w:r>
      <w:r w:rsidRPr="00E972B9">
        <w:rPr>
          <w:w w:val="105"/>
          <w:lang w:eastAsia="en-AU"/>
        </w:rPr>
        <w:t>false</w:t>
      </w:r>
      <w:r w:rsidRPr="00E972B9">
        <w:rPr>
          <w:spacing w:val="114"/>
          <w:w w:val="105"/>
          <w:lang w:eastAsia="en-AU"/>
        </w:rPr>
        <w:t xml:space="preserve"> </w:t>
      </w:r>
      <w:r w:rsidRPr="00E972B9">
        <w:rPr>
          <w:w w:val="105"/>
          <w:lang w:eastAsia="en-AU"/>
        </w:rPr>
        <w:t>petitions</w:t>
      </w:r>
      <w:r w:rsidRPr="00E972B9">
        <w:rPr>
          <w:spacing w:val="111"/>
          <w:w w:val="105"/>
          <w:lang w:eastAsia="en-AU"/>
        </w:rPr>
        <w:t xml:space="preserve"> </w:t>
      </w:r>
      <w:r w:rsidRPr="00E972B9">
        <w:rPr>
          <w:w w:val="105"/>
          <w:lang w:eastAsia="en-AU"/>
        </w:rPr>
        <w:t>and</w:t>
      </w:r>
      <w:r w:rsidRPr="00E972B9">
        <w:rPr>
          <w:spacing w:val="120"/>
          <w:w w:val="105"/>
          <w:lang w:eastAsia="en-AU"/>
        </w:rPr>
        <w:t xml:space="preserve"> </w:t>
      </w:r>
      <w:r w:rsidR="00B11A9E">
        <w:rPr>
          <w:w w:val="105"/>
          <w:lang w:eastAsia="en-AU"/>
        </w:rPr>
        <w:t>represent</w:t>
      </w:r>
      <w:r w:rsidRPr="00E972B9">
        <w:rPr>
          <w:w w:val="105"/>
          <w:lang w:eastAsia="en-AU"/>
        </w:rPr>
        <w:t>ations.</w:t>
      </w:r>
      <w:r w:rsidRPr="00E972B9">
        <w:rPr>
          <w:spacing w:val="140"/>
          <w:w w:val="105"/>
          <w:lang w:eastAsia="en-AU"/>
        </w:rPr>
        <w:t xml:space="preserve"> </w:t>
      </w:r>
      <w:r w:rsidRPr="00E972B9">
        <w:rPr>
          <w:w w:val="105"/>
          <w:lang w:eastAsia="en-AU"/>
        </w:rPr>
        <w:t>It is accordingly laid down that it is the duty of every one obtaining</w:t>
      </w:r>
      <w:r w:rsidRPr="00E972B9">
        <w:rPr>
          <w:spacing w:val="53"/>
          <w:w w:val="105"/>
          <w:lang w:eastAsia="en-AU"/>
        </w:rPr>
        <w:t xml:space="preserve"> </w:t>
      </w:r>
      <w:r w:rsidRPr="00E972B9">
        <w:rPr>
          <w:w w:val="105"/>
          <w:lang w:eastAsia="en-AU"/>
        </w:rPr>
        <w:t>a grant from the Queen, to see that she is</w:t>
      </w:r>
      <w:r w:rsidR="00966CBC">
        <w:rPr>
          <w:szCs w:val="24"/>
          <w:lang w:eastAsia="en-AU"/>
        </w:rPr>
        <w:t xml:space="preserve"> c</w:t>
      </w:r>
      <w:r w:rsidRPr="00E972B9">
        <w:rPr>
          <w:szCs w:val="24"/>
          <w:lang w:eastAsia="en-AU"/>
        </w:rPr>
        <w:t>orrectly informed respecting the grant. And if it appears that the Queen has been deceived in any material particular, by a false representation or suggestion of the grantee, the patent will be wholly void. And when facts are recited in a patent respecting the subject-matter of the grant, it will be presumed that the statements contained in the recital were represented or suggested to the Queen by the patentee.</w:t>
      </w:r>
    </w:p>
    <w:p w14:paraId="5D329A0B" w14:textId="133368E6" w:rsidR="005C3A0E" w:rsidRPr="00877ECB" w:rsidRDefault="00E972B9" w:rsidP="00877ECB">
      <w:pPr>
        <w:pStyle w:val="Quote1"/>
        <w:rPr>
          <w:szCs w:val="24"/>
          <w:lang w:eastAsia="en-AU"/>
        </w:rPr>
      </w:pPr>
      <w:r w:rsidRPr="00E972B9">
        <w:rPr>
          <w:szCs w:val="24"/>
          <w:lang w:eastAsia="en-AU"/>
        </w:rPr>
        <w:t>The</w:t>
      </w:r>
      <w:r w:rsidRPr="00E972B9">
        <w:rPr>
          <w:spacing w:val="108"/>
          <w:szCs w:val="24"/>
          <w:lang w:eastAsia="en-AU"/>
        </w:rPr>
        <w:t xml:space="preserve"> </w:t>
      </w:r>
      <w:r w:rsidRPr="00E972B9">
        <w:rPr>
          <w:szCs w:val="24"/>
          <w:lang w:eastAsia="en-AU"/>
        </w:rPr>
        <w:t>material</w:t>
      </w:r>
      <w:r w:rsidRPr="00E972B9">
        <w:rPr>
          <w:spacing w:val="126"/>
          <w:szCs w:val="24"/>
          <w:lang w:eastAsia="en-AU"/>
        </w:rPr>
        <w:t xml:space="preserve"> </w:t>
      </w:r>
      <w:r w:rsidRPr="00E972B9">
        <w:rPr>
          <w:szCs w:val="24"/>
          <w:lang w:eastAsia="en-AU"/>
        </w:rPr>
        <w:t>particulars</w:t>
      </w:r>
      <w:r w:rsidRPr="00E972B9">
        <w:rPr>
          <w:spacing w:val="135"/>
          <w:szCs w:val="24"/>
          <w:lang w:eastAsia="en-AU"/>
        </w:rPr>
        <w:t xml:space="preserve"> </w:t>
      </w:r>
      <w:r w:rsidRPr="00E972B9">
        <w:rPr>
          <w:szCs w:val="24"/>
          <w:lang w:eastAsia="en-AU"/>
        </w:rPr>
        <w:t>respecting</w:t>
      </w:r>
      <w:r w:rsidRPr="00E972B9">
        <w:rPr>
          <w:spacing w:val="119"/>
          <w:szCs w:val="24"/>
          <w:lang w:eastAsia="en-AU"/>
        </w:rPr>
        <w:t xml:space="preserve"> </w:t>
      </w:r>
      <w:r w:rsidRPr="00E972B9">
        <w:rPr>
          <w:szCs w:val="24"/>
          <w:lang w:eastAsia="en-AU"/>
        </w:rPr>
        <w:t>an alleged invention for which a party seeks to obtain a patent, must, as has already been observed, be stated in the petition for the patent. The petition must therefore</w:t>
      </w:r>
      <w:r w:rsidRPr="00E972B9">
        <w:rPr>
          <w:spacing w:val="70"/>
          <w:szCs w:val="24"/>
          <w:lang w:eastAsia="en-AU"/>
        </w:rPr>
        <w:t xml:space="preserve"> </w:t>
      </w:r>
      <w:r w:rsidRPr="00E972B9">
        <w:rPr>
          <w:szCs w:val="24"/>
          <w:lang w:eastAsia="en-AU"/>
        </w:rPr>
        <w:t>state,</w:t>
      </w:r>
      <w:r w:rsidRPr="00E972B9">
        <w:rPr>
          <w:spacing w:val="53"/>
          <w:szCs w:val="24"/>
          <w:lang w:eastAsia="en-AU"/>
        </w:rPr>
        <w:t xml:space="preserve"> </w:t>
      </w:r>
      <w:r w:rsidRPr="00E972B9">
        <w:rPr>
          <w:szCs w:val="24"/>
          <w:lang w:eastAsia="en-AU"/>
        </w:rPr>
        <w:t>that</w:t>
      </w:r>
      <w:r w:rsidRPr="00E972B9">
        <w:rPr>
          <w:spacing w:val="67"/>
          <w:szCs w:val="24"/>
          <w:lang w:eastAsia="en-AU"/>
        </w:rPr>
        <w:t xml:space="preserve"> </w:t>
      </w:r>
      <w:r w:rsidRPr="00E972B9">
        <w:rPr>
          <w:szCs w:val="24"/>
          <w:lang w:eastAsia="en-AU"/>
        </w:rPr>
        <w:t>the</w:t>
      </w:r>
      <w:r w:rsidRPr="00E972B9">
        <w:rPr>
          <w:spacing w:val="65"/>
          <w:szCs w:val="24"/>
          <w:lang w:eastAsia="en-AU"/>
        </w:rPr>
        <w:t xml:space="preserve"> </w:t>
      </w:r>
      <w:r w:rsidRPr="00E972B9">
        <w:rPr>
          <w:szCs w:val="24"/>
          <w:lang w:eastAsia="en-AU"/>
        </w:rPr>
        <w:t>petitioner</w:t>
      </w:r>
      <w:r w:rsidRPr="00E972B9">
        <w:rPr>
          <w:spacing w:val="98"/>
          <w:szCs w:val="24"/>
          <w:lang w:eastAsia="en-AU"/>
        </w:rPr>
        <w:t xml:space="preserve"> </w:t>
      </w:r>
      <w:r w:rsidRPr="00E972B9">
        <w:rPr>
          <w:szCs w:val="24"/>
          <w:lang w:eastAsia="en-AU"/>
        </w:rPr>
        <w:t>is the inventor or</w:t>
      </w:r>
      <w:r w:rsidRPr="00E972B9">
        <w:rPr>
          <w:spacing w:val="143"/>
          <w:szCs w:val="24"/>
          <w:lang w:eastAsia="en-AU"/>
        </w:rPr>
        <w:t xml:space="preserve"> </w:t>
      </w:r>
      <w:r w:rsidRPr="00E972B9">
        <w:rPr>
          <w:szCs w:val="24"/>
          <w:lang w:eastAsia="en-AU"/>
        </w:rPr>
        <w:t>importer of the invention,</w:t>
      </w:r>
      <w:r w:rsidRPr="00E972B9">
        <w:rPr>
          <w:spacing w:val="136"/>
          <w:szCs w:val="24"/>
          <w:lang w:eastAsia="en-AU"/>
        </w:rPr>
        <w:t xml:space="preserve"> </w:t>
      </w:r>
      <w:r w:rsidRPr="00E972B9">
        <w:rPr>
          <w:szCs w:val="24"/>
          <w:lang w:eastAsia="en-AU"/>
        </w:rPr>
        <w:t>and that the invention possesses</w:t>
      </w:r>
      <w:r w:rsidRPr="00E972B9">
        <w:rPr>
          <w:spacing w:val="79"/>
          <w:szCs w:val="24"/>
          <w:lang w:eastAsia="en-AU"/>
        </w:rPr>
        <w:t xml:space="preserve"> </w:t>
      </w:r>
      <w:r w:rsidRPr="00E972B9">
        <w:rPr>
          <w:szCs w:val="24"/>
          <w:lang w:eastAsia="en-AU"/>
        </w:rPr>
        <w:t>the</w:t>
      </w:r>
      <w:r w:rsidRPr="00E972B9">
        <w:rPr>
          <w:spacing w:val="62"/>
          <w:szCs w:val="24"/>
          <w:lang w:eastAsia="en-AU"/>
        </w:rPr>
        <w:t xml:space="preserve"> </w:t>
      </w:r>
      <w:r w:rsidRPr="00E972B9">
        <w:rPr>
          <w:szCs w:val="24"/>
          <w:lang w:eastAsia="en-AU"/>
        </w:rPr>
        <w:t>qualities</w:t>
      </w:r>
      <w:r w:rsidRPr="00E972B9">
        <w:rPr>
          <w:spacing w:val="68"/>
          <w:szCs w:val="24"/>
          <w:lang w:eastAsia="en-AU"/>
        </w:rPr>
        <w:t xml:space="preserve"> </w:t>
      </w:r>
      <w:r w:rsidRPr="00E972B9">
        <w:rPr>
          <w:szCs w:val="24"/>
          <w:lang w:eastAsia="en-AU"/>
        </w:rPr>
        <w:t>of</w:t>
      </w:r>
      <w:r w:rsidRPr="00E972B9">
        <w:rPr>
          <w:spacing w:val="74"/>
          <w:szCs w:val="24"/>
          <w:lang w:eastAsia="en-AU"/>
        </w:rPr>
        <w:t xml:space="preserve"> </w:t>
      </w:r>
      <w:r w:rsidRPr="00E972B9">
        <w:rPr>
          <w:szCs w:val="24"/>
          <w:lang w:eastAsia="en-AU"/>
        </w:rPr>
        <w:t>novelty, utility,</w:t>
      </w:r>
      <w:r w:rsidRPr="00E972B9">
        <w:rPr>
          <w:spacing w:val="85"/>
          <w:szCs w:val="24"/>
          <w:lang w:eastAsia="en-AU"/>
        </w:rPr>
        <w:t xml:space="preserve"> </w:t>
      </w:r>
      <w:r w:rsidRPr="00E972B9">
        <w:rPr>
          <w:szCs w:val="24"/>
          <w:lang w:eastAsia="en-AU"/>
        </w:rPr>
        <w:t>&amp;c.,</w:t>
      </w:r>
      <w:r w:rsidRPr="00E972B9">
        <w:rPr>
          <w:spacing w:val="92"/>
          <w:szCs w:val="24"/>
          <w:lang w:eastAsia="en-AU"/>
        </w:rPr>
        <w:t xml:space="preserve"> </w:t>
      </w:r>
      <w:r w:rsidRPr="00E972B9">
        <w:rPr>
          <w:szCs w:val="24"/>
          <w:lang w:eastAsia="en-AU"/>
        </w:rPr>
        <w:t>so</w:t>
      </w:r>
      <w:r w:rsidRPr="00E972B9">
        <w:rPr>
          <w:spacing w:val="95"/>
          <w:szCs w:val="24"/>
          <w:lang w:eastAsia="en-AU"/>
        </w:rPr>
        <w:t xml:space="preserve"> </w:t>
      </w:r>
      <w:r w:rsidRPr="00E972B9">
        <w:rPr>
          <w:szCs w:val="24"/>
          <w:lang w:eastAsia="en-AU"/>
        </w:rPr>
        <w:t>as</w:t>
      </w:r>
      <w:r w:rsidRPr="00E972B9">
        <w:rPr>
          <w:spacing w:val="94"/>
          <w:szCs w:val="24"/>
          <w:lang w:eastAsia="en-AU"/>
        </w:rPr>
        <w:t xml:space="preserve"> </w:t>
      </w:r>
      <w:r w:rsidRPr="00E972B9">
        <w:rPr>
          <w:szCs w:val="24"/>
          <w:lang w:eastAsia="en-AU"/>
        </w:rPr>
        <w:t>to</w:t>
      </w:r>
      <w:r w:rsidRPr="00E972B9">
        <w:rPr>
          <w:spacing w:val="98"/>
          <w:szCs w:val="24"/>
          <w:lang w:eastAsia="en-AU"/>
        </w:rPr>
        <w:t xml:space="preserve"> </w:t>
      </w:r>
      <w:r w:rsidRPr="00E972B9">
        <w:rPr>
          <w:szCs w:val="24"/>
          <w:lang w:eastAsia="en-AU"/>
        </w:rPr>
        <w:t>be</w:t>
      </w:r>
      <w:r w:rsidRPr="00E972B9">
        <w:rPr>
          <w:spacing w:val="108"/>
          <w:szCs w:val="24"/>
          <w:lang w:eastAsia="en-AU"/>
        </w:rPr>
        <w:t xml:space="preserve"> </w:t>
      </w:r>
      <w:r w:rsidRPr="00E972B9">
        <w:rPr>
          <w:szCs w:val="24"/>
          <w:lang w:eastAsia="en-AU"/>
        </w:rPr>
        <w:t>the</w:t>
      </w:r>
      <w:r w:rsidRPr="00E972B9">
        <w:rPr>
          <w:spacing w:val="115"/>
          <w:szCs w:val="24"/>
          <w:lang w:eastAsia="en-AU"/>
        </w:rPr>
        <w:t xml:space="preserve"> </w:t>
      </w:r>
      <w:r w:rsidRPr="00E972B9">
        <w:rPr>
          <w:szCs w:val="24"/>
          <w:lang w:eastAsia="en-AU"/>
        </w:rPr>
        <w:t>proper subject of</w:t>
      </w:r>
      <w:r w:rsidRPr="00E972B9">
        <w:rPr>
          <w:spacing w:val="134"/>
          <w:szCs w:val="24"/>
          <w:lang w:eastAsia="en-AU"/>
        </w:rPr>
        <w:t xml:space="preserve"> </w:t>
      </w:r>
      <w:r w:rsidRPr="00E972B9">
        <w:rPr>
          <w:szCs w:val="24"/>
          <w:lang w:eastAsia="en-AU"/>
        </w:rPr>
        <w:t>a</w:t>
      </w:r>
      <w:r w:rsidRPr="00E972B9">
        <w:rPr>
          <w:spacing w:val="140"/>
          <w:szCs w:val="24"/>
          <w:lang w:eastAsia="en-AU"/>
        </w:rPr>
        <w:t xml:space="preserve"> </w:t>
      </w:r>
      <w:r w:rsidRPr="00E972B9">
        <w:rPr>
          <w:szCs w:val="24"/>
          <w:lang w:eastAsia="en-AU"/>
        </w:rPr>
        <w:t>grant by patent. The substance of the petition for a patent is always recited in the patent itself, and therefore</w:t>
      </w:r>
      <w:r w:rsidRPr="00E972B9">
        <w:rPr>
          <w:spacing w:val="98"/>
          <w:szCs w:val="24"/>
          <w:lang w:eastAsia="en-AU"/>
        </w:rPr>
        <w:t xml:space="preserve"> </w:t>
      </w:r>
      <w:r w:rsidRPr="00E972B9">
        <w:rPr>
          <w:szCs w:val="24"/>
          <w:lang w:eastAsia="en-AU"/>
        </w:rPr>
        <w:t>the</w:t>
      </w:r>
      <w:r w:rsidRPr="00E972B9">
        <w:rPr>
          <w:spacing w:val="93"/>
          <w:szCs w:val="24"/>
          <w:lang w:eastAsia="en-AU"/>
        </w:rPr>
        <w:t xml:space="preserve"> </w:t>
      </w:r>
      <w:r w:rsidRPr="00E972B9">
        <w:rPr>
          <w:szCs w:val="24"/>
          <w:lang w:eastAsia="en-AU"/>
        </w:rPr>
        <w:t>patent</w:t>
      </w:r>
      <w:r w:rsidRPr="00E972B9">
        <w:rPr>
          <w:spacing w:val="90"/>
          <w:szCs w:val="24"/>
          <w:lang w:eastAsia="en-AU"/>
        </w:rPr>
        <w:t xml:space="preserve"> </w:t>
      </w:r>
      <w:r w:rsidRPr="00E972B9">
        <w:rPr>
          <w:szCs w:val="24"/>
          <w:lang w:eastAsia="en-AU"/>
        </w:rPr>
        <w:t>itself</w:t>
      </w:r>
      <w:r w:rsidRPr="00E972B9">
        <w:rPr>
          <w:spacing w:val="96"/>
          <w:szCs w:val="24"/>
          <w:lang w:eastAsia="en-AU"/>
        </w:rPr>
        <w:t xml:space="preserve"> </w:t>
      </w:r>
      <w:r w:rsidRPr="00E972B9">
        <w:rPr>
          <w:szCs w:val="24"/>
          <w:lang w:eastAsia="en-AU"/>
        </w:rPr>
        <w:t>shows</w:t>
      </w:r>
      <w:r w:rsidRPr="00E972B9">
        <w:rPr>
          <w:spacing w:val="79"/>
          <w:szCs w:val="24"/>
          <w:lang w:eastAsia="en-AU"/>
        </w:rPr>
        <w:t xml:space="preserve"> </w:t>
      </w:r>
      <w:r w:rsidRPr="00E972B9">
        <w:rPr>
          <w:szCs w:val="24"/>
          <w:lang w:eastAsia="en-AU"/>
        </w:rPr>
        <w:t>upon what</w:t>
      </w:r>
      <w:r w:rsidRPr="00E972B9">
        <w:rPr>
          <w:spacing w:val="69"/>
          <w:szCs w:val="24"/>
          <w:lang w:eastAsia="en-AU"/>
        </w:rPr>
        <w:t xml:space="preserve"> </w:t>
      </w:r>
      <w:r w:rsidRPr="00E972B9">
        <w:rPr>
          <w:szCs w:val="24"/>
          <w:lang w:eastAsia="en-AU"/>
        </w:rPr>
        <w:t>representations of</w:t>
      </w:r>
      <w:r w:rsidRPr="00E972B9">
        <w:rPr>
          <w:spacing w:val="54"/>
          <w:szCs w:val="24"/>
          <w:lang w:eastAsia="en-AU"/>
        </w:rPr>
        <w:t xml:space="preserve"> </w:t>
      </w:r>
      <w:r w:rsidRPr="00E972B9">
        <w:rPr>
          <w:szCs w:val="24"/>
          <w:lang w:eastAsia="en-AU"/>
        </w:rPr>
        <w:t>the</w:t>
      </w:r>
      <w:r w:rsidRPr="00E972B9">
        <w:rPr>
          <w:spacing w:val="64"/>
          <w:szCs w:val="24"/>
          <w:lang w:eastAsia="en-AU"/>
        </w:rPr>
        <w:t xml:space="preserve"> </w:t>
      </w:r>
      <w:r w:rsidRPr="00E972B9">
        <w:rPr>
          <w:szCs w:val="24"/>
          <w:lang w:eastAsia="en-AU"/>
        </w:rPr>
        <w:t>patentee</w:t>
      </w:r>
      <w:r w:rsidRPr="00E972B9">
        <w:rPr>
          <w:spacing w:val="77"/>
          <w:szCs w:val="24"/>
          <w:lang w:eastAsia="en-AU"/>
        </w:rPr>
        <w:t xml:space="preserve"> </w:t>
      </w:r>
      <w:r w:rsidRPr="00E972B9">
        <w:rPr>
          <w:szCs w:val="24"/>
          <w:lang w:eastAsia="en-AU"/>
        </w:rPr>
        <w:t>it has</w:t>
      </w:r>
      <w:r w:rsidRPr="00E972B9">
        <w:rPr>
          <w:spacing w:val="66"/>
          <w:szCs w:val="24"/>
          <w:lang w:eastAsia="en-AU"/>
        </w:rPr>
        <w:t xml:space="preserve"> </w:t>
      </w:r>
      <w:r w:rsidRPr="00E972B9">
        <w:rPr>
          <w:szCs w:val="24"/>
          <w:lang w:eastAsia="en-AU"/>
        </w:rPr>
        <w:t>been</w:t>
      </w:r>
      <w:r w:rsidRPr="00E972B9">
        <w:rPr>
          <w:spacing w:val="60"/>
          <w:szCs w:val="24"/>
          <w:lang w:eastAsia="en-AU"/>
        </w:rPr>
        <w:t xml:space="preserve"> </w:t>
      </w:r>
      <w:r w:rsidRPr="00E972B9">
        <w:rPr>
          <w:szCs w:val="24"/>
          <w:lang w:eastAsia="en-AU"/>
        </w:rPr>
        <w:t>granted;</w:t>
      </w:r>
      <w:r w:rsidRPr="00E972B9">
        <w:rPr>
          <w:spacing w:val="119"/>
          <w:szCs w:val="24"/>
          <w:lang w:eastAsia="en-AU"/>
        </w:rPr>
        <w:t xml:space="preserve"> </w:t>
      </w:r>
      <w:r w:rsidRPr="00E972B9">
        <w:rPr>
          <w:szCs w:val="24"/>
          <w:lang w:eastAsia="en-AU"/>
        </w:rPr>
        <w:t>and</w:t>
      </w:r>
      <w:r w:rsidRPr="00E972B9">
        <w:rPr>
          <w:spacing w:val="70"/>
          <w:szCs w:val="24"/>
          <w:lang w:eastAsia="en-AU"/>
        </w:rPr>
        <w:t xml:space="preserve"> </w:t>
      </w:r>
      <w:r w:rsidRPr="00E972B9">
        <w:rPr>
          <w:szCs w:val="24"/>
          <w:lang w:eastAsia="en-AU"/>
        </w:rPr>
        <w:t>if</w:t>
      </w:r>
      <w:r w:rsidRPr="00E972B9">
        <w:rPr>
          <w:spacing w:val="70"/>
          <w:szCs w:val="24"/>
          <w:lang w:eastAsia="en-AU"/>
        </w:rPr>
        <w:t xml:space="preserve"> </w:t>
      </w:r>
      <w:r w:rsidRPr="00E972B9">
        <w:rPr>
          <w:szCs w:val="24"/>
          <w:lang w:eastAsia="en-AU"/>
        </w:rPr>
        <w:t>the</w:t>
      </w:r>
      <w:r w:rsidRPr="00E972B9">
        <w:rPr>
          <w:spacing w:val="71"/>
          <w:szCs w:val="24"/>
          <w:lang w:eastAsia="en-AU"/>
        </w:rPr>
        <w:t xml:space="preserve"> </w:t>
      </w:r>
      <w:r w:rsidRPr="00E972B9">
        <w:rPr>
          <w:szCs w:val="24"/>
          <w:lang w:eastAsia="en-AU"/>
        </w:rPr>
        <w:t>patentee has represented</w:t>
      </w:r>
      <w:r w:rsidRPr="00E972B9">
        <w:rPr>
          <w:spacing w:val="61"/>
          <w:szCs w:val="24"/>
          <w:lang w:eastAsia="en-AU"/>
        </w:rPr>
        <w:t xml:space="preserve"> </w:t>
      </w:r>
      <w:proofErr w:type="spellStart"/>
      <w:r w:rsidRPr="00E972B9">
        <w:rPr>
          <w:szCs w:val="24"/>
          <w:lang w:eastAsia="en-AU"/>
        </w:rPr>
        <w:t>any thing</w:t>
      </w:r>
      <w:proofErr w:type="spellEnd"/>
      <w:r w:rsidRPr="00E972B9">
        <w:rPr>
          <w:szCs w:val="24"/>
          <w:lang w:eastAsia="en-AU"/>
        </w:rPr>
        <w:t xml:space="preserve"> which was untrue in any material particular, or has induced</w:t>
      </w:r>
      <w:r w:rsidRPr="00E972B9">
        <w:rPr>
          <w:spacing w:val="134"/>
          <w:szCs w:val="24"/>
          <w:lang w:eastAsia="en-AU"/>
        </w:rPr>
        <w:t xml:space="preserve"> </w:t>
      </w:r>
      <w:r w:rsidRPr="00E972B9">
        <w:rPr>
          <w:szCs w:val="24"/>
          <w:lang w:eastAsia="en-AU"/>
        </w:rPr>
        <w:t>the</w:t>
      </w:r>
      <w:r w:rsidRPr="00E972B9">
        <w:rPr>
          <w:spacing w:val="113"/>
          <w:szCs w:val="24"/>
          <w:lang w:eastAsia="en-AU"/>
        </w:rPr>
        <w:t xml:space="preserve"> </w:t>
      </w:r>
      <w:r w:rsidRPr="00E972B9">
        <w:rPr>
          <w:szCs w:val="24"/>
          <w:lang w:eastAsia="en-AU"/>
        </w:rPr>
        <w:t>Crown</w:t>
      </w:r>
      <w:r w:rsidRPr="00E972B9">
        <w:rPr>
          <w:spacing w:val="128"/>
          <w:szCs w:val="24"/>
          <w:lang w:eastAsia="en-AU"/>
        </w:rPr>
        <w:t xml:space="preserve"> </w:t>
      </w:r>
      <w:r w:rsidRPr="00E972B9">
        <w:rPr>
          <w:szCs w:val="24"/>
          <w:lang w:eastAsia="en-AU"/>
        </w:rPr>
        <w:t>to</w:t>
      </w:r>
      <w:r w:rsidRPr="00E972B9">
        <w:rPr>
          <w:spacing w:val="109"/>
          <w:szCs w:val="24"/>
          <w:lang w:eastAsia="en-AU"/>
        </w:rPr>
        <w:t xml:space="preserve"> </w:t>
      </w:r>
      <w:r w:rsidRPr="00E972B9">
        <w:rPr>
          <w:szCs w:val="24"/>
          <w:lang w:eastAsia="en-AU"/>
        </w:rPr>
        <w:t>make</w:t>
      </w:r>
      <w:r w:rsidRPr="00E972B9">
        <w:rPr>
          <w:spacing w:val="133"/>
          <w:szCs w:val="24"/>
          <w:lang w:eastAsia="en-AU"/>
        </w:rPr>
        <w:t xml:space="preserve"> </w:t>
      </w:r>
      <w:r w:rsidRPr="00E972B9">
        <w:rPr>
          <w:szCs w:val="24"/>
          <w:lang w:eastAsia="en-AU"/>
        </w:rPr>
        <w:t>an</w:t>
      </w:r>
      <w:r w:rsidRPr="00E972B9">
        <w:rPr>
          <w:spacing w:val="121"/>
          <w:szCs w:val="24"/>
          <w:lang w:eastAsia="en-AU"/>
        </w:rPr>
        <w:t xml:space="preserve"> </w:t>
      </w:r>
      <w:r w:rsidRPr="00E972B9">
        <w:rPr>
          <w:szCs w:val="24"/>
          <w:lang w:eastAsia="en-AU"/>
        </w:rPr>
        <w:t>illegal</w:t>
      </w:r>
      <w:r>
        <w:rPr>
          <w:szCs w:val="24"/>
          <w:lang w:eastAsia="en-AU"/>
        </w:rPr>
        <w:t xml:space="preserve"> grant, the patent is entirely void. </w:t>
      </w:r>
    </w:p>
    <w:p w14:paraId="09B0998D" w14:textId="15E63456" w:rsidR="00577B39" w:rsidRPr="00A12A85" w:rsidRDefault="00FA676C" w:rsidP="005C3A0E">
      <w:pPr>
        <w:pStyle w:val="ParaNumbering"/>
      </w:pPr>
      <w:r w:rsidRPr="00A12A85">
        <w:t xml:space="preserve">It may be seen that this ground of revocation is premised upon the fact that </w:t>
      </w:r>
      <w:r w:rsidR="006D4A17" w:rsidRPr="00A12A85">
        <w:t>it is the</w:t>
      </w:r>
      <w:r w:rsidRPr="00A12A85">
        <w:t xml:space="preserve"> </w:t>
      </w:r>
      <w:r w:rsidRPr="00A12A85">
        <w:rPr>
          <w:i/>
        </w:rPr>
        <w:t>inventor</w:t>
      </w:r>
      <w:r w:rsidRPr="00A12A85">
        <w:t xml:space="preserve"> </w:t>
      </w:r>
      <w:r w:rsidR="006D4A17" w:rsidRPr="00A12A85">
        <w:t xml:space="preserve">who makes representations </w:t>
      </w:r>
      <w:r w:rsidR="006477A4" w:rsidRPr="00A12A85">
        <w:t xml:space="preserve">in the specification </w:t>
      </w:r>
      <w:r w:rsidR="006D4A17" w:rsidRPr="00A12A85">
        <w:t>about the nature of the invention</w:t>
      </w:r>
      <w:r w:rsidR="000302F7" w:rsidRPr="00A12A85">
        <w:t xml:space="preserve"> to the authority </w:t>
      </w:r>
      <w:r w:rsidR="00EF3703" w:rsidRPr="00A12A85">
        <w:t>responsible for the grant of a patent.</w:t>
      </w:r>
    </w:p>
    <w:p w14:paraId="794C8FCE" w14:textId="1E68B5FB" w:rsidR="005C3A0E" w:rsidRDefault="00331459" w:rsidP="005C3A0E">
      <w:pPr>
        <w:pStyle w:val="ParaNumbering"/>
      </w:pPr>
      <w:r w:rsidRPr="00276C7E">
        <w:t xml:space="preserve">Section 32(2) of the </w:t>
      </w:r>
      <w:r w:rsidR="005C3A0E" w:rsidRPr="00276C7E">
        <w:rPr>
          <w:i/>
        </w:rPr>
        <w:t>Patents Act 1903</w:t>
      </w:r>
      <w:r w:rsidR="005C3A0E">
        <w:t xml:space="preserve"> relevantly provided:</w:t>
      </w:r>
    </w:p>
    <w:p w14:paraId="0935BCB0" w14:textId="77777777" w:rsidR="005C3A0E" w:rsidRDefault="005C3A0E" w:rsidP="005C3A0E">
      <w:pPr>
        <w:pStyle w:val="Quote1"/>
      </w:pPr>
      <w:r>
        <w:t>Any of the following persons may make application for a patent:</w:t>
      </w:r>
    </w:p>
    <w:p w14:paraId="6D94604F" w14:textId="2CEDB486" w:rsidR="005C3A0E" w:rsidRDefault="005C3A0E" w:rsidP="0086115E">
      <w:pPr>
        <w:pStyle w:val="Quote2"/>
        <w:ind w:left="2160" w:hanging="720"/>
      </w:pPr>
      <w:r>
        <w:t>(a)</w:t>
      </w:r>
      <w:r w:rsidR="00331459">
        <w:tab/>
      </w:r>
      <w:r>
        <w:t>The actual inventor</w:t>
      </w:r>
      <w:r w:rsidR="00331459">
        <w:t>;</w:t>
      </w:r>
      <w:r>
        <w:t xml:space="preserve"> or</w:t>
      </w:r>
    </w:p>
    <w:p w14:paraId="703FB5A0" w14:textId="6867BCA8" w:rsidR="005C3A0E" w:rsidRDefault="005C3A0E" w:rsidP="0086115E">
      <w:pPr>
        <w:pStyle w:val="Quote2"/>
        <w:ind w:left="2160" w:hanging="720"/>
      </w:pPr>
      <w:r>
        <w:t>(b)</w:t>
      </w:r>
      <w:r w:rsidR="00331459">
        <w:tab/>
      </w:r>
      <w:proofErr w:type="gramStart"/>
      <w:r>
        <w:t>his</w:t>
      </w:r>
      <w:proofErr w:type="gramEnd"/>
      <w:r>
        <w:t xml:space="preserve"> assignee agent attorney or nominee</w:t>
      </w:r>
      <w:r w:rsidR="00331459">
        <w:t>:</w:t>
      </w:r>
      <w:r>
        <w:t xml:space="preserve"> or </w:t>
      </w:r>
    </w:p>
    <w:p w14:paraId="5727AFF0" w14:textId="74FACED0" w:rsidR="005C3A0E" w:rsidRDefault="005C3A0E" w:rsidP="0086115E">
      <w:pPr>
        <w:pStyle w:val="Quote2"/>
        <w:ind w:left="2160" w:hanging="720"/>
      </w:pPr>
      <w:r>
        <w:t>(c)</w:t>
      </w:r>
      <w:r w:rsidR="00331459">
        <w:tab/>
      </w:r>
      <w:proofErr w:type="gramStart"/>
      <w:r>
        <w:t>the</w:t>
      </w:r>
      <w:proofErr w:type="gramEnd"/>
      <w:r>
        <w:t xml:space="preserve"> actual inventor or his nominee jointly with the assignee of a part interest in the invention</w:t>
      </w:r>
      <w:r w:rsidR="00331459">
        <w:t>;</w:t>
      </w:r>
      <w:r>
        <w:t xml:space="preserve"> or</w:t>
      </w:r>
    </w:p>
    <w:p w14:paraId="28956AEC" w14:textId="54DCF1E1" w:rsidR="005C3A0E" w:rsidRDefault="005C3A0E" w:rsidP="0086115E">
      <w:pPr>
        <w:pStyle w:val="Quote2"/>
        <w:ind w:left="2160" w:hanging="720"/>
      </w:pPr>
      <w:r>
        <w:t>(d)</w:t>
      </w:r>
      <w:r w:rsidR="00EF3F74">
        <w:tab/>
      </w:r>
      <w:proofErr w:type="gramStart"/>
      <w:r>
        <w:t>the</w:t>
      </w:r>
      <w:proofErr w:type="gramEnd"/>
      <w:r>
        <w:t xml:space="preserve"> legal representative of a deceased actual inventor or of his assignee, or</w:t>
      </w:r>
    </w:p>
    <w:p w14:paraId="0733A652" w14:textId="3B38295E" w:rsidR="005C3A0E" w:rsidRDefault="005C3A0E" w:rsidP="0086115E">
      <w:pPr>
        <w:pStyle w:val="Quote2"/>
        <w:ind w:left="2160" w:hanging="720"/>
      </w:pPr>
      <w:r>
        <w:t>(e)</w:t>
      </w:r>
      <w:r w:rsidR="00EF3F74">
        <w:tab/>
      </w:r>
      <w:proofErr w:type="gramStart"/>
      <w:r>
        <w:t>any</w:t>
      </w:r>
      <w:proofErr w:type="gramEnd"/>
      <w:r>
        <w:t xml:space="preserve"> person to whom the invention has been communicated by the actual inventor his legal representative or assignee (if the actual inventor</w:t>
      </w:r>
      <w:r w:rsidR="00EF3F74">
        <w:t>,</w:t>
      </w:r>
      <w:r>
        <w:t xml:space="preserve"> his legal representative or assignee is not resident in the Commonwealth). </w:t>
      </w:r>
    </w:p>
    <w:p w14:paraId="63804F4F" w14:textId="6B2BE04F" w:rsidR="005C3A0E" w:rsidRDefault="005C3A0E" w:rsidP="005C3A0E">
      <w:pPr>
        <w:pStyle w:val="ParaNumbering"/>
      </w:pPr>
      <w:r>
        <w:t xml:space="preserve">In </w:t>
      </w:r>
      <w:r>
        <w:rPr>
          <w:i/>
        </w:rPr>
        <w:t>Dunlop</w:t>
      </w:r>
      <w:r>
        <w:t>, the appellant opposed a patent application on the ground that the respondents obtained the invention the subject of their patent from him. Griffiths CJ said (at 156):</w:t>
      </w:r>
    </w:p>
    <w:p w14:paraId="4C6F7A64" w14:textId="63EC2A61" w:rsidR="005C3A0E" w:rsidRDefault="00CB5A6D" w:rsidP="005C3A0E">
      <w:pPr>
        <w:pStyle w:val="Quote1"/>
      </w:pPr>
      <w:r w:rsidRPr="00877ECB">
        <w:t>…</w:t>
      </w:r>
      <w:r w:rsidR="005C3A0E" w:rsidRPr="00877ECB">
        <w:rPr>
          <w:i/>
        </w:rPr>
        <w:t>I am of the opinion that the whole scheme of the patent law</w:t>
      </w:r>
      <w:r w:rsidR="005C3A0E">
        <w:t>, emphasi</w:t>
      </w:r>
      <w:r>
        <w:t>z</w:t>
      </w:r>
      <w:r w:rsidR="005C3A0E">
        <w:t xml:space="preserve">ed by the obligation </w:t>
      </w:r>
      <w:r>
        <w:t xml:space="preserve">imposed </w:t>
      </w:r>
      <w:r w:rsidR="005C3A0E">
        <w:t xml:space="preserve">on an applicant to declare that he is in possession of the invention, </w:t>
      </w:r>
      <w:r w:rsidR="005C3A0E" w:rsidRPr="00877ECB">
        <w:rPr>
          <w:i/>
        </w:rPr>
        <w:t>implies that an applicant must have actually made an invention before he can describe it in his provisional specification</w:t>
      </w:r>
      <w:r w:rsidR="005C3A0E">
        <w:t>…But if it appears from admissible evidence–and the applicant’s own statements are as such–that he had not then conceived the idea which his words convey to other minds, I think that he is not in possession of the invention</w:t>
      </w:r>
      <w:r>
        <w:t>,</w:t>
      </w:r>
      <w:r w:rsidR="005C3A0E">
        <w:t xml:space="preserve"> and is not the inventor</w:t>
      </w:r>
      <w:r>
        <w:t>…</w:t>
      </w:r>
      <w:r w:rsidR="005C3A0E">
        <w:t xml:space="preserve"> In </w:t>
      </w:r>
      <w:r w:rsidR="005C3A0E">
        <w:rPr>
          <w:i/>
        </w:rPr>
        <w:t>Edison and Swan Electric Light Co</w:t>
      </w:r>
      <w:r>
        <w:rPr>
          <w:i/>
        </w:rPr>
        <w:t>.</w:t>
      </w:r>
      <w:r w:rsidR="005C3A0E">
        <w:rPr>
          <w:i/>
        </w:rPr>
        <w:t xml:space="preserve"> v Woodhouse</w:t>
      </w:r>
      <w:r w:rsidR="005C3A0E">
        <w:t xml:space="preserve"> [32 </w:t>
      </w:r>
      <w:proofErr w:type="spellStart"/>
      <w:r w:rsidR="005C3A0E">
        <w:t>Ch</w:t>
      </w:r>
      <w:proofErr w:type="spellEnd"/>
      <w:r w:rsidR="005C3A0E">
        <w:t xml:space="preserve"> </w:t>
      </w:r>
      <w:r w:rsidR="005C3A0E">
        <w:lastRenderedPageBreak/>
        <w:t>D, 520 at p</w:t>
      </w:r>
      <w:r>
        <w:t>.</w:t>
      </w:r>
      <w:r w:rsidR="005C3A0E">
        <w:t xml:space="preserve"> 524] Butt J said: “I agree…that an inventor has no right to put into his final specification as part of his invention a discovery which he had not made at the time, of which he was ignorant when he filed his provisional specification…”</w:t>
      </w:r>
    </w:p>
    <w:p w14:paraId="24A531F3" w14:textId="186462A8" w:rsidR="00845E64" w:rsidRPr="00B559AF" w:rsidRDefault="00845E64" w:rsidP="005C3A0E">
      <w:pPr>
        <w:pStyle w:val="Quote1"/>
      </w:pPr>
      <w:r>
        <w:t>(</w:t>
      </w:r>
      <w:proofErr w:type="gramStart"/>
      <w:r>
        <w:t>emphasis</w:t>
      </w:r>
      <w:proofErr w:type="gramEnd"/>
      <w:r>
        <w:t xml:space="preserve"> added)</w:t>
      </w:r>
    </w:p>
    <w:p w14:paraId="33BD5888" w14:textId="335E3CFA" w:rsidR="00B11A9E" w:rsidRDefault="001C087E" w:rsidP="005C3A0E">
      <w:pPr>
        <w:pStyle w:val="ParaNumbering"/>
      </w:pPr>
      <w:r w:rsidRPr="001C087E">
        <w:t xml:space="preserve">It may be seen that Griffiths CJ considered that the scheme of the </w:t>
      </w:r>
      <w:r w:rsidRPr="00877ECB">
        <w:rPr>
          <w:i/>
        </w:rPr>
        <w:t>Patents Act 1903</w:t>
      </w:r>
      <w:r w:rsidRPr="001C087E">
        <w:t xml:space="preserve"> established an implication that an applicant for a patent must have actually made the invention before an application could be made for a patent for that invention. </w:t>
      </w:r>
      <w:r w:rsidR="00FB6FB2">
        <w:t>F</w:t>
      </w:r>
      <w:r w:rsidRPr="001C087E">
        <w:t xml:space="preserve">or the patent applicant to be </w:t>
      </w:r>
      <w:r>
        <w:t>entitled to the invention, the inventor’s</w:t>
      </w:r>
      <w:r w:rsidRPr="001C087E">
        <w:t xml:space="preserve"> role in conceiving of the invention must be </w:t>
      </w:r>
      <w:r>
        <w:t xml:space="preserve">able to be </w:t>
      </w:r>
      <w:r w:rsidRPr="001C087E">
        <w:t>demonstrated.</w:t>
      </w:r>
    </w:p>
    <w:p w14:paraId="4AC78B4A" w14:textId="3B8F0112" w:rsidR="005C3A0E" w:rsidRDefault="00653401" w:rsidP="005C3A0E">
      <w:pPr>
        <w:pStyle w:val="ParaNumbering"/>
      </w:pPr>
      <w:r>
        <w:t xml:space="preserve">Section </w:t>
      </w:r>
      <w:r w:rsidR="005C3A0E" w:rsidRPr="00276C7E">
        <w:t>34</w:t>
      </w:r>
      <w:r w:rsidR="00376FA0" w:rsidRPr="00276C7E">
        <w:t>(1)</w:t>
      </w:r>
      <w:r w:rsidR="005C3A0E" w:rsidRPr="00211607">
        <w:t xml:space="preserve"> of the </w:t>
      </w:r>
      <w:r w:rsidR="005C3A0E" w:rsidRPr="00D72A99">
        <w:rPr>
          <w:i/>
        </w:rPr>
        <w:t>Patents Act 1952</w:t>
      </w:r>
      <w:r w:rsidR="005C3A0E" w:rsidRPr="00D72A99">
        <w:t xml:space="preserve"> (</w:t>
      </w:r>
      <w:proofErr w:type="spellStart"/>
      <w:r w:rsidR="005C3A0E" w:rsidRPr="00D72A99">
        <w:t>Cth</w:t>
      </w:r>
      <w:proofErr w:type="spellEnd"/>
      <w:r w:rsidR="005C3A0E" w:rsidRPr="00D72A99">
        <w:t xml:space="preserve">) </w:t>
      </w:r>
      <w:r w:rsidR="005C3A0E">
        <w:t>was in similar terms. It provided:</w:t>
      </w:r>
    </w:p>
    <w:p w14:paraId="64376FB8" w14:textId="3AACC318" w:rsidR="005C3A0E" w:rsidRDefault="005C3A0E" w:rsidP="005C3A0E">
      <w:pPr>
        <w:pStyle w:val="Quote1"/>
      </w:pPr>
      <w:r>
        <w:t>Any of the following persons, whether a</w:t>
      </w:r>
      <w:r w:rsidR="00376FA0">
        <w:t>n</w:t>
      </w:r>
      <w:r>
        <w:t xml:space="preserve"> </w:t>
      </w:r>
      <w:r w:rsidR="00376FA0">
        <w:t>Australian citizen</w:t>
      </w:r>
      <w:r>
        <w:t xml:space="preserve"> or not, may make an application for a patent:</w:t>
      </w:r>
    </w:p>
    <w:p w14:paraId="3DC5DDE1" w14:textId="10C534BB" w:rsidR="005C3A0E" w:rsidRDefault="005C3A0E" w:rsidP="0086115E">
      <w:pPr>
        <w:pStyle w:val="Quote2"/>
        <w:ind w:left="2160" w:hanging="720"/>
      </w:pPr>
      <w:r>
        <w:t>(a)</w:t>
      </w:r>
      <w:r w:rsidR="00376FA0">
        <w:tab/>
      </w:r>
      <w:proofErr w:type="gramStart"/>
      <w:r>
        <w:t>the</w:t>
      </w:r>
      <w:proofErr w:type="gramEnd"/>
      <w:r>
        <w:t xml:space="preserve"> actual inventor; </w:t>
      </w:r>
    </w:p>
    <w:p w14:paraId="6ADDDA20" w14:textId="7884A892" w:rsidR="005C3A0E" w:rsidRDefault="005C3A0E" w:rsidP="0086115E">
      <w:pPr>
        <w:pStyle w:val="Quote2"/>
        <w:ind w:left="2160" w:hanging="720"/>
      </w:pPr>
      <w:r>
        <w:t>(b)</w:t>
      </w:r>
      <w:r w:rsidR="00376FA0">
        <w:tab/>
      </w:r>
      <w:proofErr w:type="gramStart"/>
      <w:r>
        <w:t>the</w:t>
      </w:r>
      <w:proofErr w:type="gramEnd"/>
      <w:r>
        <w:t xml:space="preserve"> assignee of the actual inventor; </w:t>
      </w:r>
    </w:p>
    <w:p w14:paraId="5C05F236" w14:textId="1443E38D" w:rsidR="005C3A0E" w:rsidRDefault="005C3A0E" w:rsidP="0086115E">
      <w:pPr>
        <w:pStyle w:val="Quote2"/>
        <w:ind w:left="2160" w:hanging="720"/>
      </w:pPr>
      <w:r>
        <w:t>(c)</w:t>
      </w:r>
      <w:r w:rsidR="00376FA0">
        <w:tab/>
      </w:r>
      <w:proofErr w:type="gramStart"/>
      <w:r>
        <w:t>the</w:t>
      </w:r>
      <w:proofErr w:type="gramEnd"/>
      <w:r>
        <w:t xml:space="preserve"> legal representative of a deceased actual inventor; </w:t>
      </w:r>
    </w:p>
    <w:p w14:paraId="6B29F3BB" w14:textId="0B7D4B1A" w:rsidR="005C3A0E" w:rsidRDefault="005C3A0E" w:rsidP="0086115E">
      <w:pPr>
        <w:pStyle w:val="Quote2"/>
        <w:ind w:left="2160" w:hanging="720"/>
      </w:pPr>
      <w:r>
        <w:t>(d)</w:t>
      </w:r>
      <w:r w:rsidR="00376FA0">
        <w:tab/>
      </w:r>
      <w:proofErr w:type="gramStart"/>
      <w:r>
        <w:t>the</w:t>
      </w:r>
      <w:proofErr w:type="gramEnd"/>
      <w:r>
        <w:t xml:space="preserve"> legal representative of a deceased assignee of the actual inventor;</w:t>
      </w:r>
    </w:p>
    <w:p w14:paraId="43783F46" w14:textId="60B6E4BB" w:rsidR="005C3A0E" w:rsidRDefault="005C3A0E" w:rsidP="0086115E">
      <w:pPr>
        <w:pStyle w:val="Quote2"/>
        <w:ind w:left="2160" w:hanging="720"/>
      </w:pPr>
      <w:r>
        <w:t>(e)</w:t>
      </w:r>
      <w:r w:rsidR="00376FA0">
        <w:tab/>
      </w:r>
      <w:proofErr w:type="gramStart"/>
      <w:r>
        <w:t>a</w:t>
      </w:r>
      <w:proofErr w:type="gramEnd"/>
      <w:r>
        <w:t xml:space="preserve"> person to whom the invention has been communicated by the actual inventor, his legal representative or assignee (if the actual inventor, his legal representative or assignee is not resident in Australia</w:t>
      </w:r>
      <w:r w:rsidR="007E02C9">
        <w:t>)</w:t>
      </w:r>
      <w:r>
        <w:t xml:space="preserve">; </w:t>
      </w:r>
    </w:p>
    <w:p w14:paraId="77204175" w14:textId="6371D44A" w:rsidR="005C3A0E" w:rsidRDefault="005C3A0E" w:rsidP="0086115E">
      <w:pPr>
        <w:pStyle w:val="Quote2"/>
        <w:ind w:left="2160" w:hanging="720"/>
      </w:pPr>
      <w:r>
        <w:t>(f)</w:t>
      </w:r>
      <w:r w:rsidR="00376FA0">
        <w:tab/>
      </w:r>
      <w:proofErr w:type="gramStart"/>
      <w:r>
        <w:t>the</w:t>
      </w:r>
      <w:proofErr w:type="gramEnd"/>
      <w:r>
        <w:t xml:space="preserve"> assignee of such a legal representative as is specified in paragraph (c) or (d);</w:t>
      </w:r>
    </w:p>
    <w:p w14:paraId="2B7C2E53" w14:textId="20EA0C7A" w:rsidR="005C3A0E" w:rsidRDefault="005C3A0E" w:rsidP="0086115E">
      <w:pPr>
        <w:pStyle w:val="Quote2"/>
        <w:ind w:left="2160" w:hanging="720"/>
      </w:pPr>
      <w:r>
        <w:t>(fa)</w:t>
      </w:r>
      <w:r w:rsidR="00376FA0">
        <w:tab/>
      </w:r>
      <w:r>
        <w:t>the person who would, if a patent were granted upon an application made by a person referred to in any of the preceding paragraphs be entitled to have the patent assigned to him; or</w:t>
      </w:r>
    </w:p>
    <w:p w14:paraId="5609F3B4" w14:textId="4DED65E2" w:rsidR="005C3A0E" w:rsidRDefault="005C3A0E" w:rsidP="0086115E">
      <w:pPr>
        <w:pStyle w:val="Quote2"/>
        <w:ind w:left="2160" w:hanging="720"/>
      </w:pPr>
      <w:r>
        <w:t>(g)</w:t>
      </w:r>
      <w:r w:rsidR="00376FA0">
        <w:tab/>
      </w:r>
      <w:proofErr w:type="gramStart"/>
      <w:r>
        <w:t>the</w:t>
      </w:r>
      <w:proofErr w:type="gramEnd"/>
      <w:r>
        <w:t xml:space="preserve"> agent or attorney of a person referred to in any of the preceding paragraphs. </w:t>
      </w:r>
    </w:p>
    <w:p w14:paraId="5C870241" w14:textId="41CC3382" w:rsidR="001C087E" w:rsidRDefault="005C3A0E" w:rsidP="001C087E">
      <w:pPr>
        <w:pStyle w:val="ParaNumbering"/>
      </w:pPr>
      <w:r>
        <w:t xml:space="preserve">In each of these provisions, the </w:t>
      </w:r>
      <w:r w:rsidR="009D1002">
        <w:t>ability of a</w:t>
      </w:r>
      <w:r>
        <w:t xml:space="preserve"> person to make an application for a patent was </w:t>
      </w:r>
      <w:proofErr w:type="gramStart"/>
      <w:r>
        <w:t>predicated</w:t>
      </w:r>
      <w:proofErr w:type="gramEnd"/>
      <w:r>
        <w:t xml:space="preserve"> upon the existence of an “actual inventor” from whom the entitlement </w:t>
      </w:r>
      <w:r w:rsidR="001446AB">
        <w:t xml:space="preserve">to the patent </w:t>
      </w:r>
      <w:r>
        <w:t xml:space="preserve">was directly or indirectly derived. </w:t>
      </w:r>
      <w:r w:rsidR="00726F53">
        <w:t>P</w:t>
      </w:r>
      <w:r w:rsidR="001C087E" w:rsidRPr="001C087E">
        <w:t xml:space="preserve">aragraphs (a), (c) and (e) describe the actual inventor as, respectively, a person, </w:t>
      </w:r>
      <w:r w:rsidR="001C087E">
        <w:t xml:space="preserve">one that </w:t>
      </w:r>
      <w:r w:rsidR="001C087E" w:rsidRPr="001C087E">
        <w:t>is deceased and has a legal representative</w:t>
      </w:r>
      <w:r w:rsidR="001C087E">
        <w:t xml:space="preserve"> (which must be a person)</w:t>
      </w:r>
      <w:r w:rsidR="001C087E" w:rsidRPr="001C087E">
        <w:t xml:space="preserve">, and </w:t>
      </w:r>
      <w:r w:rsidR="001C087E">
        <w:t>one that is not</w:t>
      </w:r>
      <w:r w:rsidR="00060082">
        <w:t xml:space="preserve"> resident in Australia. P</w:t>
      </w:r>
      <w:r w:rsidR="001C087E" w:rsidRPr="001C087E">
        <w:t>aragraphs (b), (d), (f) and (fa) all contemplate an assignment happening between the patent applicant and the actual inventor. It is clear from these provisions that only a person with a legal personality could be the “actual inventor” under this legislative scheme.</w:t>
      </w:r>
    </w:p>
    <w:p w14:paraId="15133B3D" w14:textId="2E0352C3" w:rsidR="005C3A0E" w:rsidRPr="00A12A85" w:rsidRDefault="005C3A0E" w:rsidP="00883CBF">
      <w:pPr>
        <w:pStyle w:val="ParaNumbering"/>
      </w:pPr>
      <w:bookmarkStart w:id="40" w:name="_Ref99465055"/>
      <w:r>
        <w:lastRenderedPageBreak/>
        <w:t xml:space="preserve">The </w:t>
      </w:r>
      <w:r w:rsidR="00FE743C">
        <w:t xml:space="preserve">current </w:t>
      </w:r>
      <w:r w:rsidRPr="00877ECB">
        <w:rPr>
          <w:i/>
        </w:rPr>
        <w:t>Patents Act</w:t>
      </w:r>
      <w:r>
        <w:t xml:space="preserve"> was based in large part on the recommendations of the </w:t>
      </w:r>
      <w:r w:rsidRPr="00276C7E">
        <w:t xml:space="preserve">Industrial Property Advisory Committee </w:t>
      </w:r>
      <w:r w:rsidR="000102CB" w:rsidRPr="00276C7E">
        <w:t xml:space="preserve">in its report </w:t>
      </w:r>
      <w:r w:rsidR="000102CB" w:rsidRPr="00211607">
        <w:rPr>
          <w:i/>
        </w:rPr>
        <w:t>Patents, Innovation and Competition in Australia</w:t>
      </w:r>
      <w:r w:rsidR="000102CB" w:rsidRPr="00D72A99">
        <w:t xml:space="preserve"> </w:t>
      </w:r>
      <w:r w:rsidRPr="003F295C">
        <w:t>(</w:t>
      </w:r>
      <w:r w:rsidRPr="003F295C">
        <w:rPr>
          <w:b/>
        </w:rPr>
        <w:t>IPAC report</w:t>
      </w:r>
      <w:r w:rsidRPr="003F295C">
        <w:t>)</w:t>
      </w:r>
      <w:r w:rsidR="002D23C1" w:rsidRPr="003F295C">
        <w:t>:</w:t>
      </w:r>
      <w:r w:rsidRPr="003F295C">
        <w:t xml:space="preserve"> see </w:t>
      </w:r>
      <w:r w:rsidRPr="003F295C">
        <w:rPr>
          <w:i/>
        </w:rPr>
        <w:t>Lahore, Patents, Trade Marks and Related Rights</w:t>
      </w:r>
      <w:r w:rsidR="00B5702B">
        <w:t xml:space="preserve"> at</w:t>
      </w:r>
      <w:r w:rsidRPr="001C087E">
        <w:rPr>
          <w:i/>
        </w:rPr>
        <w:t xml:space="preserve"> </w:t>
      </w:r>
      <w:r>
        <w:t>[5030]. It contained no recommendations that the role of the inventor</w:t>
      </w:r>
      <w:r w:rsidR="00CB1105">
        <w:t>,</w:t>
      </w:r>
      <w:r>
        <w:t xml:space="preserve"> as the person from whom the entitlement to the grant of the patent should be derived, would change. None of the second reading speeches or the Explanatory </w:t>
      </w:r>
      <w:r w:rsidR="0088223B">
        <w:t xml:space="preserve">Memoranda </w:t>
      </w:r>
      <w:r>
        <w:t xml:space="preserve">introducing s 15(1) to </w:t>
      </w:r>
      <w:r w:rsidRPr="00A12A85">
        <w:t xml:space="preserve">the </w:t>
      </w:r>
      <w:r w:rsidRPr="00A12A85">
        <w:rPr>
          <w:i/>
        </w:rPr>
        <w:t>Patents Act</w:t>
      </w:r>
      <w:r w:rsidRPr="00A12A85">
        <w:t xml:space="preserve"> suggested that the established law relating to entitlement was intended to be altered. </w:t>
      </w:r>
      <w:r w:rsidR="008B4B4D" w:rsidRPr="00A12A85">
        <w:t xml:space="preserve">Indeed, the </w:t>
      </w:r>
      <w:r w:rsidR="008B4B4D" w:rsidRPr="00276C7E">
        <w:rPr>
          <w:b/>
        </w:rPr>
        <w:t>Explanatory Memorandum</w:t>
      </w:r>
      <w:r w:rsidR="008B4B4D" w:rsidRPr="00276C7E">
        <w:t xml:space="preserve"> to the </w:t>
      </w:r>
      <w:r w:rsidR="008B4B4D" w:rsidRPr="003D033E">
        <w:t>Patents Bill 1989</w:t>
      </w:r>
      <w:r w:rsidR="008B4B4D" w:rsidRPr="00D72A99">
        <w:t xml:space="preserve"> (</w:t>
      </w:r>
      <w:proofErr w:type="spellStart"/>
      <w:r w:rsidR="008B4B4D" w:rsidRPr="00D72A99">
        <w:t>Cth</w:t>
      </w:r>
      <w:proofErr w:type="spellEnd"/>
      <w:r w:rsidR="008B4B4D" w:rsidRPr="00D72A99">
        <w:t>)</w:t>
      </w:r>
      <w:r w:rsidR="007C7ACD" w:rsidRPr="00A12A85">
        <w:t xml:space="preserve"> stated the effect of s 15 as follows:</w:t>
      </w:r>
      <w:bookmarkEnd w:id="40"/>
    </w:p>
    <w:p w14:paraId="5DAF3AEE" w14:textId="5ECED8D9" w:rsidR="002B57F5" w:rsidRPr="00A12A85" w:rsidRDefault="002B57F5" w:rsidP="00877ECB">
      <w:pPr>
        <w:pStyle w:val="Quote1"/>
      </w:pPr>
      <w:r w:rsidRPr="00A12A85">
        <w:t>Broadly, a patent may be granted only to the inventor of the invention concerned or to a person deriving rights from the inventor.</w:t>
      </w:r>
    </w:p>
    <w:p w14:paraId="1DD44A4F" w14:textId="3102B5F8" w:rsidR="00954CF7" w:rsidRDefault="00072272" w:rsidP="00214D92">
      <w:pPr>
        <w:pStyle w:val="ParaNumbering"/>
      </w:pPr>
      <w:r w:rsidRPr="00A12A85">
        <w:t xml:space="preserve">Although </w:t>
      </w:r>
      <w:r w:rsidR="00214D92" w:rsidRPr="00A12A85">
        <w:t>not defined</w:t>
      </w:r>
      <w:r w:rsidR="00954CF7" w:rsidRPr="00A12A85">
        <w:t xml:space="preserve"> in the </w:t>
      </w:r>
      <w:r w:rsidR="00954CF7" w:rsidRPr="00A12A85">
        <w:rPr>
          <w:i/>
        </w:rPr>
        <w:t>Patents Act</w:t>
      </w:r>
      <w:r w:rsidR="00214D92" w:rsidRPr="00A12A85">
        <w:t xml:space="preserve">, </w:t>
      </w:r>
      <w:r w:rsidRPr="00A12A85">
        <w:t>the term</w:t>
      </w:r>
      <w:r>
        <w:t xml:space="preserve"> “inventor”</w:t>
      </w:r>
      <w:r w:rsidR="00B11A9E">
        <w:t xml:space="preserve"> i</w:t>
      </w:r>
      <w:r w:rsidR="007C514B">
        <w:t>n</w:t>
      </w:r>
      <w:r w:rsidR="001C087E">
        <w:t xml:space="preserve"> 15(1)</w:t>
      </w:r>
      <w:r>
        <w:t xml:space="preserve"> plainly enough is a reference to</w:t>
      </w:r>
      <w:r w:rsidR="00214D92">
        <w:t xml:space="preserve"> the inventor of the invention the subject</w:t>
      </w:r>
      <w:r w:rsidR="004D5E98">
        <w:t xml:space="preserve"> of the patent application. </w:t>
      </w:r>
      <w:r w:rsidR="008D1AD4">
        <w:t xml:space="preserve">“Inventor” </w:t>
      </w:r>
      <w:r w:rsidR="00B26C2A">
        <w:t xml:space="preserve">has </w:t>
      </w:r>
      <w:r w:rsidR="00214D92">
        <w:t>long been held to bear its ordinary English meaning</w:t>
      </w:r>
      <w:r w:rsidR="00287898">
        <w:t>,</w:t>
      </w:r>
      <w:r w:rsidR="00214D92">
        <w:t xml:space="preserve"> being the person(s) responsible </w:t>
      </w:r>
      <w:r w:rsidR="00E017D2">
        <w:t>f</w:t>
      </w:r>
      <w:r w:rsidR="00214D92">
        <w:t>or making the invention, namely</w:t>
      </w:r>
      <w:r w:rsidR="00A37D27">
        <w:t>,</w:t>
      </w:r>
      <w:r w:rsidR="00214D92">
        <w:t xml:space="preserve"> </w:t>
      </w:r>
      <w:r w:rsidR="009F7D5D">
        <w:t>“</w:t>
      </w:r>
      <w:r w:rsidR="00214D92">
        <w:t>the person who makes or devises the process or product</w:t>
      </w:r>
      <w:r w:rsidR="009F7D5D">
        <w:t>”</w:t>
      </w:r>
      <w:r w:rsidR="00A37D27">
        <w:t>:</w:t>
      </w:r>
      <w:r w:rsidR="00214D92">
        <w:t xml:space="preserve"> </w:t>
      </w:r>
      <w:r w:rsidR="00214D92">
        <w:rPr>
          <w:i/>
        </w:rPr>
        <w:t>J</w:t>
      </w:r>
      <w:r w:rsidR="00A06F8F">
        <w:rPr>
          <w:i/>
        </w:rPr>
        <w:t>M</w:t>
      </w:r>
      <w:r w:rsidR="00214D92">
        <w:rPr>
          <w:i/>
        </w:rPr>
        <w:t xml:space="preserve">VB Enterprises </w:t>
      </w:r>
      <w:r w:rsidR="00214D92">
        <w:t>at [71]</w:t>
      </w:r>
      <w:r w:rsidR="00916FD4">
        <w:t>-</w:t>
      </w:r>
      <w:r w:rsidR="00214D92">
        <w:t xml:space="preserve">[72]; </w:t>
      </w:r>
      <w:r w:rsidR="00214D92" w:rsidRPr="00276C7E">
        <w:rPr>
          <w:i/>
        </w:rPr>
        <w:t xml:space="preserve">Atlantis Corporation v Schindler </w:t>
      </w:r>
      <w:r w:rsidR="00D2357B" w:rsidRPr="00276C7E">
        <w:t xml:space="preserve">[1997] FCA 1105; </w:t>
      </w:r>
      <w:r w:rsidR="00214D92" w:rsidRPr="00211607">
        <w:t>39 IPR 29</w:t>
      </w:r>
      <w:r w:rsidR="00214D92">
        <w:t xml:space="preserve"> at 54 (Wilcox and Lindgren JJ). </w:t>
      </w:r>
    </w:p>
    <w:p w14:paraId="7433868C" w14:textId="500BC622" w:rsidR="00214D92" w:rsidRDefault="00214D92" w:rsidP="00214D92">
      <w:pPr>
        <w:pStyle w:val="ParaNumbering"/>
      </w:pPr>
      <w:r>
        <w:t xml:space="preserve">The </w:t>
      </w:r>
      <w:r w:rsidR="00954CF7">
        <w:t xml:space="preserve">inventor </w:t>
      </w:r>
      <w:r>
        <w:t>for the purposes of s 15(1</w:t>
      </w:r>
      <w:proofErr w:type="gramStart"/>
      <w:r>
        <w:t>)(</w:t>
      </w:r>
      <w:proofErr w:type="gramEnd"/>
      <w:r>
        <w:t xml:space="preserve">a) </w:t>
      </w:r>
      <w:r w:rsidR="00954CF7">
        <w:t xml:space="preserve">is </w:t>
      </w:r>
      <w:r>
        <w:t>the person who is responsible for the “inventive concept”</w:t>
      </w:r>
      <w:r w:rsidR="00E96FFC">
        <w:t>.</w:t>
      </w:r>
      <w:r>
        <w:t xml:space="preserve"> </w:t>
      </w:r>
      <w:r w:rsidR="00E96FFC">
        <w:t>Such an inventor is</w:t>
      </w:r>
      <w:r>
        <w:t xml:space="preserve"> the person</w:t>
      </w:r>
      <w:r w:rsidR="00E96FFC">
        <w:t>,</w:t>
      </w:r>
      <w:r>
        <w:t xml:space="preserve"> or one of the people</w:t>
      </w:r>
      <w:r w:rsidR="00E96FFC">
        <w:t>,</w:t>
      </w:r>
      <w:r>
        <w:t xml:space="preserve"> who materially contributes to the inventive concept as </w:t>
      </w:r>
      <w:r w:rsidR="00653401">
        <w:t xml:space="preserve">described </w:t>
      </w:r>
      <w:r>
        <w:t>in the specification and the subject of the claims</w:t>
      </w:r>
      <w:r w:rsidR="00E96FFC">
        <w:t>:</w:t>
      </w:r>
      <w:r>
        <w:t xml:space="preserve"> </w:t>
      </w:r>
      <w:r>
        <w:rPr>
          <w:i/>
        </w:rPr>
        <w:t xml:space="preserve">Vehicle Monitoring Systems </w:t>
      </w:r>
      <w:r>
        <w:t xml:space="preserve">at [52]; </w:t>
      </w:r>
      <w:proofErr w:type="spellStart"/>
      <w:r w:rsidRPr="00276C7E">
        <w:rPr>
          <w:b/>
          <w:i/>
        </w:rPr>
        <w:t>Polwood</w:t>
      </w:r>
      <w:proofErr w:type="spellEnd"/>
      <w:r w:rsidRPr="00276C7E">
        <w:rPr>
          <w:b/>
          <w:i/>
        </w:rPr>
        <w:t xml:space="preserve"> </w:t>
      </w:r>
      <w:r w:rsidRPr="00276C7E">
        <w:rPr>
          <w:i/>
        </w:rPr>
        <w:t xml:space="preserve">Pty Ltd v </w:t>
      </w:r>
      <w:proofErr w:type="spellStart"/>
      <w:r w:rsidRPr="00276C7E">
        <w:rPr>
          <w:i/>
        </w:rPr>
        <w:t>Foxworth</w:t>
      </w:r>
      <w:proofErr w:type="spellEnd"/>
      <w:r w:rsidRPr="00276C7E">
        <w:rPr>
          <w:i/>
        </w:rPr>
        <w:t xml:space="preserve"> Pty Ltd </w:t>
      </w:r>
      <w:r w:rsidR="00BB0102" w:rsidRPr="00211607">
        <w:t>[</w:t>
      </w:r>
      <w:r w:rsidRPr="00D72A99">
        <w:t>2008</w:t>
      </w:r>
      <w:r w:rsidR="00BB0102" w:rsidRPr="00D72A99">
        <w:t>] FCAFC9;</w:t>
      </w:r>
      <w:r w:rsidRPr="00D72A99">
        <w:t xml:space="preserve"> 165 FCR 527</w:t>
      </w:r>
      <w:r>
        <w:t xml:space="preserve"> at [59]</w:t>
      </w:r>
      <w:r w:rsidR="00E6483D">
        <w:t>-</w:t>
      </w:r>
      <w:r>
        <w:t>[66]</w:t>
      </w:r>
      <w:r w:rsidR="00E6483D">
        <w:t xml:space="preserve"> (Finn, Bennett and Greenwood JJ)</w:t>
      </w:r>
      <w:r>
        <w:t xml:space="preserve">; </w:t>
      </w:r>
      <w:r w:rsidRPr="00276C7E">
        <w:rPr>
          <w:i/>
        </w:rPr>
        <w:t xml:space="preserve">University of Western Australia v </w:t>
      </w:r>
      <w:proofErr w:type="spellStart"/>
      <w:r w:rsidRPr="00276C7E">
        <w:rPr>
          <w:i/>
        </w:rPr>
        <w:t>Gray</w:t>
      </w:r>
      <w:proofErr w:type="spellEnd"/>
      <w:r w:rsidRPr="00276C7E">
        <w:rPr>
          <w:i/>
        </w:rPr>
        <w:t xml:space="preserve"> (No 20)</w:t>
      </w:r>
      <w:r w:rsidRPr="00211607">
        <w:t xml:space="preserve"> </w:t>
      </w:r>
      <w:r w:rsidRPr="00D72A99">
        <w:t>[2008] FCA 498; 76 IPR 222</w:t>
      </w:r>
      <w:r w:rsidRPr="002F7FC3">
        <w:t xml:space="preserve"> at </w:t>
      </w:r>
      <w:r>
        <w:t xml:space="preserve">[1443] (French J) and upheld on appeal in </w:t>
      </w:r>
      <w:r w:rsidRPr="00276C7E">
        <w:rPr>
          <w:i/>
        </w:rPr>
        <w:t xml:space="preserve">University of Western Australia v </w:t>
      </w:r>
      <w:proofErr w:type="spellStart"/>
      <w:r w:rsidRPr="00276C7E">
        <w:rPr>
          <w:i/>
        </w:rPr>
        <w:t>Gray</w:t>
      </w:r>
      <w:proofErr w:type="spellEnd"/>
      <w:r w:rsidRPr="00276C7E">
        <w:rPr>
          <w:i/>
        </w:rPr>
        <w:t xml:space="preserve"> </w:t>
      </w:r>
      <w:r w:rsidRPr="00276C7E">
        <w:t xml:space="preserve">[2009] FCAFC 116; 179 FCR 346 </w:t>
      </w:r>
      <w:r>
        <w:t xml:space="preserve">at </w:t>
      </w:r>
      <w:r w:rsidR="004360A7">
        <w:t xml:space="preserve">[221] and </w:t>
      </w:r>
      <w:r>
        <w:t>[263] (Lindgren, Finn</w:t>
      </w:r>
      <w:r w:rsidR="003E40AC">
        <w:t xml:space="preserve"> and</w:t>
      </w:r>
      <w:r>
        <w:t xml:space="preserve"> Bennett JJ); </w:t>
      </w:r>
      <w:r w:rsidR="00A06F8F">
        <w:t xml:space="preserve">and </w:t>
      </w:r>
      <w:proofErr w:type="spellStart"/>
      <w:r w:rsidRPr="00276C7E">
        <w:rPr>
          <w:i/>
        </w:rPr>
        <w:t>Kafataris</w:t>
      </w:r>
      <w:proofErr w:type="spellEnd"/>
      <w:r w:rsidRPr="00276C7E">
        <w:rPr>
          <w:i/>
        </w:rPr>
        <w:t xml:space="preserve"> v Davis </w:t>
      </w:r>
      <w:r w:rsidRPr="00276C7E">
        <w:t>[2016] FCAFC 134; 120 IPR 206</w:t>
      </w:r>
      <w:r>
        <w:t xml:space="preserve"> at [62]</w:t>
      </w:r>
      <w:r w:rsidR="00744488">
        <w:t xml:space="preserve"> and</w:t>
      </w:r>
      <w:r>
        <w:t xml:space="preserve"> [65]</w:t>
      </w:r>
      <w:r w:rsidR="00744488">
        <w:t xml:space="preserve"> (Greenwood, Middleton and McKerracher JJ)</w:t>
      </w:r>
      <w:r>
        <w:t xml:space="preserve">. </w:t>
      </w:r>
      <w:r w:rsidRPr="002F7FC3">
        <w:t xml:space="preserve"> </w:t>
      </w:r>
    </w:p>
    <w:p w14:paraId="3B786514" w14:textId="4ADC7D5C" w:rsidR="00B11A9E" w:rsidRPr="00A12A85" w:rsidRDefault="00954CF7" w:rsidP="00515753">
      <w:pPr>
        <w:pStyle w:val="ParaNumbering"/>
      </w:pPr>
      <w:r>
        <w:t>Identification of the inventor</w:t>
      </w:r>
      <w:r w:rsidR="00542855">
        <w:t xml:space="preserve"> within s 15(1) is </w:t>
      </w:r>
      <w:r>
        <w:t xml:space="preserve">of central relevance to the operation of the </w:t>
      </w:r>
      <w:r w:rsidRPr="00877ECB">
        <w:rPr>
          <w:i/>
        </w:rPr>
        <w:t>Patents Act</w:t>
      </w:r>
      <w:r>
        <w:t xml:space="preserve"> and is intertwined with concepts material to the validity of patent applications and patents. This may be seen </w:t>
      </w:r>
      <w:r w:rsidR="00B11A9E">
        <w:t>from the assumption to which we have referred in the context of the ground of revocation under s 138(3</w:t>
      </w:r>
      <w:proofErr w:type="gramStart"/>
      <w:r w:rsidR="00B11A9E">
        <w:t>)(</w:t>
      </w:r>
      <w:proofErr w:type="gramEnd"/>
      <w:r w:rsidR="00B11A9E">
        <w:t>d) that</w:t>
      </w:r>
      <w:r w:rsidR="009B1260">
        <w:t>,</w:t>
      </w:r>
      <w:r w:rsidR="00B11A9E">
        <w:t xml:space="preserve"> by the terms of the specification</w:t>
      </w:r>
      <w:r w:rsidR="009B1260">
        <w:t>,</w:t>
      </w:r>
      <w:r w:rsidR="00B11A9E">
        <w:t xml:space="preserve"> the </w:t>
      </w:r>
      <w:r w:rsidR="00B11A9E" w:rsidRPr="00877ECB">
        <w:rPr>
          <w:i/>
        </w:rPr>
        <w:t>inventor</w:t>
      </w:r>
      <w:r w:rsidR="00B11A9E">
        <w:t xml:space="preserve"> is making representations as to the nature of the invention</w:t>
      </w:r>
      <w:r w:rsidR="009B1260">
        <w:t>.</w:t>
      </w:r>
      <w:r w:rsidR="00B11A9E">
        <w:t xml:space="preserve"> </w:t>
      </w:r>
      <w:r w:rsidR="009B1260">
        <w:t>I</w:t>
      </w:r>
      <w:r w:rsidR="00B11A9E">
        <w:t xml:space="preserve">f a relevant </w:t>
      </w:r>
      <w:r w:rsidR="00C04A10">
        <w:t>mis</w:t>
      </w:r>
      <w:r w:rsidR="00B11A9E">
        <w:t xml:space="preserve">representation is </w:t>
      </w:r>
      <w:r w:rsidR="00B11A9E" w:rsidRPr="00A12A85">
        <w:t xml:space="preserve">material to the grant, the patent may be revoked.  </w:t>
      </w:r>
    </w:p>
    <w:p w14:paraId="77BD9E7E" w14:textId="4AD87F0D" w:rsidR="00954CF7" w:rsidRDefault="000130A3" w:rsidP="00515753">
      <w:pPr>
        <w:pStyle w:val="ParaNumbering"/>
      </w:pPr>
      <w:r w:rsidRPr="00A12A85">
        <w:lastRenderedPageBreak/>
        <w:t xml:space="preserve">The </w:t>
      </w:r>
      <w:r w:rsidR="003E0B43" w:rsidRPr="00A12A85">
        <w:t>central relevance</w:t>
      </w:r>
      <w:r w:rsidR="00DC0638" w:rsidRPr="00A12A85">
        <w:t xml:space="preserve"> of the</w:t>
      </w:r>
      <w:r w:rsidRPr="00A12A85">
        <w:t xml:space="preserve"> </w:t>
      </w:r>
      <w:r w:rsidR="00DC0638" w:rsidRPr="00A12A85">
        <w:t xml:space="preserve">identification of </w:t>
      </w:r>
      <w:r w:rsidRPr="00A12A85">
        <w:t>the inventor is also</w:t>
      </w:r>
      <w:r w:rsidR="00241C74" w:rsidRPr="00A12A85">
        <w:t xml:space="preserve"> apparent</w:t>
      </w:r>
      <w:r w:rsidR="00B11A9E" w:rsidRPr="00A12A85">
        <w:t xml:space="preserve"> </w:t>
      </w:r>
      <w:r w:rsidR="00954CF7" w:rsidRPr="00A12A85">
        <w:t>in the context of challenges to the right of a nominated person to be entitled to the grant of a patent</w:t>
      </w:r>
      <w:r w:rsidR="00954CF7">
        <w:t xml:space="preserve"> under </w:t>
      </w:r>
      <w:r w:rsidR="00954CF7" w:rsidRPr="00276C7E">
        <w:t xml:space="preserve">s 59 </w:t>
      </w:r>
      <w:r w:rsidR="00954CF7">
        <w:t>and challenges to the validity of a patent under</w:t>
      </w:r>
      <w:r w:rsidR="00542855">
        <w:t xml:space="preserve"> </w:t>
      </w:r>
      <w:r w:rsidR="00954CF7" w:rsidRPr="00276C7E">
        <w:t>s 138(3)(a)</w:t>
      </w:r>
      <w:r w:rsidR="00954CF7">
        <w:t xml:space="preserve">. Such challenges </w:t>
      </w:r>
      <w:r w:rsidR="00216434">
        <w:t xml:space="preserve">can </w:t>
      </w:r>
      <w:r w:rsidR="00954CF7">
        <w:t>involve an opponent contesting the entitlement of the nominated person to the grant at all, or contending that he or she is jointly entitled to the grant, or by contending that a person other than the patentee is entitled to the patent. The task of the Commissioner or the Court in adjudicating such disp</w:t>
      </w:r>
      <w:r w:rsidR="00542855">
        <w:t>utes</w:t>
      </w:r>
      <w:r w:rsidR="00954CF7">
        <w:t xml:space="preserve"> often involves a nuanced consideration of competing contentions as to who made relevant contributions to the invention</w:t>
      </w:r>
      <w:r w:rsidR="00912804">
        <w:t xml:space="preserve">, </w:t>
      </w:r>
      <w:r w:rsidR="00954CF7">
        <w:t xml:space="preserve">by objectively assessing those </w:t>
      </w:r>
      <w:r w:rsidR="00912804">
        <w:t xml:space="preserve">individual </w:t>
      </w:r>
      <w:r w:rsidR="00954CF7">
        <w:t>contributions</w:t>
      </w:r>
      <w:r w:rsidR="00912804">
        <w:t xml:space="preserve"> to the invention</w:t>
      </w:r>
      <w:r w:rsidR="00954CF7">
        <w:t xml:space="preserve">. If the final concept of the invention as described in the specification and claimed in the claims would not have come about without a particular person’s involvement, then that person has </w:t>
      </w:r>
      <w:r w:rsidR="00D6091F">
        <w:t xml:space="preserve">an </w:t>
      </w:r>
      <w:r w:rsidR="00954CF7">
        <w:t>entitlement to the invention. One must have regard to the invention as a whole, as well as the component parts and the relationship between the participants</w:t>
      </w:r>
      <w:r w:rsidR="00D6091F">
        <w:t>:</w:t>
      </w:r>
      <w:r w:rsidR="00954CF7">
        <w:t xml:space="preserve"> see</w:t>
      </w:r>
      <w:r w:rsidR="000712B3">
        <w:t xml:space="preserve"> </w:t>
      </w:r>
      <w:proofErr w:type="spellStart"/>
      <w:r w:rsidR="000712B3">
        <w:rPr>
          <w:i/>
        </w:rPr>
        <w:t>Polwood</w:t>
      </w:r>
      <w:proofErr w:type="spellEnd"/>
      <w:r w:rsidR="000712B3">
        <w:rPr>
          <w:i/>
        </w:rPr>
        <w:t xml:space="preserve"> </w:t>
      </w:r>
      <w:r w:rsidR="000712B3">
        <w:t xml:space="preserve">at [53], endorsing the observations of </w:t>
      </w:r>
      <w:proofErr w:type="spellStart"/>
      <w:r w:rsidR="000712B3">
        <w:t>Crennan</w:t>
      </w:r>
      <w:proofErr w:type="spellEnd"/>
      <w:r w:rsidR="000712B3">
        <w:t xml:space="preserve"> J in </w:t>
      </w:r>
      <w:r w:rsidR="000712B3" w:rsidRPr="00276C7E">
        <w:rPr>
          <w:i/>
        </w:rPr>
        <w:t xml:space="preserve">JMVB Enterprises Pty Ltd v </w:t>
      </w:r>
      <w:proofErr w:type="spellStart"/>
      <w:r w:rsidR="000712B3" w:rsidRPr="00276C7E">
        <w:rPr>
          <w:i/>
        </w:rPr>
        <w:t>Camoflag</w:t>
      </w:r>
      <w:proofErr w:type="spellEnd"/>
      <w:r w:rsidR="000712B3" w:rsidRPr="00276C7E">
        <w:rPr>
          <w:i/>
        </w:rPr>
        <w:t xml:space="preserve"> Pty Ltd</w:t>
      </w:r>
      <w:r w:rsidR="000712B3" w:rsidRPr="00276C7E">
        <w:t xml:space="preserve"> </w:t>
      </w:r>
      <w:r w:rsidR="00515753" w:rsidRPr="00211607">
        <w:t>[2005] FCA 1474; 67 IPR 68</w:t>
      </w:r>
      <w:r w:rsidR="000712B3" w:rsidRPr="000712B3">
        <w:t xml:space="preserve"> at [132]</w:t>
      </w:r>
      <w:r w:rsidR="00762CD6">
        <w:t>;</w:t>
      </w:r>
      <w:r w:rsidR="00A06F8F">
        <w:t xml:space="preserve"> and</w:t>
      </w:r>
      <w:r w:rsidR="006F5E03">
        <w:t xml:space="preserve"> </w:t>
      </w:r>
      <w:r w:rsidR="00515753">
        <w:rPr>
          <w:i/>
        </w:rPr>
        <w:t>Vehicle</w:t>
      </w:r>
      <w:r w:rsidR="006F5E03">
        <w:rPr>
          <w:i/>
        </w:rPr>
        <w:t xml:space="preserve"> Monitoring Systems </w:t>
      </w:r>
      <w:r w:rsidR="006F5E03">
        <w:t xml:space="preserve">at [104]. </w:t>
      </w:r>
      <w:r w:rsidR="00954CF7">
        <w:t xml:space="preserve"> </w:t>
      </w:r>
    </w:p>
    <w:p w14:paraId="40764EDF" w14:textId="77777777" w:rsidR="00EE0271" w:rsidRDefault="000712B3" w:rsidP="00AD7FC1">
      <w:pPr>
        <w:pStyle w:val="ParaNumbering"/>
      </w:pPr>
      <w:r>
        <w:t>The</w:t>
      </w:r>
      <w:r w:rsidR="00954CF7">
        <w:t xml:space="preserve"> relevant test for establishing whether </w:t>
      </w:r>
      <w:r>
        <w:t xml:space="preserve">a particular person is entitled to be named an inventor was stated in </w:t>
      </w:r>
      <w:proofErr w:type="spellStart"/>
      <w:r>
        <w:rPr>
          <w:i/>
        </w:rPr>
        <w:t>Polwood</w:t>
      </w:r>
      <w:proofErr w:type="spellEnd"/>
      <w:r>
        <w:rPr>
          <w:i/>
        </w:rPr>
        <w:t xml:space="preserve"> </w:t>
      </w:r>
      <w:r w:rsidR="006F5E03">
        <w:t>at [60]:</w:t>
      </w:r>
    </w:p>
    <w:p w14:paraId="15BC87AC" w14:textId="77777777" w:rsidR="006F5E03" w:rsidRDefault="006F5E03" w:rsidP="006F5E03">
      <w:pPr>
        <w:pStyle w:val="Quote1"/>
      </w:pPr>
      <w:r w:rsidRPr="006F5E03">
        <w:t>The invention or inventive concept of a patent or patent application should be discerned from the specification, the whole of the specification including the claims.  The body of the specification describes the invention and should explain the inventive concepts involved.  While the claims may claim less than the whole of the invention, they represent the patentee's description of the invention sought to be protected and for which the monopoly is claimed.  The claims assist in understanding the invention and the inventive concept or concepts that gave rise to it.  There may be only one invention but it may be the subject of more than one inventive concept or inventive contribution.  The invention may consist of a combination of elements.  It may be that different persons contributed to that combination.</w:t>
      </w:r>
    </w:p>
    <w:p w14:paraId="7CAD8FF9" w14:textId="6A2BDFA7" w:rsidR="006F5E03" w:rsidRDefault="006F5E03" w:rsidP="00877ECB">
      <w:pPr>
        <w:pStyle w:val="NoNum"/>
      </w:pPr>
      <w:r>
        <w:t xml:space="preserve">See </w:t>
      </w:r>
      <w:r w:rsidR="004D5E98">
        <w:t xml:space="preserve">also </w:t>
      </w:r>
      <w:r>
        <w:t xml:space="preserve">the detailed discussion of this subject in </w:t>
      </w:r>
      <w:r>
        <w:rPr>
          <w:i/>
        </w:rPr>
        <w:t xml:space="preserve">Vehicle Monitoring Systems </w:t>
      </w:r>
      <w:r>
        <w:t>at [62]</w:t>
      </w:r>
      <w:r w:rsidR="00B76479">
        <w:t>-</w:t>
      </w:r>
      <w:r>
        <w:t>[104].</w:t>
      </w:r>
    </w:p>
    <w:p w14:paraId="29793008" w14:textId="6EBCD46D" w:rsidR="005C3A0E" w:rsidRDefault="00542855" w:rsidP="006F5E03">
      <w:pPr>
        <w:pStyle w:val="ParaNumbering"/>
      </w:pPr>
      <w:r>
        <w:t>None of the</w:t>
      </w:r>
      <w:r w:rsidR="006F5E03">
        <w:t xml:space="preserve"> cases </w:t>
      </w:r>
      <w:r>
        <w:t xml:space="preserve">cited in the preceding </w:t>
      </w:r>
      <w:r w:rsidR="00AC7905">
        <w:t>five</w:t>
      </w:r>
      <w:r>
        <w:t xml:space="preserve"> paragraphs </w:t>
      </w:r>
      <w:r w:rsidR="006F5E03">
        <w:t xml:space="preserve">confronted the question that arose before the primary judge of whether or not the “inventor” </w:t>
      </w:r>
      <w:r>
        <w:t>could include an artificial intelligence machine</w:t>
      </w:r>
      <w:r w:rsidR="00B76479">
        <w:t>.</w:t>
      </w:r>
      <w:r w:rsidR="009F7D5D">
        <w:t xml:space="preserve"> </w:t>
      </w:r>
      <w:r w:rsidR="00B76479">
        <w:t>W</w:t>
      </w:r>
      <w:r w:rsidR="009F7D5D">
        <w:t xml:space="preserve">e do not take the references in </w:t>
      </w:r>
      <w:r w:rsidR="00B76479">
        <w:t xml:space="preserve">those cases </w:t>
      </w:r>
      <w:r w:rsidR="009F7D5D">
        <w:t>to “person” to mean</w:t>
      </w:r>
      <w:r w:rsidR="00B76479">
        <w:t>,</w:t>
      </w:r>
      <w:r w:rsidR="009F7D5D">
        <w:t xml:space="preserve"> definitively</w:t>
      </w:r>
      <w:r w:rsidR="00B76479">
        <w:t>,</w:t>
      </w:r>
      <w:r w:rsidR="009F7D5D">
        <w:t xml:space="preserve"> that an inventor under the </w:t>
      </w:r>
      <w:r w:rsidR="009F7D5D" w:rsidRPr="00877ECB">
        <w:rPr>
          <w:i/>
        </w:rPr>
        <w:t>Patents Act</w:t>
      </w:r>
      <w:r w:rsidR="009F7D5D">
        <w:t xml:space="preserve"> </w:t>
      </w:r>
      <w:r w:rsidR="004D5E98">
        <w:t xml:space="preserve">and </w:t>
      </w:r>
      <w:r w:rsidR="002E02B2" w:rsidRPr="00877ECB">
        <w:rPr>
          <w:i/>
        </w:rPr>
        <w:t>Regulations</w:t>
      </w:r>
      <w:r w:rsidR="002E02B2">
        <w:t xml:space="preserve"> </w:t>
      </w:r>
      <w:r w:rsidR="004D5E98">
        <w:t xml:space="preserve">must be a human. However, it is plain from these cases that the law relating to the entitlement of a person to the grant of a patent </w:t>
      </w:r>
      <w:r w:rsidR="00B20AFA">
        <w:t xml:space="preserve">is premised upon </w:t>
      </w:r>
      <w:r w:rsidR="004D5E98">
        <w:t xml:space="preserve">an invention for the purposes of the </w:t>
      </w:r>
      <w:r w:rsidR="004D5E98" w:rsidRPr="00877ECB">
        <w:rPr>
          <w:i/>
        </w:rPr>
        <w:t>Patents Act</w:t>
      </w:r>
      <w:r w:rsidR="004D5E98">
        <w:t xml:space="preserve"> aris</w:t>
      </w:r>
      <w:r w:rsidR="00997A3F">
        <w:t>ing</w:t>
      </w:r>
      <w:r w:rsidR="004D5E98">
        <w:t xml:space="preserve"> from the mind of </w:t>
      </w:r>
      <w:r w:rsidR="00653401">
        <w:t xml:space="preserve">a </w:t>
      </w:r>
      <w:r w:rsidR="004D5E98">
        <w:t>natural person</w:t>
      </w:r>
      <w:r w:rsidR="00653401">
        <w:t xml:space="preserve"> or persons</w:t>
      </w:r>
      <w:r w:rsidR="007D34D1">
        <w:t>.</w:t>
      </w:r>
      <w:r w:rsidR="004D5E98">
        <w:t xml:space="preserve"> </w:t>
      </w:r>
      <w:r w:rsidR="00997A3F">
        <w:t xml:space="preserve">Those </w:t>
      </w:r>
      <w:r w:rsidR="004D5E98">
        <w:t>who contribute to</w:t>
      </w:r>
      <w:r w:rsidR="00032211">
        <w:t>,</w:t>
      </w:r>
      <w:r w:rsidR="004D5E98">
        <w:t xml:space="preserve"> </w:t>
      </w:r>
      <w:r w:rsidR="004929EF">
        <w:t>or suppl</w:t>
      </w:r>
      <w:r w:rsidR="00997A3F">
        <w:t>y</w:t>
      </w:r>
      <w:r w:rsidR="00032211">
        <w:t>,</w:t>
      </w:r>
      <w:r w:rsidR="004929EF">
        <w:t xml:space="preserve"> </w:t>
      </w:r>
      <w:r w:rsidR="004D5E98">
        <w:t>the inventive concept</w:t>
      </w:r>
      <w:r w:rsidR="00997A3F">
        <w:t xml:space="preserve"> are entitled to </w:t>
      </w:r>
      <w:r w:rsidR="00006322">
        <w:t xml:space="preserve">the </w:t>
      </w:r>
      <w:r w:rsidR="00997A3F">
        <w:t>grant</w:t>
      </w:r>
      <w:r w:rsidR="004D5E98">
        <w:t xml:space="preserve">. </w:t>
      </w:r>
      <w:r w:rsidR="00B26C2A">
        <w:t xml:space="preserve">The grant of </w:t>
      </w:r>
      <w:r w:rsidR="003023ED">
        <w:t xml:space="preserve">a </w:t>
      </w:r>
      <w:r w:rsidR="00B26C2A">
        <w:t>patent</w:t>
      </w:r>
      <w:r w:rsidR="003023ED">
        <w:t xml:space="preserve"> for an invention rewards </w:t>
      </w:r>
      <w:r w:rsidR="00E243DF">
        <w:t xml:space="preserve">their </w:t>
      </w:r>
      <w:r w:rsidR="003023ED">
        <w:t>ingenuity</w:t>
      </w:r>
      <w:r w:rsidR="007D34D1">
        <w:t>.</w:t>
      </w:r>
    </w:p>
    <w:p w14:paraId="0F135383" w14:textId="7A025DDD" w:rsidR="003078B7" w:rsidRDefault="003078B7" w:rsidP="003078B7">
      <w:pPr>
        <w:pStyle w:val="ParaNumbering"/>
      </w:pPr>
      <w:r>
        <w:lastRenderedPageBreak/>
        <w:t xml:space="preserve">Where s 15(1)(a) provides that a patent for an invention may only be granted to “a person who is an inventor”, the reference to “a person” emphasises, in context, that this is a natural person. In this regard, we respectfully disagree with the Deputy Commissioner insofar as he considered that “person”, as understood in s 15(1)(a), to have the extended definition supplied by </w:t>
      </w:r>
      <w:r w:rsidRPr="00276C7E">
        <w:t xml:space="preserve">s 2C of the </w:t>
      </w:r>
      <w:r w:rsidRPr="00276C7E">
        <w:rPr>
          <w:i/>
        </w:rPr>
        <w:t>Acts Interpretation Act</w:t>
      </w:r>
      <w:r>
        <w:rPr>
          <w:i/>
        </w:rPr>
        <w:t xml:space="preserve">. </w:t>
      </w:r>
      <w:r>
        <w:t xml:space="preserve">There is a sufficient contrary intention in the </w:t>
      </w:r>
      <w:r w:rsidRPr="00877ECB">
        <w:rPr>
          <w:i/>
        </w:rPr>
        <w:t>Patents Act</w:t>
      </w:r>
      <w:r>
        <w:t xml:space="preserve"> for s 2C not apply to s 15(1</w:t>
      </w:r>
      <w:proofErr w:type="gramStart"/>
      <w:r>
        <w:t>)(</w:t>
      </w:r>
      <w:proofErr w:type="gramEnd"/>
      <w:r>
        <w:t>a):</w:t>
      </w:r>
      <w:r w:rsidRPr="00276C7E">
        <w:t xml:space="preserve"> </w:t>
      </w:r>
      <w:r w:rsidRPr="00276C7E">
        <w:rPr>
          <w:i/>
        </w:rPr>
        <w:t>Acts Interpretation Act</w:t>
      </w:r>
      <w:r w:rsidRPr="00276C7E">
        <w:t xml:space="preserve"> s 2(1)</w:t>
      </w:r>
      <w:r>
        <w:t>.</w:t>
      </w:r>
    </w:p>
    <w:p w14:paraId="20DEEAAB" w14:textId="101C3D41" w:rsidR="00CD079D" w:rsidRPr="004218BD" w:rsidRDefault="004929EF" w:rsidP="004929EF">
      <w:pPr>
        <w:pStyle w:val="ParaNumbering"/>
      </w:pPr>
      <w:r>
        <w:t>On a natural reading of s 15(1)</w:t>
      </w:r>
      <w:r w:rsidR="00CD079D">
        <w:t xml:space="preserve">, each of </w:t>
      </w:r>
      <w:proofErr w:type="spellStart"/>
      <w:r w:rsidR="00CD079D">
        <w:t>s</w:t>
      </w:r>
      <w:r w:rsidR="00D66466">
        <w:t>s</w:t>
      </w:r>
      <w:proofErr w:type="spellEnd"/>
      <w:r w:rsidR="00CD079D">
        <w:t xml:space="preserve"> 15(1)(b), (c) and (d) provide for circumstances where a person becomes entitled to the grant of a patent </w:t>
      </w:r>
      <w:r w:rsidR="00CD079D" w:rsidRPr="00877ECB">
        <w:t xml:space="preserve">by </w:t>
      </w:r>
      <w:r w:rsidR="00343C88" w:rsidRPr="00877ECB">
        <w:t xml:space="preserve">ultimately </w:t>
      </w:r>
      <w:r w:rsidR="00CD079D" w:rsidRPr="00877ECB">
        <w:t>receiving</w:t>
      </w:r>
      <w:r w:rsidR="00CD079D" w:rsidRPr="001D3972">
        <w:t xml:space="preserve"> </w:t>
      </w:r>
      <w:r w:rsidR="00CD079D" w:rsidRPr="00877ECB">
        <w:t xml:space="preserve">that entitlement from the </w:t>
      </w:r>
      <w:r w:rsidR="009B0688" w:rsidRPr="00877ECB">
        <w:t>inventor</w:t>
      </w:r>
      <w:r w:rsidR="009B0688">
        <w:t xml:space="preserve"> in s 15(1)(a).</w:t>
      </w:r>
      <w:r w:rsidR="00BD1F94">
        <w:t xml:space="preserve"> </w:t>
      </w:r>
      <w:r w:rsidR="00B57B56">
        <w:t>Put another way, t</w:t>
      </w:r>
      <w:r w:rsidR="00BD1F94">
        <w:t>here must be a legal relationship between the actual inventor</w:t>
      </w:r>
      <w:r w:rsidR="009B0688">
        <w:t xml:space="preserve"> </w:t>
      </w:r>
      <w:r w:rsidR="00BD1F94">
        <w:t xml:space="preserve">and the </w:t>
      </w:r>
      <w:r w:rsidR="00B57B56">
        <w:t xml:space="preserve">person </w:t>
      </w:r>
      <w:r w:rsidR="001C087E">
        <w:t xml:space="preserve">first </w:t>
      </w:r>
      <w:r w:rsidR="00B57B56">
        <w:t xml:space="preserve">entitled to the grant. </w:t>
      </w:r>
      <w:r>
        <w:t xml:space="preserve">That was </w:t>
      </w:r>
      <w:r w:rsidR="0026140E">
        <w:t xml:space="preserve">the </w:t>
      </w:r>
      <w:r>
        <w:t xml:space="preserve">construction adopted by the Full Court </w:t>
      </w:r>
      <w:r w:rsidR="00D82FCB">
        <w:t xml:space="preserve">in </w:t>
      </w:r>
      <w:r>
        <w:rPr>
          <w:i/>
        </w:rPr>
        <w:t xml:space="preserve">Stack </w:t>
      </w:r>
      <w:r>
        <w:t xml:space="preserve">which, after reviewing </w:t>
      </w:r>
      <w:r w:rsidR="00FA532E">
        <w:t xml:space="preserve">many </w:t>
      </w:r>
      <w:r>
        <w:t xml:space="preserve">of the historical matters to which we refer </w:t>
      </w:r>
      <w:r w:rsidR="001C087E">
        <w:t>above</w:t>
      </w:r>
      <w:r>
        <w:t xml:space="preserve">, concluded </w:t>
      </w:r>
      <w:r w:rsidR="00B25648">
        <w:t xml:space="preserve">at [21] </w:t>
      </w:r>
      <w:r>
        <w:t xml:space="preserve">that </w:t>
      </w:r>
      <w:r w:rsidR="00F954CB">
        <w:t>“[</w:t>
      </w:r>
      <w:r w:rsidR="00343C88">
        <w:t>a</w:t>
      </w:r>
      <w:r w:rsidR="00F954CB">
        <w:t>]</w:t>
      </w:r>
      <w:r w:rsidR="00343C88">
        <w:t xml:space="preserve"> </w:t>
      </w:r>
      <w:r w:rsidRPr="00877ECB">
        <w:t>patent may only be granted to the inventor or so</w:t>
      </w:r>
      <w:r w:rsidRPr="004218BD">
        <w:t xml:space="preserve">mebody claiming through the inventor”, a proposition with which we respectfully agree. </w:t>
      </w:r>
      <w:r w:rsidR="00A41184" w:rsidRPr="004218BD">
        <w:t>Such a construction is also consistent with</w:t>
      </w:r>
      <w:r w:rsidR="00B25648">
        <w:t xml:space="preserve"> the</w:t>
      </w:r>
      <w:r w:rsidR="00A41184" w:rsidRPr="004218BD">
        <w:t xml:space="preserve"> </w:t>
      </w:r>
      <w:r w:rsidR="007E3F3D" w:rsidRPr="004218BD">
        <w:t xml:space="preserve">broad statement </w:t>
      </w:r>
      <w:r w:rsidR="002310E1" w:rsidRPr="004218BD">
        <w:t>as to the</w:t>
      </w:r>
      <w:r w:rsidR="006D6D2F" w:rsidRPr="004218BD">
        <w:t xml:space="preserve"> intended</w:t>
      </w:r>
      <w:r w:rsidR="002310E1" w:rsidRPr="004218BD">
        <w:t xml:space="preserve"> effect of s 15 provided in the</w:t>
      </w:r>
      <w:r w:rsidR="00A41184" w:rsidRPr="004218BD">
        <w:t xml:space="preserve"> Explanatory Memorandum</w:t>
      </w:r>
      <w:r w:rsidR="006D6D2F" w:rsidRPr="004218BD">
        <w:t xml:space="preserve"> (see [</w:t>
      </w:r>
      <w:r w:rsidR="006D6D2F" w:rsidRPr="004218BD">
        <w:fldChar w:fldCharType="begin"/>
      </w:r>
      <w:r w:rsidR="006D6D2F" w:rsidRPr="004218BD">
        <w:instrText xml:space="preserve"> REF _Ref99465055 \r \h  \* MERGEFORMAT </w:instrText>
      </w:r>
      <w:r w:rsidR="006D6D2F" w:rsidRPr="004218BD">
        <w:fldChar w:fldCharType="separate"/>
      </w:r>
      <w:r w:rsidR="00952739">
        <w:t>99</w:t>
      </w:r>
      <w:r w:rsidR="006D6D2F" w:rsidRPr="004218BD">
        <w:fldChar w:fldCharType="end"/>
      </w:r>
      <w:r w:rsidR="006D6D2F" w:rsidRPr="004218BD">
        <w:t>] above).</w:t>
      </w:r>
    </w:p>
    <w:p w14:paraId="22DD7033" w14:textId="1DD51FED" w:rsidR="007800DF" w:rsidRDefault="000E2293" w:rsidP="006F5E03">
      <w:pPr>
        <w:pStyle w:val="ParaNumbering"/>
      </w:pPr>
      <w:r>
        <w:t xml:space="preserve">Under </w:t>
      </w:r>
      <w:r w:rsidR="004929EF">
        <w:t>s 15(1</w:t>
      </w:r>
      <w:proofErr w:type="gramStart"/>
      <w:r w:rsidR="004929EF">
        <w:t>)(</w:t>
      </w:r>
      <w:proofErr w:type="gramEnd"/>
      <w:r w:rsidR="004929EF">
        <w:t>b)</w:t>
      </w:r>
      <w:r w:rsidR="00B25648">
        <w:t>,</w:t>
      </w:r>
      <w:r w:rsidR="004929EF">
        <w:t xml:space="preserve"> the person claims</w:t>
      </w:r>
      <w:r w:rsidR="00CD079D">
        <w:t xml:space="preserve"> </w:t>
      </w:r>
      <w:r w:rsidR="004929EF">
        <w:t xml:space="preserve">through the inventor of s 15(1)(a) </w:t>
      </w:r>
      <w:r w:rsidR="00CD079D">
        <w:t xml:space="preserve">by way of assignment. It is </w:t>
      </w:r>
      <w:r w:rsidR="00E67318">
        <w:t xml:space="preserve">the person </w:t>
      </w:r>
      <w:r w:rsidR="00CD079D">
        <w:t>who would, on the grant of a patent for the invention, be entitled to have the patent assigned</w:t>
      </w:r>
      <w:r w:rsidR="00FB4E95">
        <w:t xml:space="preserve"> to</w:t>
      </w:r>
      <w:r w:rsidR="00CD079D">
        <w:t xml:space="preserve"> </w:t>
      </w:r>
      <w:r w:rsidR="00E67318">
        <w:t>them</w:t>
      </w:r>
      <w:r w:rsidR="00CD079D">
        <w:t>. F</w:t>
      </w:r>
      <w:r w:rsidR="00FB4E95">
        <w:t xml:space="preserve">rom whom is the </w:t>
      </w:r>
      <w:r w:rsidR="005C3A0E">
        <w:t xml:space="preserve">first </w:t>
      </w:r>
      <w:r w:rsidR="00FB4E95">
        <w:t>assignment to come</w:t>
      </w:r>
      <w:r w:rsidR="00CD079D">
        <w:t xml:space="preserve">? </w:t>
      </w:r>
      <w:r w:rsidR="00A15A66">
        <w:t>Understood in context, m</w:t>
      </w:r>
      <w:r w:rsidR="00CD079D">
        <w:t xml:space="preserve">ost naturally, </w:t>
      </w:r>
      <w:r w:rsidR="00E14DA5">
        <w:t xml:space="preserve">the assignment must come from </w:t>
      </w:r>
      <w:r w:rsidR="00CD079D">
        <w:t>the inventor of s 15(1</w:t>
      </w:r>
      <w:proofErr w:type="gramStart"/>
      <w:r w:rsidR="00CD079D">
        <w:t>)(</w:t>
      </w:r>
      <w:proofErr w:type="gramEnd"/>
      <w:r w:rsidR="00CD079D">
        <w:t>a)</w:t>
      </w:r>
      <w:r w:rsidR="00F903BB">
        <w:t xml:space="preserve"> who, as we have noted, must be a natural person.</w:t>
      </w:r>
      <w:r w:rsidR="00CD079D">
        <w:t xml:space="preserve"> </w:t>
      </w:r>
      <w:r w:rsidR="008B6AB6">
        <w:t>Something without a legal identity</w:t>
      </w:r>
      <w:r w:rsidR="008F2B11">
        <w:t xml:space="preserve"> cannot give effect to an assignment. </w:t>
      </w:r>
    </w:p>
    <w:p w14:paraId="24261258" w14:textId="680896B8" w:rsidR="00CD079D" w:rsidRDefault="008B6AB6" w:rsidP="006F5E03">
      <w:pPr>
        <w:pStyle w:val="ParaNumbering"/>
      </w:pPr>
      <w:r>
        <w:t xml:space="preserve">Under </w:t>
      </w:r>
      <w:r w:rsidR="009B0688">
        <w:t>s 15(1</w:t>
      </w:r>
      <w:proofErr w:type="gramStart"/>
      <w:r w:rsidR="009B0688">
        <w:t>)(</w:t>
      </w:r>
      <w:proofErr w:type="gramEnd"/>
      <w:r w:rsidR="009B0688">
        <w:t xml:space="preserve">c), </w:t>
      </w:r>
      <w:r w:rsidR="00D22313">
        <w:t>the person</w:t>
      </w:r>
      <w:r w:rsidR="00CD079D">
        <w:t xml:space="preserve"> deriv</w:t>
      </w:r>
      <w:r w:rsidR="00EB78A3">
        <w:t>es</w:t>
      </w:r>
      <w:r w:rsidR="00CD079D">
        <w:t xml:space="preserve"> title to the invention</w:t>
      </w:r>
      <w:r w:rsidR="008F2B11">
        <w:t xml:space="preserve"> from one of two alternatives, either</w:t>
      </w:r>
      <w:r w:rsidR="00CD079D">
        <w:t xml:space="preserve"> </w:t>
      </w:r>
      <w:r w:rsidR="00EB78A3">
        <w:t>“</w:t>
      </w:r>
      <w:r w:rsidR="00CD079D" w:rsidRPr="00877ECB">
        <w:t>from the inventor</w:t>
      </w:r>
      <w:r w:rsidR="00EB78A3">
        <w:t>”</w:t>
      </w:r>
      <w:r w:rsidR="00CD079D">
        <w:t xml:space="preserve"> or </w:t>
      </w:r>
      <w:r w:rsidR="008F2B11">
        <w:t xml:space="preserve">from </w:t>
      </w:r>
      <w:r w:rsidR="00EB78A3">
        <w:t>“</w:t>
      </w:r>
      <w:r w:rsidR="00CD079D">
        <w:t xml:space="preserve">a </w:t>
      </w:r>
      <w:r w:rsidR="00CD079D" w:rsidRPr="00877ECB">
        <w:t>person mentioned in (b)</w:t>
      </w:r>
      <w:r w:rsidR="00EB78A3">
        <w:t>”</w:t>
      </w:r>
      <w:r w:rsidR="00CD079D">
        <w:t xml:space="preserve">. The </w:t>
      </w:r>
      <w:r w:rsidR="00021DAF">
        <w:t>“</w:t>
      </w:r>
      <w:r w:rsidR="00CD079D" w:rsidRPr="00877ECB">
        <w:t>inventor</w:t>
      </w:r>
      <w:r w:rsidR="00021DAF">
        <w:t>”</w:t>
      </w:r>
      <w:r w:rsidR="00CD079D">
        <w:t xml:space="preserve"> is most naturally understood to </w:t>
      </w:r>
      <w:r w:rsidR="008F2B11">
        <w:t>refer to</w:t>
      </w:r>
      <w:r w:rsidR="00CD079D">
        <w:t xml:space="preserve"> the </w:t>
      </w:r>
      <w:r w:rsidR="009B0688">
        <w:t xml:space="preserve">same inventor </w:t>
      </w:r>
      <w:r w:rsidR="008F2B11">
        <w:t>as in</w:t>
      </w:r>
      <w:r w:rsidR="009B0688">
        <w:t xml:space="preserve"> (a), </w:t>
      </w:r>
      <w:r w:rsidR="00A706F1">
        <w:t xml:space="preserve">who is </w:t>
      </w:r>
      <w:r w:rsidR="009B0688">
        <w:t xml:space="preserve">a </w:t>
      </w:r>
      <w:r w:rsidR="004929EF">
        <w:t xml:space="preserve">natural </w:t>
      </w:r>
      <w:r w:rsidR="009B0688">
        <w:t>person.</w:t>
      </w:r>
      <w:r w:rsidR="00CD079D">
        <w:t xml:space="preserve"> </w:t>
      </w:r>
      <w:r w:rsidR="00803AAD">
        <w:t xml:space="preserve">To hold otherwise would be to ascribe a different meaning to “inventor” in (c) to that used in (a), which we doubt Parliament would have intended. </w:t>
      </w:r>
      <w:r w:rsidR="00CD079D">
        <w:t xml:space="preserve">The </w:t>
      </w:r>
      <w:r w:rsidR="00B57230">
        <w:t>“</w:t>
      </w:r>
      <w:r w:rsidR="00CD079D" w:rsidRPr="00877ECB">
        <w:t>person mentioned in (b)</w:t>
      </w:r>
      <w:r w:rsidR="00B57230">
        <w:t>”</w:t>
      </w:r>
      <w:r w:rsidR="00CD079D">
        <w:t xml:space="preserve"> is </w:t>
      </w:r>
      <w:r w:rsidR="008F2B11">
        <w:t xml:space="preserve">the </w:t>
      </w:r>
      <w:r w:rsidR="005F4F67">
        <w:t xml:space="preserve">same </w:t>
      </w:r>
      <w:r w:rsidR="008F2B11">
        <w:t>person we have addressed in the preceding paragraph.</w:t>
      </w:r>
      <w:r w:rsidR="00CD079D">
        <w:t xml:space="preserve"> </w:t>
      </w:r>
    </w:p>
    <w:p w14:paraId="639A8E30" w14:textId="45860FFE" w:rsidR="00E67318" w:rsidRDefault="00F903BB" w:rsidP="006F5E03">
      <w:pPr>
        <w:pStyle w:val="ParaNumbering"/>
      </w:pPr>
      <w:r>
        <w:t xml:space="preserve">Under </w:t>
      </w:r>
      <w:r w:rsidR="00CD079D">
        <w:t>s 15(1</w:t>
      </w:r>
      <w:proofErr w:type="gramStart"/>
      <w:r w:rsidR="00CD079D">
        <w:t>)(</w:t>
      </w:r>
      <w:proofErr w:type="gramEnd"/>
      <w:r w:rsidR="00CD079D">
        <w:t xml:space="preserve">d), </w:t>
      </w:r>
      <w:r w:rsidR="00054CF1">
        <w:t xml:space="preserve">the person entitled to be granted the patent </w:t>
      </w:r>
      <w:r w:rsidR="00CD079D">
        <w:t xml:space="preserve">is </w:t>
      </w:r>
      <w:r w:rsidR="009B0688">
        <w:t xml:space="preserve">the legal representative of a deceased person mention mentioned in (a), (b) or (c). </w:t>
      </w:r>
    </w:p>
    <w:p w14:paraId="3B4DA792" w14:textId="5DA9658B" w:rsidR="0051552C" w:rsidRDefault="0051552C" w:rsidP="006F5E03">
      <w:pPr>
        <w:pStyle w:val="ParaNumbering"/>
      </w:pPr>
      <w:r>
        <w:t xml:space="preserve">This approach to the construction of s 15 is supported by reference to the legislative history of the development </w:t>
      </w:r>
      <w:r w:rsidR="000E3171">
        <w:t>of the law of patents in Australia</w:t>
      </w:r>
      <w:r w:rsidR="00AC7905">
        <w:t xml:space="preserve"> to which we have referred</w:t>
      </w:r>
      <w:r w:rsidR="0047080E">
        <w:t>.</w:t>
      </w:r>
      <w:r w:rsidR="00425C92">
        <w:t xml:space="preserve"> </w:t>
      </w:r>
    </w:p>
    <w:p w14:paraId="1093D94B" w14:textId="77777777" w:rsidR="004218BD" w:rsidRDefault="004218BD" w:rsidP="004218BD">
      <w:pPr>
        <w:pStyle w:val="ParaNumbering"/>
      </w:pPr>
      <w:r>
        <w:lastRenderedPageBreak/>
        <w:t xml:space="preserve">In this regard, we respectfully disagree with the primary judge that one may construe each of </w:t>
      </w:r>
      <w:proofErr w:type="spellStart"/>
      <w:r>
        <w:t>ss</w:t>
      </w:r>
      <w:proofErr w:type="spellEnd"/>
      <w:r>
        <w:t xml:space="preserve"> 15(1</w:t>
      </w:r>
      <w:proofErr w:type="gramStart"/>
      <w:r>
        <w:t>)(</w:t>
      </w:r>
      <w:proofErr w:type="gramEnd"/>
      <w:r>
        <w:t xml:space="preserve">a), (b), (c) and (d) as alternatives to the effect that, by operation of (b) and (c), a person identified, such as Dr </w:t>
      </w:r>
      <w:proofErr w:type="spellStart"/>
      <w:r>
        <w:t>Thaler</w:t>
      </w:r>
      <w:proofErr w:type="spellEnd"/>
      <w:r>
        <w:t xml:space="preserve">, may draw entitlement to the grant of a patent from an inventor who is not the person identified in (a) (or indeed a natural person at all). To so find overlooks the scheme of the </w:t>
      </w:r>
      <w:r w:rsidRPr="00877ECB">
        <w:rPr>
          <w:i/>
        </w:rPr>
        <w:t>Patents Act</w:t>
      </w:r>
      <w:r>
        <w:t xml:space="preserve"> that we have described, and fails to give s 15(1) a natural reading. It also overlooks the history of the development of the law of patents to which one is directed by the term “invention”</w:t>
      </w:r>
      <w:r w:rsidRPr="00FB6306">
        <w:t xml:space="preserve"> </w:t>
      </w:r>
      <w:r>
        <w:t xml:space="preserve">in the chapeau to s 15(1), defined in the </w:t>
      </w:r>
      <w:r w:rsidRPr="001B0B70">
        <w:rPr>
          <w:i/>
        </w:rPr>
        <w:t>Patents Act</w:t>
      </w:r>
      <w:r>
        <w:t xml:space="preserve"> by reference to the </w:t>
      </w:r>
      <w:r>
        <w:rPr>
          <w:i/>
        </w:rPr>
        <w:t>Statute of Monopolies</w:t>
      </w:r>
      <w:r>
        <w:t xml:space="preserve">. </w:t>
      </w:r>
    </w:p>
    <w:p w14:paraId="1E1D6289" w14:textId="1D9C9499" w:rsidR="004218BD" w:rsidRDefault="004218BD" w:rsidP="004218BD">
      <w:pPr>
        <w:pStyle w:val="ParaNumbering"/>
        <w:spacing w:before="240"/>
      </w:pPr>
      <w:r>
        <w:t xml:space="preserve">In our view, the reasoning of the primary judge regarding how it may be that Dr </w:t>
      </w:r>
      <w:proofErr w:type="spellStart"/>
      <w:r>
        <w:t>Thaler</w:t>
      </w:r>
      <w:proofErr w:type="spellEnd"/>
      <w:r>
        <w:t xml:space="preserve">, as a matter of law, owns the work performed by DABUS, and that such ownership could entitle him to the grant of the application, does not arise, having regard to the view that we have taken to the construction of s 15(1) and </w:t>
      </w:r>
      <w:proofErr w:type="spellStart"/>
      <w:r>
        <w:t>reg</w:t>
      </w:r>
      <w:proofErr w:type="spellEnd"/>
      <w:r>
        <w:t xml:space="preserve"> </w:t>
      </w:r>
      <w:proofErr w:type="gramStart"/>
      <w:r>
        <w:t>3.2C(</w:t>
      </w:r>
      <w:proofErr w:type="gramEnd"/>
      <w:r>
        <w:t xml:space="preserve">2)(aa). It is not to the point that Dr </w:t>
      </w:r>
      <w:proofErr w:type="spellStart"/>
      <w:r>
        <w:t>Thaler</w:t>
      </w:r>
      <w:proofErr w:type="spellEnd"/>
      <w:r>
        <w:t xml:space="preserve"> may have rights to the output of DABUS. Only a natural person can be an inventor for the purposes of the </w:t>
      </w:r>
      <w:r>
        <w:rPr>
          <w:i/>
        </w:rPr>
        <w:t>Patents Act</w:t>
      </w:r>
      <w:r>
        <w:t xml:space="preserve"> and </w:t>
      </w:r>
      <w:r>
        <w:rPr>
          <w:i/>
        </w:rPr>
        <w:t>Regulations.</w:t>
      </w:r>
      <w:r>
        <w:t xml:space="preserve"> Such an inventor must be identified for any person to be entitled to a grant of a patent under </w:t>
      </w:r>
      <w:proofErr w:type="spellStart"/>
      <w:r>
        <w:t>ss</w:t>
      </w:r>
      <w:proofErr w:type="spellEnd"/>
      <w:r>
        <w:t xml:space="preserve"> 15(1</w:t>
      </w:r>
      <w:proofErr w:type="gramStart"/>
      <w:r>
        <w:t>)(</w:t>
      </w:r>
      <w:proofErr w:type="gramEnd"/>
      <w:r>
        <w:t xml:space="preserve">b)-(d). </w:t>
      </w:r>
    </w:p>
    <w:p w14:paraId="2382F1C7" w14:textId="5BB52FD0" w:rsidR="004218BD" w:rsidRDefault="004218BD" w:rsidP="004218BD">
      <w:pPr>
        <w:pStyle w:val="ParaNumbering"/>
      </w:pPr>
      <w:r>
        <w:t xml:space="preserve">For completeness, we note that no other provision in the </w:t>
      </w:r>
      <w:r w:rsidRPr="00877ECB">
        <w:rPr>
          <w:i/>
        </w:rPr>
        <w:t>Patents Act</w:t>
      </w:r>
      <w:r>
        <w:t xml:space="preserve"> is inconsistent with the construction that we have preferred: see, in particular, </w:t>
      </w:r>
      <w:proofErr w:type="spellStart"/>
      <w:r w:rsidRPr="00276C7E">
        <w:t>ss</w:t>
      </w:r>
      <w:proofErr w:type="spellEnd"/>
      <w:r w:rsidRPr="00276C7E">
        <w:t xml:space="preserve"> 64(2</w:t>
      </w:r>
      <w:proofErr w:type="gramStart"/>
      <w:r w:rsidRPr="00276C7E">
        <w:t>)(</w:t>
      </w:r>
      <w:proofErr w:type="gramEnd"/>
      <w:r w:rsidRPr="00276C7E">
        <w:t>a), 101B(2), 101E(1), 113, 172(1), 182(3) and 185</w:t>
      </w:r>
      <w:r>
        <w:t xml:space="preserve"> which all use the term “inventor”.</w:t>
      </w:r>
    </w:p>
    <w:p w14:paraId="2D22679A" w14:textId="69E6E667" w:rsidR="00652E24" w:rsidRDefault="00652E24" w:rsidP="007F3A83">
      <w:pPr>
        <w:pStyle w:val="ParaNumbering"/>
      </w:pPr>
      <w:r>
        <w:t xml:space="preserve">Of course, the development of patent law since 1624 has not until now been confronted with the question of whether or not an inventor may be other than a natural person. </w:t>
      </w:r>
      <w:r w:rsidR="007F3A83">
        <w:t>However, as noted, t</w:t>
      </w:r>
      <w:r>
        <w:t xml:space="preserve">he </w:t>
      </w:r>
      <w:r w:rsidR="007F3A83">
        <w:t>law to which we have referred has</w:t>
      </w:r>
      <w:r>
        <w:t xml:space="preserve"> proceeded on the assumption that only a natural person could be an inventor</w:t>
      </w:r>
      <w:r w:rsidR="007F3A83">
        <w:t xml:space="preserve">. </w:t>
      </w:r>
      <w:r>
        <w:t xml:space="preserve">That assumption found expression in the different context considered by the High Court in </w:t>
      </w:r>
      <w:r w:rsidRPr="00276C7E">
        <w:rPr>
          <w:i/>
        </w:rPr>
        <w:t xml:space="preserve">D’Arcy </w:t>
      </w:r>
      <w:r>
        <w:t xml:space="preserve">where the </w:t>
      </w:r>
      <w:r w:rsidR="002D445C">
        <w:t xml:space="preserve">majority </w:t>
      </w:r>
      <w:r>
        <w:t xml:space="preserve">(French CJ, </w:t>
      </w:r>
      <w:proofErr w:type="spellStart"/>
      <w:r>
        <w:t>K</w:t>
      </w:r>
      <w:r w:rsidR="00FA3589">
        <w:t>i</w:t>
      </w:r>
      <w:r>
        <w:t>efel</w:t>
      </w:r>
      <w:proofErr w:type="spellEnd"/>
      <w:r>
        <w:t>, Bell and Keane JJ) said of claims 1</w:t>
      </w:r>
      <w:r w:rsidR="005C3779">
        <w:t>-</w:t>
      </w:r>
      <w:r>
        <w:t>3 in the patent then in suit at [6]:</w:t>
      </w:r>
    </w:p>
    <w:p w14:paraId="1BED5770" w14:textId="2D84C0FF" w:rsidR="00652E24" w:rsidRDefault="00652E24" w:rsidP="00652E24">
      <w:pPr>
        <w:pStyle w:val="Quote1"/>
      </w:pPr>
      <w:r>
        <w:t>…</w:t>
      </w:r>
      <w:r w:rsidRPr="00AD7FC1">
        <w:t xml:space="preserve">Despite the formulation of the claimed invention as a class of product, its substance is information embodied in arrangements of nucleotides. The information is not </w:t>
      </w:r>
      <w:r w:rsidR="009866BF">
        <w:t>“</w:t>
      </w:r>
      <w:r w:rsidRPr="00AD7FC1">
        <w:t>made</w:t>
      </w:r>
      <w:r w:rsidR="009866BF">
        <w:t>”</w:t>
      </w:r>
      <w:r w:rsidRPr="00AD7FC1">
        <w:t xml:space="preserve"> by </w:t>
      </w:r>
      <w:r w:rsidRPr="00AD7FC1">
        <w:rPr>
          <w:i/>
        </w:rPr>
        <w:t>human action</w:t>
      </w:r>
      <w:r w:rsidRPr="00AD7FC1">
        <w:t xml:space="preserve">. It is discerned. That feature of the claims raises a question about how they fit within the concept of a </w:t>
      </w:r>
      <w:r w:rsidR="004A4FD9">
        <w:t>“</w:t>
      </w:r>
      <w:r w:rsidRPr="00AD7FC1">
        <w:t>manner of manufacture</w:t>
      </w:r>
      <w:r w:rsidR="004A4FD9">
        <w:t>”</w:t>
      </w:r>
      <w:r w:rsidRPr="00AD7FC1">
        <w:t>. As appears from s 6 of the Statute of Monopolies, an inventi</w:t>
      </w:r>
      <w:r w:rsidR="004A4FD9">
        <w:t>on is something which involves “making”</w:t>
      </w:r>
      <w:r w:rsidRPr="00AD7FC1">
        <w:t xml:space="preserve">. It must reside in something. It may be a product. It may be a process. It may be an outcome which can be characterised, in the language of </w:t>
      </w:r>
      <w:r w:rsidRPr="00AD7FC1">
        <w:rPr>
          <w:i/>
        </w:rPr>
        <w:t>NRDC</w:t>
      </w:r>
      <w:r w:rsidRPr="00AD7FC1">
        <w:t xml:space="preserve">, as an </w:t>
      </w:r>
      <w:r w:rsidR="004A4FD9">
        <w:t>“</w:t>
      </w:r>
      <w:r w:rsidRPr="00AD7FC1">
        <w:t>artifi</w:t>
      </w:r>
      <w:r w:rsidR="004A4FD9">
        <w:t>cially created state of affairs”</w:t>
      </w:r>
      <w:r w:rsidRPr="00AD7FC1">
        <w:t xml:space="preserve">. Whatever it is, </w:t>
      </w:r>
      <w:r w:rsidRPr="00AD7FC1">
        <w:rPr>
          <w:i/>
        </w:rPr>
        <w:t>it must be something brought about by human action</w:t>
      </w:r>
      <w:r w:rsidRPr="00AD7FC1">
        <w:t xml:space="preserve">. The requirement, in each claim, that the sequence in the isolate bear specified mutations or polymorphisms raises the same problem in a particular way. Satisfaction of that integer depends upon a characteristic of the human being from whom the nucleic acid is isolated, a characteristic which is not shared by all human beings. It has </w:t>
      </w:r>
      <w:r w:rsidRPr="00AD7FC1">
        <w:lastRenderedPageBreak/>
        <w:t xml:space="preserve">nothing to do with the </w:t>
      </w:r>
      <w:r w:rsidRPr="00E02FCA">
        <w:rPr>
          <w:i/>
        </w:rPr>
        <w:t>person</w:t>
      </w:r>
      <w:r w:rsidRPr="00AD7FC1">
        <w:t xml:space="preserve"> who isolates the nucleic acid bearing the mutant sequence.</w:t>
      </w:r>
    </w:p>
    <w:p w14:paraId="38BF957B" w14:textId="1EC6EE1D" w:rsidR="00A47FB5" w:rsidRDefault="00A47FB5" w:rsidP="00652E24">
      <w:pPr>
        <w:pStyle w:val="Quote1"/>
      </w:pPr>
      <w:r>
        <w:t>(</w:t>
      </w:r>
      <w:proofErr w:type="gramStart"/>
      <w:r>
        <w:t>emphasis</w:t>
      </w:r>
      <w:proofErr w:type="gramEnd"/>
      <w:r>
        <w:t xml:space="preserve"> added</w:t>
      </w:r>
      <w:r w:rsidR="00F50975">
        <w:t xml:space="preserve"> and citations omitted</w:t>
      </w:r>
      <w:r>
        <w:t>)</w:t>
      </w:r>
    </w:p>
    <w:p w14:paraId="7B402B04" w14:textId="5A21ED23" w:rsidR="007F3A83" w:rsidRDefault="00652E24" w:rsidP="00A370A5">
      <w:pPr>
        <w:pStyle w:val="ParaNumbering"/>
        <w:spacing w:before="240"/>
      </w:pPr>
      <w:r>
        <w:t xml:space="preserve">The references to “human action” were deliberate. They pick up the requirement set out in </w:t>
      </w:r>
      <w:r w:rsidRPr="00276C7E">
        <w:rPr>
          <w:i/>
        </w:rPr>
        <w:t>National Resource Development Corporation v Commissioner of Patents</w:t>
      </w:r>
      <w:r w:rsidRPr="00276C7E">
        <w:t xml:space="preserve"> [1959] HCA 67; 102 CLR 252</w:t>
      </w:r>
      <w:r>
        <w:t xml:space="preserve"> that a manner of new manufacture bring about an artificially created state of affairs</w:t>
      </w:r>
      <w:r w:rsidR="00852F9C">
        <w:t>:</w:t>
      </w:r>
      <w:r>
        <w:t xml:space="preserve"> at 276</w:t>
      </w:r>
      <w:r w:rsidR="00852F9C">
        <w:t>-</w:t>
      </w:r>
      <w:r>
        <w:t>277</w:t>
      </w:r>
      <w:r w:rsidR="000D14D1">
        <w:t xml:space="preserve"> (Dixon CJ, </w:t>
      </w:r>
      <w:proofErr w:type="spellStart"/>
      <w:r w:rsidR="000D14D1">
        <w:t>Kitto</w:t>
      </w:r>
      <w:proofErr w:type="spellEnd"/>
      <w:r w:rsidR="000D14D1">
        <w:t xml:space="preserve"> and Windeyer JJ)</w:t>
      </w:r>
      <w:r>
        <w:t xml:space="preserve">. The assumption in both cases was that human agency was required in the development of the invention in suit. </w:t>
      </w:r>
      <w:r w:rsidR="007F3A83">
        <w:t xml:space="preserve">That approach accords with the legislative history to which we have referred, namely that the origin of entitlement to the grant of a patent lies in human endeavour, which is rewarded by the grant of a limited term monopoly. </w:t>
      </w:r>
    </w:p>
    <w:p w14:paraId="3F97585F" w14:textId="35000BBB" w:rsidR="000447F6" w:rsidRDefault="000447F6" w:rsidP="00877ECB">
      <w:pPr>
        <w:pStyle w:val="ParaNumbering"/>
      </w:pPr>
      <w:r>
        <w:t xml:space="preserve">Accordingly, having regard to the statutory language, structure and history of the </w:t>
      </w:r>
      <w:r w:rsidRPr="00210710">
        <w:rPr>
          <w:i/>
        </w:rPr>
        <w:t>Patents Act</w:t>
      </w:r>
      <w:r w:rsidR="000979EB">
        <w:t>,</w:t>
      </w:r>
      <w:r>
        <w:t xml:space="preserve"> and the policy objectives underlying the legislative scheme, we respectfully disagree with the conclusion reached by the primary judge. The Deputy Commissioner was correct to reach the conclusion that, by naming DABUS as the inventor, the application did not comply with </w:t>
      </w:r>
      <w:proofErr w:type="spellStart"/>
      <w:r>
        <w:t>reg</w:t>
      </w:r>
      <w:proofErr w:type="spellEnd"/>
      <w:r>
        <w:t xml:space="preserve"> </w:t>
      </w:r>
      <w:proofErr w:type="gramStart"/>
      <w:r>
        <w:t>3.2C(</w:t>
      </w:r>
      <w:proofErr w:type="gramEnd"/>
      <w:r>
        <w:t xml:space="preserve">2)(aa). </w:t>
      </w:r>
    </w:p>
    <w:p w14:paraId="4A266506" w14:textId="77777777" w:rsidR="00C32D1C" w:rsidRDefault="007F3A83" w:rsidP="009E4B09">
      <w:pPr>
        <w:pStyle w:val="ParaNumbering"/>
      </w:pPr>
      <w:r>
        <w:t xml:space="preserve">Two further matters warrant observation. </w:t>
      </w:r>
    </w:p>
    <w:p w14:paraId="04ED376F" w14:textId="26430862" w:rsidR="00D67A2C" w:rsidRDefault="007F3A83" w:rsidP="00F5598A">
      <w:pPr>
        <w:pStyle w:val="ParaNumbering"/>
      </w:pPr>
      <w:r>
        <w:t xml:space="preserve">First, in filing the application, Dr </w:t>
      </w:r>
      <w:proofErr w:type="spellStart"/>
      <w:r>
        <w:t>Thaler</w:t>
      </w:r>
      <w:proofErr w:type="spellEnd"/>
      <w:r>
        <w:t xml:space="preserve"> no doubt intended to provoke debate as to the role that artificial intelligence may take within the scheme of the </w:t>
      </w:r>
      <w:r w:rsidRPr="00877ECB">
        <w:rPr>
          <w:i/>
        </w:rPr>
        <w:t>Patents Act</w:t>
      </w:r>
      <w:r>
        <w:t xml:space="preserve"> and </w:t>
      </w:r>
      <w:r w:rsidRPr="00877ECB">
        <w:rPr>
          <w:i/>
        </w:rPr>
        <w:t>Regulations</w:t>
      </w:r>
      <w:r>
        <w:t xml:space="preserve">. Such debate is important and worthwhile. However, in the present case it clouded consideration of the prosaic question before the primary judge, which concerned the proper construction of s 15 and </w:t>
      </w:r>
      <w:proofErr w:type="spellStart"/>
      <w:r>
        <w:t>reg</w:t>
      </w:r>
      <w:proofErr w:type="spellEnd"/>
      <w:r>
        <w:t xml:space="preserve"> </w:t>
      </w:r>
      <w:proofErr w:type="gramStart"/>
      <w:r>
        <w:t>3.2C(</w:t>
      </w:r>
      <w:proofErr w:type="gramEnd"/>
      <w:r>
        <w:t>2)(aa). In our view</w:t>
      </w:r>
      <w:r w:rsidR="00B25648">
        <w:t>,</w:t>
      </w:r>
      <w:r>
        <w:t xml:space="preserve"> there are many propositions that arise for consideration in the context of artificial intelligence and inventions. They include </w:t>
      </w:r>
      <w:r w:rsidR="00A370A5">
        <w:t>whether</w:t>
      </w:r>
      <w:r>
        <w:t>, as a matter of policy, a person who is an inventor should be redefined to include an artificial intelligence. If so, to whom should a patent be granted in respect of its output? The options include</w:t>
      </w:r>
      <w:r w:rsidR="00A370A5">
        <w:t xml:space="preserve"> one or more of</w:t>
      </w:r>
      <w:r w:rsidR="00E0467F">
        <w:t>:</w:t>
      </w:r>
      <w:r>
        <w:t xml:space="preserve"> the owner</w:t>
      </w:r>
      <w:r w:rsidR="00032781">
        <w:t xml:space="preserve"> of the machine upon which </w:t>
      </w:r>
      <w:r w:rsidR="00015A12">
        <w:t xml:space="preserve">the artificial intelligence </w:t>
      </w:r>
      <w:r w:rsidR="008C2030">
        <w:t>software runs</w:t>
      </w:r>
      <w:r>
        <w:t xml:space="preserve">, the </w:t>
      </w:r>
      <w:r w:rsidR="00032781">
        <w:t>developer</w:t>
      </w:r>
      <w:r w:rsidR="00910738">
        <w:t xml:space="preserve"> of the artificial intelligence</w:t>
      </w:r>
      <w:r w:rsidR="00503CF7">
        <w:t xml:space="preserve"> software</w:t>
      </w:r>
      <w:r>
        <w:t>,</w:t>
      </w:r>
      <w:r w:rsidR="00E55A59">
        <w:t xml:space="preserve"> the owner of the copyright in </w:t>
      </w:r>
      <w:r w:rsidR="00776831">
        <w:t xml:space="preserve">its </w:t>
      </w:r>
      <w:r w:rsidR="00E55A59">
        <w:t>source code</w:t>
      </w:r>
      <w:r w:rsidR="00776831">
        <w:t>,</w:t>
      </w:r>
      <w:r>
        <w:t xml:space="preserve"> the person who input</w:t>
      </w:r>
      <w:r w:rsidR="0097195A">
        <w:t>s</w:t>
      </w:r>
      <w:r>
        <w:t xml:space="preserve"> the data</w:t>
      </w:r>
      <w:r w:rsidR="0097195A">
        <w:t xml:space="preserve"> </w:t>
      </w:r>
      <w:r w:rsidR="00860939">
        <w:t>used by the artificial intelligence</w:t>
      </w:r>
      <w:r w:rsidR="008240A7">
        <w:t xml:space="preserve"> to develop its output</w:t>
      </w:r>
      <w:r w:rsidR="00A370A5">
        <w:t>,</w:t>
      </w:r>
      <w:r>
        <w:t xml:space="preserve"> and no doubt others. If an artificial intelligence is capable of being recognised as an inventor, should the standard of inventive step be recalibrated such that it is no longer judged by reference to the</w:t>
      </w:r>
      <w:r w:rsidR="00EC0C99">
        <w:t xml:space="preserve"> </w:t>
      </w:r>
      <w:r>
        <w:t xml:space="preserve">knowledge and thought processes of the hypothetical uninventive </w:t>
      </w:r>
      <w:r w:rsidR="00EC0C99">
        <w:t xml:space="preserve">skilled worker in the field? If so, how? </w:t>
      </w:r>
      <w:r w:rsidR="00D67A2C">
        <w:lastRenderedPageBreak/>
        <w:t>What continuing role might the ground of revocation for false suggestion or misrepresentation have, in circumstances where the inventor is a machine?</w:t>
      </w:r>
    </w:p>
    <w:p w14:paraId="3DFE78A9" w14:textId="27ADD4A3" w:rsidR="007F3A83" w:rsidRDefault="00EC0C99" w:rsidP="00F5598A">
      <w:pPr>
        <w:pStyle w:val="ParaNumbering"/>
      </w:pPr>
      <w:r>
        <w:t xml:space="preserve">Those questions and many more require consideration. Having regard to the agreed facts in the present case, it would appear that this should be </w:t>
      </w:r>
      <w:r w:rsidR="00343C88">
        <w:t xml:space="preserve">attended to with some urgency. </w:t>
      </w:r>
      <w:r>
        <w:t xml:space="preserve">However, the Court must be cautious about approaching the task of statutory construction by reference to what it might regard as desirable policy, imputing that </w:t>
      </w:r>
      <w:r w:rsidR="00E1093C">
        <w:t xml:space="preserve">policy </w:t>
      </w:r>
      <w:r>
        <w:t>to the legislation</w:t>
      </w:r>
      <w:r w:rsidR="00343C88">
        <w:t>,</w:t>
      </w:r>
      <w:r>
        <w:t xml:space="preserve"> and then characterising that as the purpose of the legislation</w:t>
      </w:r>
      <w:r w:rsidR="00022AC7">
        <w:t xml:space="preserve">: </w:t>
      </w:r>
      <w:r w:rsidRPr="00343C88">
        <w:rPr>
          <w:i/>
        </w:rPr>
        <w:t xml:space="preserve">Deal </w:t>
      </w:r>
      <w:r>
        <w:t xml:space="preserve">at [37]; </w:t>
      </w:r>
      <w:r w:rsidRPr="00276C7E">
        <w:rPr>
          <w:i/>
        </w:rPr>
        <w:t xml:space="preserve">Miller v Miller </w:t>
      </w:r>
      <w:r w:rsidR="00F5598A" w:rsidRPr="00276C7E">
        <w:t>[2011] HCA 9; 242 CLR 446</w:t>
      </w:r>
      <w:r>
        <w:t xml:space="preserve"> at [29]</w:t>
      </w:r>
      <w:r w:rsidR="00B35A7E">
        <w:t xml:space="preserve"> </w:t>
      </w:r>
      <w:r w:rsidR="00BB2359">
        <w:t xml:space="preserve">(French CJ, </w:t>
      </w:r>
      <w:proofErr w:type="spellStart"/>
      <w:r w:rsidR="00BB2359">
        <w:t>Gummow</w:t>
      </w:r>
      <w:proofErr w:type="spellEnd"/>
      <w:r w:rsidR="00BB2359">
        <w:t xml:space="preserve">, Hayne, </w:t>
      </w:r>
      <w:proofErr w:type="spellStart"/>
      <w:r w:rsidR="00BB2359">
        <w:t>Crennan</w:t>
      </w:r>
      <w:proofErr w:type="spellEnd"/>
      <w:r w:rsidR="00BB2359">
        <w:t xml:space="preserve">, </w:t>
      </w:r>
      <w:proofErr w:type="spellStart"/>
      <w:r w:rsidR="00BB2359">
        <w:t>Kiefel</w:t>
      </w:r>
      <w:proofErr w:type="spellEnd"/>
      <w:r w:rsidR="00BB2359">
        <w:t xml:space="preserve"> and Bell JJ)</w:t>
      </w:r>
      <w:r>
        <w:t xml:space="preserve">. </w:t>
      </w:r>
      <w:r w:rsidR="001403A6">
        <w:t xml:space="preserve"> </w:t>
      </w:r>
      <w:r w:rsidR="00343C88">
        <w:t>It would appear that this was the approach favoured by the primary judge.</w:t>
      </w:r>
      <w:r w:rsidR="00D67A2C">
        <w:t xml:space="preserve"> </w:t>
      </w:r>
    </w:p>
    <w:p w14:paraId="6667D14C" w14:textId="41274C12" w:rsidR="001403A6" w:rsidRDefault="00B11A9E" w:rsidP="0060757F">
      <w:pPr>
        <w:pStyle w:val="ParaNumbering"/>
      </w:pPr>
      <w:r>
        <w:t>Secondly</w:t>
      </w:r>
      <w:r w:rsidR="001403A6">
        <w:t>, we do not accept the premise of the proposition, accepted by the primary judge and apparently influential in his reasoning</w:t>
      </w:r>
      <w:r w:rsidR="0060757F">
        <w:t>,</w:t>
      </w:r>
      <w:r w:rsidR="001403A6">
        <w:t xml:space="preserve"> that if DABUS is not accepted to be an inventor, no invention devised by an artificial intelligence</w:t>
      </w:r>
      <w:r w:rsidR="007F5CD0">
        <w:t xml:space="preserve"> system</w:t>
      </w:r>
      <w:r w:rsidR="001403A6">
        <w:t xml:space="preserve"> is capable of being granted</w:t>
      </w:r>
      <w:r w:rsidR="007F5CD0">
        <w:t xml:space="preserve"> a patent</w:t>
      </w:r>
      <w:r w:rsidR="001403A6">
        <w:t xml:space="preserve">. In the present case, it was said to be an agreed fact that DABUS is the inventor of the </w:t>
      </w:r>
      <w:r w:rsidR="005A2420">
        <w:t xml:space="preserve">invention the subject of the </w:t>
      </w:r>
      <w:r w:rsidR="001403A6">
        <w:t xml:space="preserve">application and that Dr </w:t>
      </w:r>
      <w:proofErr w:type="spellStart"/>
      <w:r w:rsidR="001403A6">
        <w:t>Thaler</w:t>
      </w:r>
      <w:proofErr w:type="spellEnd"/>
      <w:r w:rsidR="001403A6">
        <w:t xml:space="preserve"> is not. </w:t>
      </w:r>
      <w:r w:rsidR="0060757F">
        <w:t>However, t</w:t>
      </w:r>
      <w:r w:rsidR="001403A6">
        <w:t xml:space="preserve">he characterisation of a person as an inventor is a question of law. </w:t>
      </w:r>
      <w:r w:rsidR="00DD5671">
        <w:t xml:space="preserve">The question of whether the application </w:t>
      </w:r>
      <w:r w:rsidR="00FF68A9">
        <w:t xml:space="preserve">the subject of this appeal </w:t>
      </w:r>
      <w:r w:rsidR="00DD5671">
        <w:t xml:space="preserve">has a human inventor </w:t>
      </w:r>
      <w:r w:rsidR="001403A6">
        <w:t>has not been explored in this litigation</w:t>
      </w:r>
      <w:r w:rsidR="00A370A5">
        <w:t xml:space="preserve"> </w:t>
      </w:r>
      <w:r w:rsidR="0060757F">
        <w:t>and remains undecided</w:t>
      </w:r>
      <w:r w:rsidR="00343C88">
        <w:t>.</w:t>
      </w:r>
      <w:r w:rsidR="00746D35">
        <w:t xml:space="preserve"> Had this question been explored, it may have been necessary to consider what significance should be attributed to various matters including the (agreed) facts that Dr </w:t>
      </w:r>
      <w:proofErr w:type="spellStart"/>
      <w:r w:rsidR="00746D35">
        <w:t>Thaler</w:t>
      </w:r>
      <w:proofErr w:type="spellEnd"/>
      <w:r w:rsidR="00746D35">
        <w:t xml:space="preserve"> is the owner of the copyright in the DABUS source code and the computer on which DABUS operates, and that he is also responsible for the maintenance and running costs</w:t>
      </w:r>
      <w:r w:rsidR="00FA4D0F">
        <w:t>.</w:t>
      </w:r>
      <w:r w:rsidR="00343C88">
        <w:t xml:space="preserve"> </w:t>
      </w:r>
    </w:p>
    <w:p w14:paraId="6BE8032D" w14:textId="2038CA6D" w:rsidR="00B11A9E" w:rsidRDefault="00B11A9E" w:rsidP="0060757F">
      <w:pPr>
        <w:pStyle w:val="ParaNumbering"/>
      </w:pPr>
      <w:r>
        <w:t xml:space="preserve">Finally, we note that the outcome in the present case is the same as the outcome of the Court of Appeal in </w:t>
      </w:r>
      <w:proofErr w:type="spellStart"/>
      <w:r>
        <w:rPr>
          <w:i/>
        </w:rPr>
        <w:t>Thaler</w:t>
      </w:r>
      <w:proofErr w:type="spellEnd"/>
      <w:r>
        <w:rPr>
          <w:i/>
        </w:rPr>
        <w:t xml:space="preserve"> UK</w:t>
      </w:r>
      <w:r>
        <w:t xml:space="preserve">. Whilst there are important aspects of the reasoning of the learned judges in that Court with which we respectfully agree, we consider that the task in the present case focusses on the particular statutory language of the </w:t>
      </w:r>
      <w:r w:rsidRPr="00877ECB">
        <w:rPr>
          <w:i/>
        </w:rPr>
        <w:t>Patents Act</w:t>
      </w:r>
      <w:r>
        <w:t xml:space="preserve">, which in material respects differs from that in the equivalent </w:t>
      </w:r>
      <w:r w:rsidR="002F6CF9">
        <w:t>patents legislation</w:t>
      </w:r>
      <w:r>
        <w:t xml:space="preserve"> in the United Kingdom.</w:t>
      </w:r>
    </w:p>
    <w:p w14:paraId="37D52BA6" w14:textId="77777777" w:rsidR="00343C88" w:rsidRDefault="00343C88" w:rsidP="00343C88">
      <w:pPr>
        <w:pStyle w:val="Heading5"/>
      </w:pPr>
      <w:bookmarkStart w:id="41" w:name="_Ref100588677"/>
      <w:r>
        <w:t>DISPOSITION</w:t>
      </w:r>
      <w:bookmarkEnd w:id="41"/>
      <w:r>
        <w:t xml:space="preserve"> </w:t>
      </w:r>
    </w:p>
    <w:p w14:paraId="07F84D62" w14:textId="54AA6798" w:rsidR="00343C88" w:rsidRDefault="00B11A9E" w:rsidP="009E4B09">
      <w:pPr>
        <w:pStyle w:val="ParaNumbering"/>
      </w:pPr>
      <w:r>
        <w:t>For</w:t>
      </w:r>
      <w:r w:rsidR="00343C88">
        <w:t xml:space="preserve"> the reasons set out above we</w:t>
      </w:r>
      <w:r>
        <w:t xml:space="preserve"> consider that </w:t>
      </w:r>
      <w:r w:rsidR="006D6D2F">
        <w:t xml:space="preserve">the first </w:t>
      </w:r>
      <w:r>
        <w:t xml:space="preserve">ground of the appeal must succeed with the consequence that </w:t>
      </w:r>
      <w:r w:rsidR="00343C88">
        <w:t>the appeal should be allowed</w:t>
      </w:r>
      <w:r>
        <w:t xml:space="preserve">. We do not consider that it is necessary to consider </w:t>
      </w:r>
      <w:r w:rsidR="006D6D2F">
        <w:t>the second</w:t>
      </w:r>
      <w:r>
        <w:t>. The result is that</w:t>
      </w:r>
      <w:r w:rsidR="00343C88">
        <w:t xml:space="preserve"> the decision of the primary judge </w:t>
      </w:r>
      <w:r>
        <w:t xml:space="preserve">should be </w:t>
      </w:r>
      <w:r w:rsidR="00343C88">
        <w:t>set aside and the orders made by the Deputy Commissioner reinstated. The Commissioner accepts that it is appropriate in the circumstances of this case that there be no order as to costs.</w:t>
      </w:r>
    </w:p>
    <w:p w14:paraId="510A6FD9" w14:textId="77777777" w:rsidR="004B69AB" w:rsidRPr="003D033E" w:rsidRDefault="004B69AB" w:rsidP="00EF2389">
      <w:pPr>
        <w:pStyle w:val="ParaNumbering"/>
        <w:numPr>
          <w:ilvl w:val="0"/>
          <w:numId w:val="0"/>
        </w:numPr>
        <w:rPr>
          <w:highlight w:val="yellow"/>
        </w:rPr>
      </w:pPr>
    </w:p>
    <w:p w14:paraId="628F2EA7" w14:textId="77777777" w:rsidR="004B69AB" w:rsidRDefault="004B69AB" w:rsidP="00F403E4">
      <w:pPr>
        <w:pStyle w:val="BodyText"/>
      </w:pPr>
      <w:bookmarkStart w:id="42" w:name="Certification"/>
    </w:p>
    <w:tbl>
      <w:tblPr>
        <w:tblW w:w="0" w:type="auto"/>
        <w:tblLook w:val="04A0" w:firstRow="1" w:lastRow="0" w:firstColumn="1" w:lastColumn="0" w:noHBand="0" w:noVBand="1"/>
      </w:tblPr>
      <w:tblGrid>
        <w:gridCol w:w="3794"/>
      </w:tblGrid>
      <w:tr w:rsidR="004B69AB" w:rsidRPr="004B69AB" w14:paraId="03DC645D" w14:textId="77777777">
        <w:tc>
          <w:tcPr>
            <w:tcW w:w="3794" w:type="dxa"/>
            <w:shd w:val="clear" w:color="auto" w:fill="auto"/>
          </w:tcPr>
          <w:p w14:paraId="29FDACD6" w14:textId="5977F954" w:rsidR="004B69AB" w:rsidRPr="004B69AB" w:rsidRDefault="004B69AB" w:rsidP="004B69AB">
            <w:pPr>
              <w:pStyle w:val="Normal1linespace"/>
            </w:pPr>
            <w:r w:rsidRPr="004B69AB">
              <w:t xml:space="preserve">I certify that the preceding </w:t>
            </w:r>
            <w:bookmarkStart w:id="43" w:name="NumberWord"/>
            <w:r>
              <w:t>one hundred and twenty-three</w:t>
            </w:r>
            <w:bookmarkEnd w:id="43"/>
            <w:r w:rsidRPr="004B69AB">
              <w:t xml:space="preserve"> (</w:t>
            </w:r>
            <w:bookmarkStart w:id="44" w:name="NumberNumeral"/>
            <w:r>
              <w:t>123</w:t>
            </w:r>
            <w:bookmarkEnd w:id="44"/>
            <w:r w:rsidRPr="004B69AB">
              <w:t xml:space="preserve">) numbered </w:t>
            </w:r>
            <w:bookmarkStart w:id="45" w:name="CertPara"/>
            <w:r>
              <w:t>paragraphs are</w:t>
            </w:r>
            <w:bookmarkEnd w:id="45"/>
            <w:r w:rsidRPr="004B69AB">
              <w:t xml:space="preserve"> a true copy of the Reasons for Judgment of </w:t>
            </w:r>
            <w:bookmarkStart w:id="46" w:name="bkHonourable"/>
            <w:r w:rsidRPr="004B69AB">
              <w:t xml:space="preserve">the Honourable </w:t>
            </w:r>
            <w:bookmarkStart w:id="47" w:name="Justice"/>
            <w:bookmarkEnd w:id="46"/>
            <w:r>
              <w:t>Chief Justice Allsop, and Justices Nicholas, Yates, Moshinsky and Burley</w:t>
            </w:r>
            <w:bookmarkEnd w:id="47"/>
            <w:r w:rsidRPr="004B69AB">
              <w:t>.</w:t>
            </w:r>
          </w:p>
        </w:tc>
      </w:tr>
    </w:tbl>
    <w:p w14:paraId="3902F65D" w14:textId="77777777" w:rsidR="004B69AB" w:rsidRDefault="004B69AB" w:rsidP="00F403E4">
      <w:pPr>
        <w:pStyle w:val="BodyText"/>
      </w:pPr>
    </w:p>
    <w:p w14:paraId="0D0DA57B" w14:textId="7A62C70A" w:rsidR="004B69AB" w:rsidRDefault="004B69AB" w:rsidP="00F403E4">
      <w:pPr>
        <w:pStyle w:val="BodyText"/>
      </w:pPr>
      <w:bookmarkStart w:id="48" w:name="_GoBack"/>
      <w:bookmarkEnd w:id="48"/>
      <w:r>
        <w:t>Associate:</w:t>
      </w:r>
      <w:r w:rsidR="00211F81">
        <w:t xml:space="preserve"> </w:t>
      </w:r>
    </w:p>
    <w:p w14:paraId="5F9208F8" w14:textId="77777777" w:rsidR="004B69AB" w:rsidRDefault="004B69AB" w:rsidP="00F403E4">
      <w:pPr>
        <w:pStyle w:val="BodyText"/>
      </w:pPr>
    </w:p>
    <w:p w14:paraId="006EEF29" w14:textId="4EEB4769" w:rsidR="004B69AB" w:rsidRDefault="004B69AB" w:rsidP="00F403E4">
      <w:pPr>
        <w:pStyle w:val="BodyText"/>
        <w:tabs>
          <w:tab w:val="left" w:pos="1134"/>
        </w:tabs>
      </w:pPr>
      <w:r>
        <w:t>Dated:</w:t>
      </w:r>
      <w:r>
        <w:tab/>
      </w:r>
      <w:bookmarkStart w:id="49" w:name="CertifyDated"/>
      <w:r w:rsidR="00E42CC2">
        <w:t>13</w:t>
      </w:r>
      <w:r>
        <w:t xml:space="preserve"> April 2022</w:t>
      </w:r>
      <w:bookmarkEnd w:id="49"/>
    </w:p>
    <w:p w14:paraId="3AD99BF0" w14:textId="77777777" w:rsidR="004B69AB" w:rsidRDefault="004B69AB" w:rsidP="00F403E4">
      <w:pPr>
        <w:pStyle w:val="BodyText"/>
      </w:pPr>
    </w:p>
    <w:bookmarkEnd w:id="42"/>
    <w:p w14:paraId="5BBD666B" w14:textId="1C42FDAC" w:rsidR="004E1517" w:rsidRPr="008E469B" w:rsidRDefault="007E696E" w:rsidP="003D033E">
      <w:pPr>
        <w:pStyle w:val="BodyText"/>
      </w:pPr>
      <w:r>
        <w:t xml:space="preserve"> </w:t>
      </w:r>
    </w:p>
    <w:sectPr w:rsidR="004E1517" w:rsidRPr="008E469B"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D6526" w14:textId="77777777" w:rsidR="00AB3C33" w:rsidRDefault="00AB3C33">
      <w:pPr>
        <w:spacing w:line="20" w:lineRule="exact"/>
      </w:pPr>
    </w:p>
    <w:p w14:paraId="63DE1501" w14:textId="77777777" w:rsidR="00AB3C33" w:rsidRDefault="00AB3C33"/>
    <w:p w14:paraId="59D8BC06" w14:textId="77777777" w:rsidR="00AB3C33" w:rsidRDefault="00AB3C33"/>
  </w:endnote>
  <w:endnote w:type="continuationSeparator" w:id="0">
    <w:p w14:paraId="5032978F" w14:textId="77777777" w:rsidR="00AB3C33" w:rsidRDefault="00AB3C33">
      <w:r>
        <w:t xml:space="preserve"> </w:t>
      </w:r>
    </w:p>
    <w:p w14:paraId="3FED2A35" w14:textId="77777777" w:rsidR="00AB3C33" w:rsidRDefault="00AB3C33"/>
    <w:p w14:paraId="08790441" w14:textId="77777777" w:rsidR="00AB3C33" w:rsidRDefault="00AB3C33"/>
  </w:endnote>
  <w:endnote w:type="continuationNotice" w:id="1">
    <w:p w14:paraId="43FDBD9F" w14:textId="77777777" w:rsidR="00AB3C33" w:rsidRDefault="00AB3C33">
      <w:r>
        <w:t xml:space="preserve"> </w:t>
      </w:r>
    </w:p>
    <w:p w14:paraId="78604524" w14:textId="77777777" w:rsidR="00AB3C33" w:rsidRDefault="00AB3C33"/>
    <w:p w14:paraId="204961C1" w14:textId="77777777" w:rsidR="00AB3C33" w:rsidRDefault="00AB3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1CF59" w14:textId="77777777" w:rsidR="00211F81" w:rsidRDefault="00211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E8F36" w14:textId="27E12CA3" w:rsidR="009C15D0" w:rsidRPr="00C47B9D" w:rsidRDefault="009C15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3724CF43" wp14:editId="1A300C64">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48ADC9"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211F81">
          <w:rPr>
            <w:bCs/>
            <w:sz w:val="18"/>
            <w:szCs w:val="18"/>
          </w:rPr>
          <w:t xml:space="preserve">Commissioner of Patents v </w:t>
        </w:r>
        <w:proofErr w:type="spellStart"/>
        <w:r w:rsidR="00211F81">
          <w:rPr>
            <w:bCs/>
            <w:sz w:val="18"/>
            <w:szCs w:val="18"/>
          </w:rPr>
          <w:t>Thaler</w:t>
        </w:r>
        <w:proofErr w:type="spellEnd"/>
        <w:r w:rsidR="00211F81">
          <w:rPr>
            <w:bCs/>
            <w:sz w:val="18"/>
            <w:szCs w:val="18"/>
          </w:rPr>
          <w:t xml:space="preserve"> [2022] FCAFC 62</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03A1A" w14:textId="7026481D" w:rsidR="009C15D0" w:rsidRPr="00211F81" w:rsidRDefault="009C15D0" w:rsidP="00211F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F13AE" w14:textId="2F7C50B3" w:rsidR="009C15D0" w:rsidRPr="00C47B9D" w:rsidRDefault="009C15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40582402" wp14:editId="106A25BD">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CBE4A5"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8D277B31290C4A18A870EB7177510CF4"/>
        </w:placeholder>
        <w:dataBinding w:prefixMappings="xmlns:ns0='http://schemas.globalmacros.com/FCA'" w:xpath="/ns0:root[1]/ns0:Name[1]" w:storeItemID="{687E7CCB-4AA5-44E7-B148-17BA2B6F57C0}"/>
        <w:text w:multiLine="1"/>
      </w:sdtPr>
      <w:sdtEndPr/>
      <w:sdtContent>
        <w:r w:rsidR="00211F81">
          <w:rPr>
            <w:bCs/>
            <w:sz w:val="18"/>
            <w:szCs w:val="18"/>
          </w:rPr>
          <w:t xml:space="preserve">Commissioner of Patents v </w:t>
        </w:r>
        <w:proofErr w:type="spellStart"/>
        <w:r w:rsidR="00211F81">
          <w:rPr>
            <w:bCs/>
            <w:sz w:val="18"/>
            <w:szCs w:val="18"/>
          </w:rPr>
          <w:t>Thaler</w:t>
        </w:r>
        <w:proofErr w:type="spellEnd"/>
        <w:r w:rsidR="00211F81">
          <w:rPr>
            <w:bCs/>
            <w:sz w:val="18"/>
            <w:szCs w:val="18"/>
          </w:rPr>
          <w:t xml:space="preserve"> [2022] FCAFC 62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noProof/>
        <w:sz w:val="20"/>
      </w:rPr>
      <w:t>2</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414C1" w14:textId="6A5C83FC" w:rsidR="009C15D0" w:rsidRPr="00C47B9D" w:rsidRDefault="009C15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5336824D" wp14:editId="6D31981D">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5CD56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AC8464BD37664BD3A4606F3EC9A072B7"/>
        </w:placeholder>
        <w:dataBinding w:prefixMappings="xmlns:ns0='http://schemas.globalmacros.com/FCA'" w:xpath="/ns0:root[1]/ns0:Name[1]" w:storeItemID="{687E7CCB-4AA5-44E7-B148-17BA2B6F57C0}"/>
        <w:text w:multiLine="1"/>
      </w:sdtPr>
      <w:sdtEndPr/>
      <w:sdtContent>
        <w:r w:rsidR="00211F81">
          <w:rPr>
            <w:bCs/>
            <w:sz w:val="18"/>
            <w:szCs w:val="18"/>
          </w:rPr>
          <w:t xml:space="preserve">Commissioner of Patents v </w:t>
        </w:r>
        <w:proofErr w:type="spellStart"/>
        <w:r w:rsidR="00211F81">
          <w:rPr>
            <w:bCs/>
            <w:sz w:val="18"/>
            <w:szCs w:val="18"/>
          </w:rPr>
          <w:t>Thaler</w:t>
        </w:r>
        <w:proofErr w:type="spellEnd"/>
        <w:r w:rsidR="00211F81">
          <w:rPr>
            <w:bCs/>
            <w:sz w:val="18"/>
            <w:szCs w:val="18"/>
          </w:rPr>
          <w:t xml:space="preserve"> [2022] FCAFC 62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6115E">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B56F" w14:textId="5A21361A" w:rsidR="009C15D0" w:rsidRPr="00C47B9D" w:rsidRDefault="009C15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22A59011" wp14:editId="449495A5">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DD289F"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533F41341B754AB1B0AD224978B4AE19"/>
        </w:placeholder>
        <w:dataBinding w:prefixMappings="xmlns:ns0='http://schemas.globalmacros.com/FCA'" w:xpath="/ns0:root[1]/ns0:Name[1]" w:storeItemID="{687E7CCB-4AA5-44E7-B148-17BA2B6F57C0}"/>
        <w:text w:multiLine="1"/>
      </w:sdtPr>
      <w:sdtEndPr/>
      <w:sdtContent>
        <w:r w:rsidR="00211F81">
          <w:rPr>
            <w:bCs/>
            <w:sz w:val="18"/>
            <w:szCs w:val="18"/>
          </w:rPr>
          <w:t xml:space="preserve">Commissioner of Patents v </w:t>
        </w:r>
        <w:proofErr w:type="spellStart"/>
        <w:r w:rsidR="00211F81">
          <w:rPr>
            <w:bCs/>
            <w:sz w:val="18"/>
            <w:szCs w:val="18"/>
          </w:rPr>
          <w:t>Thaler</w:t>
        </w:r>
        <w:proofErr w:type="spellEnd"/>
        <w:r w:rsidR="00211F81">
          <w:rPr>
            <w:bCs/>
            <w:sz w:val="18"/>
            <w:szCs w:val="18"/>
          </w:rPr>
          <w:t xml:space="preserve"> [2022] FCAFC 62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6115E">
      <w:rPr>
        <w:bCs/>
        <w:noProof/>
        <w:sz w:val="20"/>
      </w:rPr>
      <w:t>31</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621A" w14:textId="62663977" w:rsidR="009C15D0" w:rsidRPr="00C47B9D" w:rsidRDefault="009C15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133DC0FF" wp14:editId="4321B940">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A30D4B"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0F1C56B172BA49FA986CF3ABF53443DE"/>
        </w:placeholder>
        <w:dataBinding w:prefixMappings="xmlns:ns0='http://schemas.globalmacros.com/FCA'" w:xpath="/ns0:root[1]/ns0:Name[1]" w:storeItemID="{687E7CCB-4AA5-44E7-B148-17BA2B6F57C0}"/>
        <w:text w:multiLine="1"/>
      </w:sdtPr>
      <w:sdtEndPr/>
      <w:sdtContent>
        <w:r w:rsidR="00211F81">
          <w:rPr>
            <w:bCs/>
            <w:sz w:val="18"/>
            <w:szCs w:val="18"/>
          </w:rPr>
          <w:t xml:space="preserve">Commissioner of Patents v </w:t>
        </w:r>
        <w:proofErr w:type="spellStart"/>
        <w:r w:rsidR="00211F81">
          <w:rPr>
            <w:bCs/>
            <w:sz w:val="18"/>
            <w:szCs w:val="18"/>
          </w:rPr>
          <w:t>Thaler</w:t>
        </w:r>
        <w:proofErr w:type="spellEnd"/>
        <w:r w:rsidR="00211F81">
          <w:rPr>
            <w:bCs/>
            <w:sz w:val="18"/>
            <w:szCs w:val="18"/>
          </w:rPr>
          <w:t xml:space="preserve"> [2022] FCAFC 62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6115E">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E439E" w14:textId="77777777" w:rsidR="00AB3C33" w:rsidRDefault="00AB3C33"/>
  </w:footnote>
  <w:footnote w:type="continuationSeparator" w:id="0">
    <w:p w14:paraId="40E27476" w14:textId="77777777" w:rsidR="00AB3C33" w:rsidRDefault="00AB3C33">
      <w:r>
        <w:continuationSeparator/>
      </w:r>
    </w:p>
    <w:p w14:paraId="4A9AA789" w14:textId="77777777" w:rsidR="00AB3C33" w:rsidRDefault="00AB3C33"/>
    <w:p w14:paraId="2A1A165A" w14:textId="77777777" w:rsidR="00AB3C33" w:rsidRDefault="00AB3C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0A94D" w14:textId="77777777" w:rsidR="00211F81" w:rsidRDefault="00211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DCA89" w14:textId="77777777" w:rsidR="00211F81" w:rsidRDefault="00211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FC645" w14:textId="77777777" w:rsidR="00211F81" w:rsidRDefault="00211F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33C51" w14:textId="77777777" w:rsidR="009C15D0" w:rsidRDefault="009C15D0">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9F82" w14:textId="77777777" w:rsidR="009C15D0" w:rsidRDefault="009C15D0">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4BA63" w14:textId="77777777" w:rsidR="009C15D0" w:rsidRDefault="009C15D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7CCFE" w14:textId="77777777" w:rsidR="009C15D0" w:rsidRDefault="009C15D0">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0D621" w14:textId="77777777" w:rsidR="009C15D0" w:rsidRDefault="009C15D0"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11F0B"/>
    <w:multiLevelType w:val="hybridMultilevel"/>
    <w:tmpl w:val="E5C426FE"/>
    <w:lvl w:ilvl="0" w:tplc="78B4336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82F58F3"/>
    <w:multiLevelType w:val="hybridMultilevel"/>
    <w:tmpl w:val="B134A32C"/>
    <w:lvl w:ilvl="0" w:tplc="F198F4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7"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3B2E08E3"/>
    <w:multiLevelType w:val="hybridMultilevel"/>
    <w:tmpl w:val="B4F002E0"/>
    <w:lvl w:ilvl="0" w:tplc="55C6F83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DB77F97"/>
    <w:multiLevelType w:val="hybridMultilevel"/>
    <w:tmpl w:val="84ECDDB2"/>
    <w:lvl w:ilvl="0" w:tplc="CEF66A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7153CB4"/>
    <w:multiLevelType w:val="hybridMultilevel"/>
    <w:tmpl w:val="16D678B4"/>
    <w:lvl w:ilvl="0" w:tplc="D3F614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3"/>
  </w:num>
  <w:num w:numId="14">
    <w:abstractNumId w:val="24"/>
  </w:num>
  <w:num w:numId="15">
    <w:abstractNumId w:val="29"/>
  </w:num>
  <w:num w:numId="16">
    <w:abstractNumId w:val="14"/>
  </w:num>
  <w:num w:numId="17">
    <w:abstractNumId w:val="27"/>
  </w:num>
  <w:num w:numId="18">
    <w:abstractNumId w:val="12"/>
  </w:num>
  <w:num w:numId="19">
    <w:abstractNumId w:val="20"/>
  </w:num>
  <w:num w:numId="20">
    <w:abstractNumId w:val="17"/>
  </w:num>
  <w:num w:numId="21">
    <w:abstractNumId w:val="18"/>
  </w:num>
  <w:num w:numId="22">
    <w:abstractNumId w:val="22"/>
  </w:num>
  <w:num w:numId="23">
    <w:abstractNumId w:val="11"/>
  </w:num>
  <w:num w:numId="24">
    <w:abstractNumId w:val="11"/>
  </w:num>
  <w:num w:numId="25">
    <w:abstractNumId w:val="13"/>
  </w:num>
  <w:num w:numId="26">
    <w:abstractNumId w:val="19"/>
  </w:num>
  <w:num w:numId="27">
    <w:abstractNumId w:val="19"/>
  </w:num>
  <w:num w:numId="28">
    <w:abstractNumId w:val="19"/>
  </w:num>
  <w:num w:numId="29">
    <w:abstractNumId w:val="28"/>
  </w:num>
  <w:num w:numId="30">
    <w:abstractNumId w:val="10"/>
  </w:num>
  <w:num w:numId="31">
    <w:abstractNumId w:val="25"/>
  </w:num>
  <w:num w:numId="32">
    <w:abstractNumId w:val="21"/>
  </w:num>
  <w:num w:numId="33">
    <w:abstractNumId w:val="15"/>
  </w:num>
  <w:num w:numId="34">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Thaler v Commissioner of Patents [2021] FCA 879"/>
    <w:docVar w:name="Appellant" w:val="Commissioner of Patents"/>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VID 496 of 2021"/>
    <w:docVar w:name="Initiators" w:val="(and another named in the Schedule)"/>
    <w:docVar w:name="Judgdate" w:val="# April 2022"/>
    <w:docVar w:name="Judge" w:val="Allsop, Nicholas, Yates, Moshinsky and Burley"/>
    <w:docVar w:name="JudgeType" w:val="Justices"/>
    <w:docVar w:name="lstEntryList" w:val="-1"/>
    <w:docVar w:name="myEntryList" w:val="Counsel for the Appellant=Ms S Goddard SC with Mr H Bevan SC|Solicitor for the Appellant=Australian Government Solicitor|Counsel for the Respondent=Mr D Shavin QC with Ms C Cunliffe|Solicitor for the Respondent=Allens"/>
    <w:docVar w:name="NSD" w:val="NSD "/>
    <w:docVar w:name="NumApps" w:val="1"/>
    <w:docVar w:name="NumApps_" w:val="1"/>
    <w:docVar w:name="NumCrossResps" w:val="0"/>
    <w:docVar w:name="NumDefs" w:val="1"/>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Intellectual Property"/>
    <w:docVar w:name="RESAndAnother" w:val="True"/>
    <w:docVar w:name="RESAndOthers" w:val="False"/>
    <w:docVar w:name="Respondent" w:val="Stephen Thaler"/>
    <w:docVar w:name="ResState" w:val="New South Wales"/>
    <w:docVar w:name="SubArea" w:val="Patents and associated Statutes (IP)"/>
  </w:docVars>
  <w:rsids>
    <w:rsidRoot w:val="0014389F"/>
    <w:rsid w:val="0000047F"/>
    <w:rsid w:val="00000747"/>
    <w:rsid w:val="00006322"/>
    <w:rsid w:val="000102CB"/>
    <w:rsid w:val="000115C5"/>
    <w:rsid w:val="000130A3"/>
    <w:rsid w:val="0001469E"/>
    <w:rsid w:val="00015993"/>
    <w:rsid w:val="00015A12"/>
    <w:rsid w:val="000216C6"/>
    <w:rsid w:val="0002197F"/>
    <w:rsid w:val="00021A69"/>
    <w:rsid w:val="00021CCB"/>
    <w:rsid w:val="00021DAF"/>
    <w:rsid w:val="00022289"/>
    <w:rsid w:val="00022AC7"/>
    <w:rsid w:val="000237E9"/>
    <w:rsid w:val="00024EDB"/>
    <w:rsid w:val="00025A96"/>
    <w:rsid w:val="00025CFF"/>
    <w:rsid w:val="0002604F"/>
    <w:rsid w:val="000268F0"/>
    <w:rsid w:val="00027398"/>
    <w:rsid w:val="00027B40"/>
    <w:rsid w:val="000302F7"/>
    <w:rsid w:val="000312DB"/>
    <w:rsid w:val="0003201A"/>
    <w:rsid w:val="0003207A"/>
    <w:rsid w:val="00032211"/>
    <w:rsid w:val="00032781"/>
    <w:rsid w:val="00032898"/>
    <w:rsid w:val="00032A1D"/>
    <w:rsid w:val="00032F9F"/>
    <w:rsid w:val="000332F4"/>
    <w:rsid w:val="0003339B"/>
    <w:rsid w:val="00035E0E"/>
    <w:rsid w:val="00036700"/>
    <w:rsid w:val="00037D83"/>
    <w:rsid w:val="000401D3"/>
    <w:rsid w:val="00041C07"/>
    <w:rsid w:val="00043DEA"/>
    <w:rsid w:val="000442FA"/>
    <w:rsid w:val="000447F6"/>
    <w:rsid w:val="00045BB7"/>
    <w:rsid w:val="000466E1"/>
    <w:rsid w:val="0005001E"/>
    <w:rsid w:val="000503DD"/>
    <w:rsid w:val="00051B00"/>
    <w:rsid w:val="00052E3B"/>
    <w:rsid w:val="00053E60"/>
    <w:rsid w:val="00054CF1"/>
    <w:rsid w:val="00055719"/>
    <w:rsid w:val="0005641B"/>
    <w:rsid w:val="00056A43"/>
    <w:rsid w:val="0005765A"/>
    <w:rsid w:val="00060082"/>
    <w:rsid w:val="000605B9"/>
    <w:rsid w:val="00061664"/>
    <w:rsid w:val="0006196A"/>
    <w:rsid w:val="0006283A"/>
    <w:rsid w:val="000650F0"/>
    <w:rsid w:val="0006714C"/>
    <w:rsid w:val="00070085"/>
    <w:rsid w:val="00070BB1"/>
    <w:rsid w:val="000712B3"/>
    <w:rsid w:val="000713F2"/>
    <w:rsid w:val="00071B78"/>
    <w:rsid w:val="00071FB3"/>
    <w:rsid w:val="000720D9"/>
    <w:rsid w:val="00072272"/>
    <w:rsid w:val="00073360"/>
    <w:rsid w:val="000737C6"/>
    <w:rsid w:val="00074468"/>
    <w:rsid w:val="00077325"/>
    <w:rsid w:val="000774C0"/>
    <w:rsid w:val="00077768"/>
    <w:rsid w:val="000807C3"/>
    <w:rsid w:val="00081497"/>
    <w:rsid w:val="000814DB"/>
    <w:rsid w:val="0008258F"/>
    <w:rsid w:val="000831EC"/>
    <w:rsid w:val="00084126"/>
    <w:rsid w:val="00085255"/>
    <w:rsid w:val="00086A3B"/>
    <w:rsid w:val="00087875"/>
    <w:rsid w:val="000911A7"/>
    <w:rsid w:val="000935E9"/>
    <w:rsid w:val="000959E6"/>
    <w:rsid w:val="000979EB"/>
    <w:rsid w:val="00097D54"/>
    <w:rsid w:val="000A1409"/>
    <w:rsid w:val="000A2628"/>
    <w:rsid w:val="000A2E76"/>
    <w:rsid w:val="000A3315"/>
    <w:rsid w:val="000A4596"/>
    <w:rsid w:val="000A4807"/>
    <w:rsid w:val="000A4BE4"/>
    <w:rsid w:val="000A658C"/>
    <w:rsid w:val="000A6AE9"/>
    <w:rsid w:val="000A748F"/>
    <w:rsid w:val="000B3606"/>
    <w:rsid w:val="000B440F"/>
    <w:rsid w:val="000B4C8A"/>
    <w:rsid w:val="000B6952"/>
    <w:rsid w:val="000B73DF"/>
    <w:rsid w:val="000C023E"/>
    <w:rsid w:val="000C0578"/>
    <w:rsid w:val="000C32BD"/>
    <w:rsid w:val="000C405D"/>
    <w:rsid w:val="000C4ADE"/>
    <w:rsid w:val="000C5195"/>
    <w:rsid w:val="000C62EF"/>
    <w:rsid w:val="000C72C5"/>
    <w:rsid w:val="000C7820"/>
    <w:rsid w:val="000D14D1"/>
    <w:rsid w:val="000D2137"/>
    <w:rsid w:val="000D2BFB"/>
    <w:rsid w:val="000D2E0A"/>
    <w:rsid w:val="000D3FD2"/>
    <w:rsid w:val="000D4B2E"/>
    <w:rsid w:val="000D4BCA"/>
    <w:rsid w:val="000D5B38"/>
    <w:rsid w:val="000D7039"/>
    <w:rsid w:val="000E076A"/>
    <w:rsid w:val="000E15C0"/>
    <w:rsid w:val="000E2293"/>
    <w:rsid w:val="000E26C9"/>
    <w:rsid w:val="000E26E0"/>
    <w:rsid w:val="000E3171"/>
    <w:rsid w:val="000E3FC8"/>
    <w:rsid w:val="000E4447"/>
    <w:rsid w:val="000E4A9E"/>
    <w:rsid w:val="000E4DF5"/>
    <w:rsid w:val="000E4E19"/>
    <w:rsid w:val="000E5483"/>
    <w:rsid w:val="000E5DE8"/>
    <w:rsid w:val="000E5EA4"/>
    <w:rsid w:val="000E616A"/>
    <w:rsid w:val="000E7BAE"/>
    <w:rsid w:val="000F0B23"/>
    <w:rsid w:val="000F133D"/>
    <w:rsid w:val="000F1CD6"/>
    <w:rsid w:val="000F2667"/>
    <w:rsid w:val="000F6653"/>
    <w:rsid w:val="000F6CBD"/>
    <w:rsid w:val="0010095C"/>
    <w:rsid w:val="00101BBF"/>
    <w:rsid w:val="00102451"/>
    <w:rsid w:val="001026DB"/>
    <w:rsid w:val="00102E7C"/>
    <w:rsid w:val="0010536B"/>
    <w:rsid w:val="001062CC"/>
    <w:rsid w:val="00107301"/>
    <w:rsid w:val="00107F06"/>
    <w:rsid w:val="00110738"/>
    <w:rsid w:val="0011145C"/>
    <w:rsid w:val="001128BD"/>
    <w:rsid w:val="00112E46"/>
    <w:rsid w:val="00113FB7"/>
    <w:rsid w:val="0011419D"/>
    <w:rsid w:val="0011478D"/>
    <w:rsid w:val="00114B02"/>
    <w:rsid w:val="00114E8F"/>
    <w:rsid w:val="00115627"/>
    <w:rsid w:val="00115B5E"/>
    <w:rsid w:val="00115FF3"/>
    <w:rsid w:val="001163E8"/>
    <w:rsid w:val="001212AE"/>
    <w:rsid w:val="001226C0"/>
    <w:rsid w:val="001235D5"/>
    <w:rsid w:val="00123801"/>
    <w:rsid w:val="00124097"/>
    <w:rsid w:val="001249B3"/>
    <w:rsid w:val="00124F3C"/>
    <w:rsid w:val="00125287"/>
    <w:rsid w:val="001252F9"/>
    <w:rsid w:val="00126EC8"/>
    <w:rsid w:val="0012731C"/>
    <w:rsid w:val="00130C47"/>
    <w:rsid w:val="0013137D"/>
    <w:rsid w:val="00132054"/>
    <w:rsid w:val="00132B94"/>
    <w:rsid w:val="00134964"/>
    <w:rsid w:val="001351B9"/>
    <w:rsid w:val="00135430"/>
    <w:rsid w:val="0013689F"/>
    <w:rsid w:val="0013699F"/>
    <w:rsid w:val="0013734E"/>
    <w:rsid w:val="00137B03"/>
    <w:rsid w:val="001400F0"/>
    <w:rsid w:val="001401D4"/>
    <w:rsid w:val="001403A6"/>
    <w:rsid w:val="00141AAC"/>
    <w:rsid w:val="00142C86"/>
    <w:rsid w:val="001435CF"/>
    <w:rsid w:val="0014389F"/>
    <w:rsid w:val="001446AB"/>
    <w:rsid w:val="00145A7B"/>
    <w:rsid w:val="00151599"/>
    <w:rsid w:val="00152135"/>
    <w:rsid w:val="00152592"/>
    <w:rsid w:val="00153B54"/>
    <w:rsid w:val="00155CD2"/>
    <w:rsid w:val="001561C2"/>
    <w:rsid w:val="00156398"/>
    <w:rsid w:val="0015728C"/>
    <w:rsid w:val="0015731D"/>
    <w:rsid w:val="00160FD1"/>
    <w:rsid w:val="001610D6"/>
    <w:rsid w:val="001618A5"/>
    <w:rsid w:val="00161CC2"/>
    <w:rsid w:val="00161F11"/>
    <w:rsid w:val="001621B6"/>
    <w:rsid w:val="001625D9"/>
    <w:rsid w:val="00165D96"/>
    <w:rsid w:val="00166034"/>
    <w:rsid w:val="00166376"/>
    <w:rsid w:val="00167EDD"/>
    <w:rsid w:val="00171ABF"/>
    <w:rsid w:val="001727A4"/>
    <w:rsid w:val="0017364D"/>
    <w:rsid w:val="0017376C"/>
    <w:rsid w:val="001738AB"/>
    <w:rsid w:val="001765E0"/>
    <w:rsid w:val="00177759"/>
    <w:rsid w:val="001777DA"/>
    <w:rsid w:val="00180BB3"/>
    <w:rsid w:val="0018186D"/>
    <w:rsid w:val="001819D6"/>
    <w:rsid w:val="00181BB0"/>
    <w:rsid w:val="00183A57"/>
    <w:rsid w:val="00185DD6"/>
    <w:rsid w:val="00185E6B"/>
    <w:rsid w:val="00187201"/>
    <w:rsid w:val="00187BBC"/>
    <w:rsid w:val="001903D8"/>
    <w:rsid w:val="00190775"/>
    <w:rsid w:val="00190810"/>
    <w:rsid w:val="00191F43"/>
    <w:rsid w:val="001932BC"/>
    <w:rsid w:val="001932F3"/>
    <w:rsid w:val="001A0295"/>
    <w:rsid w:val="001A1D46"/>
    <w:rsid w:val="001A21C4"/>
    <w:rsid w:val="001A22C7"/>
    <w:rsid w:val="001A2B40"/>
    <w:rsid w:val="001A3BDA"/>
    <w:rsid w:val="001A4309"/>
    <w:rsid w:val="001A46AE"/>
    <w:rsid w:val="001A5F1E"/>
    <w:rsid w:val="001A6C52"/>
    <w:rsid w:val="001B0CE0"/>
    <w:rsid w:val="001B0F0E"/>
    <w:rsid w:val="001B0FAA"/>
    <w:rsid w:val="001B1053"/>
    <w:rsid w:val="001B11BF"/>
    <w:rsid w:val="001B14AC"/>
    <w:rsid w:val="001B43FE"/>
    <w:rsid w:val="001B4814"/>
    <w:rsid w:val="001B5D36"/>
    <w:rsid w:val="001B6698"/>
    <w:rsid w:val="001B76E5"/>
    <w:rsid w:val="001B7940"/>
    <w:rsid w:val="001B7F2F"/>
    <w:rsid w:val="001C087E"/>
    <w:rsid w:val="001C0E3F"/>
    <w:rsid w:val="001C171A"/>
    <w:rsid w:val="001C1F38"/>
    <w:rsid w:val="001C2193"/>
    <w:rsid w:val="001C2DC5"/>
    <w:rsid w:val="001C2FE0"/>
    <w:rsid w:val="001C3095"/>
    <w:rsid w:val="001C378F"/>
    <w:rsid w:val="001C37CA"/>
    <w:rsid w:val="001C4085"/>
    <w:rsid w:val="001C4A92"/>
    <w:rsid w:val="001C73A0"/>
    <w:rsid w:val="001D0E13"/>
    <w:rsid w:val="001D13A5"/>
    <w:rsid w:val="001D24F7"/>
    <w:rsid w:val="001D3972"/>
    <w:rsid w:val="001D4303"/>
    <w:rsid w:val="001D4367"/>
    <w:rsid w:val="001D4DBC"/>
    <w:rsid w:val="001D5879"/>
    <w:rsid w:val="001D6407"/>
    <w:rsid w:val="001D6746"/>
    <w:rsid w:val="001D7DC6"/>
    <w:rsid w:val="001E0812"/>
    <w:rsid w:val="001E0AF1"/>
    <w:rsid w:val="001E0C61"/>
    <w:rsid w:val="001E16B4"/>
    <w:rsid w:val="001E1E79"/>
    <w:rsid w:val="001E2B69"/>
    <w:rsid w:val="001E3B49"/>
    <w:rsid w:val="001E4A05"/>
    <w:rsid w:val="001E63D3"/>
    <w:rsid w:val="001E6A19"/>
    <w:rsid w:val="001E6FBC"/>
    <w:rsid w:val="001E7388"/>
    <w:rsid w:val="001E7DE1"/>
    <w:rsid w:val="001F1362"/>
    <w:rsid w:val="001F13DD"/>
    <w:rsid w:val="001F1BFF"/>
    <w:rsid w:val="001F2473"/>
    <w:rsid w:val="001F24EF"/>
    <w:rsid w:val="001F2A3F"/>
    <w:rsid w:val="001F2DBC"/>
    <w:rsid w:val="001F2EAA"/>
    <w:rsid w:val="001F3724"/>
    <w:rsid w:val="001F68CA"/>
    <w:rsid w:val="001F6B3A"/>
    <w:rsid w:val="001F73E8"/>
    <w:rsid w:val="0020262C"/>
    <w:rsid w:val="00202723"/>
    <w:rsid w:val="002029C5"/>
    <w:rsid w:val="00202AAA"/>
    <w:rsid w:val="00204D53"/>
    <w:rsid w:val="0020634B"/>
    <w:rsid w:val="00206428"/>
    <w:rsid w:val="00207423"/>
    <w:rsid w:val="002077FD"/>
    <w:rsid w:val="00207EFA"/>
    <w:rsid w:val="0021020E"/>
    <w:rsid w:val="00211607"/>
    <w:rsid w:val="0021164E"/>
    <w:rsid w:val="00211A3E"/>
    <w:rsid w:val="00211DAA"/>
    <w:rsid w:val="00211F81"/>
    <w:rsid w:val="002120E8"/>
    <w:rsid w:val="00212A82"/>
    <w:rsid w:val="00213F20"/>
    <w:rsid w:val="00214055"/>
    <w:rsid w:val="00214D92"/>
    <w:rsid w:val="00215BCA"/>
    <w:rsid w:val="00215F8F"/>
    <w:rsid w:val="002160F5"/>
    <w:rsid w:val="00216434"/>
    <w:rsid w:val="00217AC4"/>
    <w:rsid w:val="00221461"/>
    <w:rsid w:val="00222435"/>
    <w:rsid w:val="002235D0"/>
    <w:rsid w:val="00223C3A"/>
    <w:rsid w:val="00224401"/>
    <w:rsid w:val="00224537"/>
    <w:rsid w:val="002249C3"/>
    <w:rsid w:val="00225468"/>
    <w:rsid w:val="00225E95"/>
    <w:rsid w:val="002310E1"/>
    <w:rsid w:val="00231267"/>
    <w:rsid w:val="002326D6"/>
    <w:rsid w:val="0023297A"/>
    <w:rsid w:val="00233256"/>
    <w:rsid w:val="002332E6"/>
    <w:rsid w:val="0023379B"/>
    <w:rsid w:val="00234D7D"/>
    <w:rsid w:val="00235956"/>
    <w:rsid w:val="002374F5"/>
    <w:rsid w:val="0023772B"/>
    <w:rsid w:val="00240B39"/>
    <w:rsid w:val="00241C74"/>
    <w:rsid w:val="00243A7C"/>
    <w:rsid w:val="00243E5E"/>
    <w:rsid w:val="002444CD"/>
    <w:rsid w:val="002444EA"/>
    <w:rsid w:val="002452F8"/>
    <w:rsid w:val="0024677E"/>
    <w:rsid w:val="002467A6"/>
    <w:rsid w:val="00247C9A"/>
    <w:rsid w:val="0025160C"/>
    <w:rsid w:val="00251E5C"/>
    <w:rsid w:val="00251E72"/>
    <w:rsid w:val="00252052"/>
    <w:rsid w:val="00252D23"/>
    <w:rsid w:val="002535D0"/>
    <w:rsid w:val="002539B3"/>
    <w:rsid w:val="002546E6"/>
    <w:rsid w:val="00254774"/>
    <w:rsid w:val="00255855"/>
    <w:rsid w:val="00256336"/>
    <w:rsid w:val="00256E0E"/>
    <w:rsid w:val="00257C3E"/>
    <w:rsid w:val="00260232"/>
    <w:rsid w:val="002602C2"/>
    <w:rsid w:val="0026140E"/>
    <w:rsid w:val="00262D62"/>
    <w:rsid w:val="00265A5B"/>
    <w:rsid w:val="00266412"/>
    <w:rsid w:val="002666C9"/>
    <w:rsid w:val="00266C16"/>
    <w:rsid w:val="0027012D"/>
    <w:rsid w:val="00270136"/>
    <w:rsid w:val="00270FD7"/>
    <w:rsid w:val="0027139F"/>
    <w:rsid w:val="00271739"/>
    <w:rsid w:val="00272BB7"/>
    <w:rsid w:val="00272CEA"/>
    <w:rsid w:val="0027301F"/>
    <w:rsid w:val="0027325B"/>
    <w:rsid w:val="00273702"/>
    <w:rsid w:val="00273859"/>
    <w:rsid w:val="00274E9C"/>
    <w:rsid w:val="00274F5B"/>
    <w:rsid w:val="00275513"/>
    <w:rsid w:val="00276C7E"/>
    <w:rsid w:val="00277C41"/>
    <w:rsid w:val="00280418"/>
    <w:rsid w:val="00280578"/>
    <w:rsid w:val="00280836"/>
    <w:rsid w:val="00282E1A"/>
    <w:rsid w:val="002840F1"/>
    <w:rsid w:val="00284A68"/>
    <w:rsid w:val="00285922"/>
    <w:rsid w:val="00287898"/>
    <w:rsid w:val="00287A6C"/>
    <w:rsid w:val="0029019A"/>
    <w:rsid w:val="0029113B"/>
    <w:rsid w:val="00291AB0"/>
    <w:rsid w:val="00291E9D"/>
    <w:rsid w:val="00291F25"/>
    <w:rsid w:val="00292A13"/>
    <w:rsid w:val="0029327A"/>
    <w:rsid w:val="002934C0"/>
    <w:rsid w:val="00293709"/>
    <w:rsid w:val="00293915"/>
    <w:rsid w:val="00293E1F"/>
    <w:rsid w:val="0029419E"/>
    <w:rsid w:val="00294786"/>
    <w:rsid w:val="00295F64"/>
    <w:rsid w:val="00296FFF"/>
    <w:rsid w:val="0029764C"/>
    <w:rsid w:val="00297888"/>
    <w:rsid w:val="002A17F8"/>
    <w:rsid w:val="002A1B50"/>
    <w:rsid w:val="002A1E50"/>
    <w:rsid w:val="002A5FE8"/>
    <w:rsid w:val="002B0E91"/>
    <w:rsid w:val="002B132C"/>
    <w:rsid w:val="002B16B5"/>
    <w:rsid w:val="002B3E77"/>
    <w:rsid w:val="002B3F23"/>
    <w:rsid w:val="002B4094"/>
    <w:rsid w:val="002B4EB5"/>
    <w:rsid w:val="002B57F5"/>
    <w:rsid w:val="002B5AF5"/>
    <w:rsid w:val="002B6779"/>
    <w:rsid w:val="002B71C0"/>
    <w:rsid w:val="002B725D"/>
    <w:rsid w:val="002B7A34"/>
    <w:rsid w:val="002B7A9C"/>
    <w:rsid w:val="002C0999"/>
    <w:rsid w:val="002C0B7F"/>
    <w:rsid w:val="002C31AD"/>
    <w:rsid w:val="002C36FE"/>
    <w:rsid w:val="002C38AA"/>
    <w:rsid w:val="002C47F3"/>
    <w:rsid w:val="002C5331"/>
    <w:rsid w:val="002C5EB3"/>
    <w:rsid w:val="002C69C1"/>
    <w:rsid w:val="002C70C9"/>
    <w:rsid w:val="002C7385"/>
    <w:rsid w:val="002D095B"/>
    <w:rsid w:val="002D0E62"/>
    <w:rsid w:val="002D1C0F"/>
    <w:rsid w:val="002D23C1"/>
    <w:rsid w:val="002D2516"/>
    <w:rsid w:val="002D29DF"/>
    <w:rsid w:val="002D2DBB"/>
    <w:rsid w:val="002D37D8"/>
    <w:rsid w:val="002D3C4E"/>
    <w:rsid w:val="002D4086"/>
    <w:rsid w:val="002D4279"/>
    <w:rsid w:val="002D445C"/>
    <w:rsid w:val="002D4A94"/>
    <w:rsid w:val="002D4F5A"/>
    <w:rsid w:val="002D54A6"/>
    <w:rsid w:val="002D7A82"/>
    <w:rsid w:val="002D7EA2"/>
    <w:rsid w:val="002E02B2"/>
    <w:rsid w:val="002E0769"/>
    <w:rsid w:val="002E0984"/>
    <w:rsid w:val="002E0A0F"/>
    <w:rsid w:val="002E11D8"/>
    <w:rsid w:val="002E16CE"/>
    <w:rsid w:val="002E2C43"/>
    <w:rsid w:val="002E3521"/>
    <w:rsid w:val="002E365B"/>
    <w:rsid w:val="002E3779"/>
    <w:rsid w:val="002E478A"/>
    <w:rsid w:val="002E5864"/>
    <w:rsid w:val="002E5B62"/>
    <w:rsid w:val="002E5BF9"/>
    <w:rsid w:val="002E6100"/>
    <w:rsid w:val="002E6148"/>
    <w:rsid w:val="002E6A7A"/>
    <w:rsid w:val="002F0ED9"/>
    <w:rsid w:val="002F12F7"/>
    <w:rsid w:val="002F1E49"/>
    <w:rsid w:val="002F2019"/>
    <w:rsid w:val="002F205E"/>
    <w:rsid w:val="002F32D6"/>
    <w:rsid w:val="002F44A1"/>
    <w:rsid w:val="002F4E9C"/>
    <w:rsid w:val="002F6CF9"/>
    <w:rsid w:val="002F6E15"/>
    <w:rsid w:val="002F796B"/>
    <w:rsid w:val="002F7FC3"/>
    <w:rsid w:val="00300E25"/>
    <w:rsid w:val="00301953"/>
    <w:rsid w:val="003023ED"/>
    <w:rsid w:val="00302F4E"/>
    <w:rsid w:val="0030364A"/>
    <w:rsid w:val="00305DFF"/>
    <w:rsid w:val="00305E32"/>
    <w:rsid w:val="003063BB"/>
    <w:rsid w:val="00306736"/>
    <w:rsid w:val="0030767E"/>
    <w:rsid w:val="003078B7"/>
    <w:rsid w:val="0031256C"/>
    <w:rsid w:val="003136C6"/>
    <w:rsid w:val="00313856"/>
    <w:rsid w:val="00314973"/>
    <w:rsid w:val="00314D6C"/>
    <w:rsid w:val="00314DA9"/>
    <w:rsid w:val="00315113"/>
    <w:rsid w:val="00315A3A"/>
    <w:rsid w:val="00316D2A"/>
    <w:rsid w:val="00317379"/>
    <w:rsid w:val="00317C41"/>
    <w:rsid w:val="00320F40"/>
    <w:rsid w:val="0032183C"/>
    <w:rsid w:val="00322A7C"/>
    <w:rsid w:val="00322EEC"/>
    <w:rsid w:val="00323061"/>
    <w:rsid w:val="003256E0"/>
    <w:rsid w:val="003261BC"/>
    <w:rsid w:val="00327EB7"/>
    <w:rsid w:val="0033036A"/>
    <w:rsid w:val="00331459"/>
    <w:rsid w:val="00332A9A"/>
    <w:rsid w:val="00332B81"/>
    <w:rsid w:val="00332E98"/>
    <w:rsid w:val="00333611"/>
    <w:rsid w:val="0033408C"/>
    <w:rsid w:val="0033424F"/>
    <w:rsid w:val="00334B15"/>
    <w:rsid w:val="003366A3"/>
    <w:rsid w:val="00337B77"/>
    <w:rsid w:val="00337D05"/>
    <w:rsid w:val="003402D3"/>
    <w:rsid w:val="0034068E"/>
    <w:rsid w:val="00342C6A"/>
    <w:rsid w:val="00343192"/>
    <w:rsid w:val="00343569"/>
    <w:rsid w:val="00343ABC"/>
    <w:rsid w:val="00343C88"/>
    <w:rsid w:val="00345C5E"/>
    <w:rsid w:val="00345E86"/>
    <w:rsid w:val="003463FE"/>
    <w:rsid w:val="003472FC"/>
    <w:rsid w:val="00347830"/>
    <w:rsid w:val="00347D41"/>
    <w:rsid w:val="003518EF"/>
    <w:rsid w:val="00352360"/>
    <w:rsid w:val="00353CAE"/>
    <w:rsid w:val="0035461C"/>
    <w:rsid w:val="003554B3"/>
    <w:rsid w:val="00355551"/>
    <w:rsid w:val="00356218"/>
    <w:rsid w:val="00356292"/>
    <w:rsid w:val="00356632"/>
    <w:rsid w:val="0035740D"/>
    <w:rsid w:val="00357C7E"/>
    <w:rsid w:val="0036188B"/>
    <w:rsid w:val="003628E2"/>
    <w:rsid w:val="00362DB0"/>
    <w:rsid w:val="003637EA"/>
    <w:rsid w:val="003653B6"/>
    <w:rsid w:val="003654BE"/>
    <w:rsid w:val="0036556C"/>
    <w:rsid w:val="00365875"/>
    <w:rsid w:val="0036604E"/>
    <w:rsid w:val="0036673F"/>
    <w:rsid w:val="0036677F"/>
    <w:rsid w:val="003701E2"/>
    <w:rsid w:val="00370327"/>
    <w:rsid w:val="00371F01"/>
    <w:rsid w:val="003735F5"/>
    <w:rsid w:val="00374CC4"/>
    <w:rsid w:val="00376162"/>
    <w:rsid w:val="003761AC"/>
    <w:rsid w:val="003766D9"/>
    <w:rsid w:val="00376FA0"/>
    <w:rsid w:val="003774B2"/>
    <w:rsid w:val="00380362"/>
    <w:rsid w:val="003808B2"/>
    <w:rsid w:val="00380F2D"/>
    <w:rsid w:val="003831B8"/>
    <w:rsid w:val="003845A9"/>
    <w:rsid w:val="003850C9"/>
    <w:rsid w:val="00386BFD"/>
    <w:rsid w:val="00386DDF"/>
    <w:rsid w:val="00386F1B"/>
    <w:rsid w:val="00390883"/>
    <w:rsid w:val="003922F8"/>
    <w:rsid w:val="00392C21"/>
    <w:rsid w:val="00394A46"/>
    <w:rsid w:val="0039560C"/>
    <w:rsid w:val="00395B24"/>
    <w:rsid w:val="00395BF7"/>
    <w:rsid w:val="003A0860"/>
    <w:rsid w:val="003A2A71"/>
    <w:rsid w:val="003A2D38"/>
    <w:rsid w:val="003A3F28"/>
    <w:rsid w:val="003A4353"/>
    <w:rsid w:val="003A6565"/>
    <w:rsid w:val="003A76CF"/>
    <w:rsid w:val="003A7ECC"/>
    <w:rsid w:val="003B0A00"/>
    <w:rsid w:val="003B1AA1"/>
    <w:rsid w:val="003B1DB4"/>
    <w:rsid w:val="003B2C72"/>
    <w:rsid w:val="003B35D9"/>
    <w:rsid w:val="003B3AB6"/>
    <w:rsid w:val="003B41D9"/>
    <w:rsid w:val="003B4CCA"/>
    <w:rsid w:val="003B58B4"/>
    <w:rsid w:val="003C1333"/>
    <w:rsid w:val="003C20FF"/>
    <w:rsid w:val="003C3468"/>
    <w:rsid w:val="003C3A94"/>
    <w:rsid w:val="003C457A"/>
    <w:rsid w:val="003C4B10"/>
    <w:rsid w:val="003C4BFC"/>
    <w:rsid w:val="003C4F4A"/>
    <w:rsid w:val="003C5334"/>
    <w:rsid w:val="003C550A"/>
    <w:rsid w:val="003C5770"/>
    <w:rsid w:val="003C5D16"/>
    <w:rsid w:val="003C6055"/>
    <w:rsid w:val="003C7E75"/>
    <w:rsid w:val="003D033E"/>
    <w:rsid w:val="003D0574"/>
    <w:rsid w:val="003D1898"/>
    <w:rsid w:val="003D18C1"/>
    <w:rsid w:val="003D2650"/>
    <w:rsid w:val="003D31B3"/>
    <w:rsid w:val="003D3575"/>
    <w:rsid w:val="003D3E49"/>
    <w:rsid w:val="003D5043"/>
    <w:rsid w:val="003D560C"/>
    <w:rsid w:val="003D5C00"/>
    <w:rsid w:val="003D642D"/>
    <w:rsid w:val="003D6764"/>
    <w:rsid w:val="003D78DA"/>
    <w:rsid w:val="003E0B43"/>
    <w:rsid w:val="003E3154"/>
    <w:rsid w:val="003E40AC"/>
    <w:rsid w:val="003E42A7"/>
    <w:rsid w:val="003E5874"/>
    <w:rsid w:val="003E72D3"/>
    <w:rsid w:val="003F0AA2"/>
    <w:rsid w:val="003F193E"/>
    <w:rsid w:val="003F1A75"/>
    <w:rsid w:val="003F242C"/>
    <w:rsid w:val="003F295C"/>
    <w:rsid w:val="003F34F1"/>
    <w:rsid w:val="003F3AE8"/>
    <w:rsid w:val="003F4096"/>
    <w:rsid w:val="003F61AC"/>
    <w:rsid w:val="003F62BC"/>
    <w:rsid w:val="003F6453"/>
    <w:rsid w:val="00402DE5"/>
    <w:rsid w:val="004031D8"/>
    <w:rsid w:val="00404000"/>
    <w:rsid w:val="00404219"/>
    <w:rsid w:val="0040482E"/>
    <w:rsid w:val="004060AD"/>
    <w:rsid w:val="00406B9F"/>
    <w:rsid w:val="004104B6"/>
    <w:rsid w:val="00411AE8"/>
    <w:rsid w:val="004138B9"/>
    <w:rsid w:val="00413B74"/>
    <w:rsid w:val="0041425C"/>
    <w:rsid w:val="0041483E"/>
    <w:rsid w:val="004155C2"/>
    <w:rsid w:val="00416980"/>
    <w:rsid w:val="00420D92"/>
    <w:rsid w:val="004218BD"/>
    <w:rsid w:val="00423412"/>
    <w:rsid w:val="00425C92"/>
    <w:rsid w:val="00430FB2"/>
    <w:rsid w:val="004311D5"/>
    <w:rsid w:val="00431CC4"/>
    <w:rsid w:val="00432554"/>
    <w:rsid w:val="00433FD2"/>
    <w:rsid w:val="004342F3"/>
    <w:rsid w:val="00434965"/>
    <w:rsid w:val="00435C5F"/>
    <w:rsid w:val="004360A7"/>
    <w:rsid w:val="00436155"/>
    <w:rsid w:val="004361C5"/>
    <w:rsid w:val="00436460"/>
    <w:rsid w:val="00440781"/>
    <w:rsid w:val="00440E16"/>
    <w:rsid w:val="00441E98"/>
    <w:rsid w:val="00443CBF"/>
    <w:rsid w:val="0044452E"/>
    <w:rsid w:val="004449D4"/>
    <w:rsid w:val="004464D1"/>
    <w:rsid w:val="00447EB7"/>
    <w:rsid w:val="0045008D"/>
    <w:rsid w:val="00450219"/>
    <w:rsid w:val="0045038B"/>
    <w:rsid w:val="00450F3A"/>
    <w:rsid w:val="00451442"/>
    <w:rsid w:val="0045149A"/>
    <w:rsid w:val="00451624"/>
    <w:rsid w:val="004527E2"/>
    <w:rsid w:val="004532F7"/>
    <w:rsid w:val="0045627D"/>
    <w:rsid w:val="004576F9"/>
    <w:rsid w:val="00457DCC"/>
    <w:rsid w:val="00461719"/>
    <w:rsid w:val="00462F8C"/>
    <w:rsid w:val="00463F95"/>
    <w:rsid w:val="00464D51"/>
    <w:rsid w:val="00464FD2"/>
    <w:rsid w:val="00465A0B"/>
    <w:rsid w:val="00465F62"/>
    <w:rsid w:val="0047080E"/>
    <w:rsid w:val="00472027"/>
    <w:rsid w:val="00473E1F"/>
    <w:rsid w:val="00475430"/>
    <w:rsid w:val="00475D3F"/>
    <w:rsid w:val="00477D97"/>
    <w:rsid w:val="004804CF"/>
    <w:rsid w:val="004824B7"/>
    <w:rsid w:val="00483314"/>
    <w:rsid w:val="00484962"/>
    <w:rsid w:val="00484AB9"/>
    <w:rsid w:val="00484E17"/>
    <w:rsid w:val="00484F6D"/>
    <w:rsid w:val="00484FB7"/>
    <w:rsid w:val="0048554D"/>
    <w:rsid w:val="0048610F"/>
    <w:rsid w:val="00487937"/>
    <w:rsid w:val="00487E03"/>
    <w:rsid w:val="004910DC"/>
    <w:rsid w:val="004920DE"/>
    <w:rsid w:val="004929EF"/>
    <w:rsid w:val="00493137"/>
    <w:rsid w:val="0049338A"/>
    <w:rsid w:val="004933BF"/>
    <w:rsid w:val="00493E20"/>
    <w:rsid w:val="0049417F"/>
    <w:rsid w:val="00494A37"/>
    <w:rsid w:val="004952E6"/>
    <w:rsid w:val="00496D41"/>
    <w:rsid w:val="00497EF3"/>
    <w:rsid w:val="004A4A22"/>
    <w:rsid w:val="004A4FD9"/>
    <w:rsid w:val="004A6602"/>
    <w:rsid w:val="004A7168"/>
    <w:rsid w:val="004A78A3"/>
    <w:rsid w:val="004B0333"/>
    <w:rsid w:val="004B05A7"/>
    <w:rsid w:val="004B1468"/>
    <w:rsid w:val="004B23F4"/>
    <w:rsid w:val="004B33B5"/>
    <w:rsid w:val="004B3B49"/>
    <w:rsid w:val="004B3EFA"/>
    <w:rsid w:val="004B69AB"/>
    <w:rsid w:val="004B75D6"/>
    <w:rsid w:val="004C06A4"/>
    <w:rsid w:val="004C1ABE"/>
    <w:rsid w:val="004C2269"/>
    <w:rsid w:val="004C2884"/>
    <w:rsid w:val="004C2901"/>
    <w:rsid w:val="004C2A87"/>
    <w:rsid w:val="004C3A70"/>
    <w:rsid w:val="004C4D7B"/>
    <w:rsid w:val="004C4ED3"/>
    <w:rsid w:val="004C57DA"/>
    <w:rsid w:val="004C5A62"/>
    <w:rsid w:val="004C660F"/>
    <w:rsid w:val="004C667B"/>
    <w:rsid w:val="004C77FE"/>
    <w:rsid w:val="004C7ECD"/>
    <w:rsid w:val="004D2EA5"/>
    <w:rsid w:val="004D32A6"/>
    <w:rsid w:val="004D412F"/>
    <w:rsid w:val="004D4214"/>
    <w:rsid w:val="004D4B7B"/>
    <w:rsid w:val="004D53E5"/>
    <w:rsid w:val="004D5E98"/>
    <w:rsid w:val="004D77A0"/>
    <w:rsid w:val="004D7950"/>
    <w:rsid w:val="004E1237"/>
    <w:rsid w:val="004E1517"/>
    <w:rsid w:val="004E15F7"/>
    <w:rsid w:val="004E196E"/>
    <w:rsid w:val="004E24EA"/>
    <w:rsid w:val="004E4191"/>
    <w:rsid w:val="004E4C37"/>
    <w:rsid w:val="004E57AB"/>
    <w:rsid w:val="004E65B7"/>
    <w:rsid w:val="004E6DC4"/>
    <w:rsid w:val="004E6E84"/>
    <w:rsid w:val="004E7026"/>
    <w:rsid w:val="004E772A"/>
    <w:rsid w:val="004F124D"/>
    <w:rsid w:val="004F1261"/>
    <w:rsid w:val="004F21C1"/>
    <w:rsid w:val="004F2581"/>
    <w:rsid w:val="004F28A0"/>
    <w:rsid w:val="004F36F4"/>
    <w:rsid w:val="004F49CB"/>
    <w:rsid w:val="004F528E"/>
    <w:rsid w:val="004F5670"/>
    <w:rsid w:val="004F608D"/>
    <w:rsid w:val="004F632A"/>
    <w:rsid w:val="004F6739"/>
    <w:rsid w:val="004F6D0F"/>
    <w:rsid w:val="004F78F0"/>
    <w:rsid w:val="005018CB"/>
    <w:rsid w:val="00501A12"/>
    <w:rsid w:val="005027C8"/>
    <w:rsid w:val="0050309C"/>
    <w:rsid w:val="00503560"/>
    <w:rsid w:val="00503CF7"/>
    <w:rsid w:val="00503EBF"/>
    <w:rsid w:val="00504945"/>
    <w:rsid w:val="00506552"/>
    <w:rsid w:val="005120D6"/>
    <w:rsid w:val="00512601"/>
    <w:rsid w:val="00512AC5"/>
    <w:rsid w:val="0051327C"/>
    <w:rsid w:val="0051346D"/>
    <w:rsid w:val="00513EAE"/>
    <w:rsid w:val="0051434F"/>
    <w:rsid w:val="005148BF"/>
    <w:rsid w:val="00514C77"/>
    <w:rsid w:val="0051552C"/>
    <w:rsid w:val="00515548"/>
    <w:rsid w:val="00515753"/>
    <w:rsid w:val="00515F72"/>
    <w:rsid w:val="00516806"/>
    <w:rsid w:val="005172F2"/>
    <w:rsid w:val="00520707"/>
    <w:rsid w:val="0052098C"/>
    <w:rsid w:val="00520E8B"/>
    <w:rsid w:val="005211E9"/>
    <w:rsid w:val="00525805"/>
    <w:rsid w:val="00525A49"/>
    <w:rsid w:val="005262D1"/>
    <w:rsid w:val="00526C5A"/>
    <w:rsid w:val="00526F19"/>
    <w:rsid w:val="0052769B"/>
    <w:rsid w:val="00530876"/>
    <w:rsid w:val="00532A6B"/>
    <w:rsid w:val="005335CA"/>
    <w:rsid w:val="00533EC2"/>
    <w:rsid w:val="00533FE1"/>
    <w:rsid w:val="00535311"/>
    <w:rsid w:val="00535613"/>
    <w:rsid w:val="005358C4"/>
    <w:rsid w:val="005359EB"/>
    <w:rsid w:val="00535E3A"/>
    <w:rsid w:val="0054011C"/>
    <w:rsid w:val="00540623"/>
    <w:rsid w:val="00540694"/>
    <w:rsid w:val="0054254A"/>
    <w:rsid w:val="00542855"/>
    <w:rsid w:val="00542BAB"/>
    <w:rsid w:val="00544E0A"/>
    <w:rsid w:val="0054500B"/>
    <w:rsid w:val="005466B5"/>
    <w:rsid w:val="00546ACF"/>
    <w:rsid w:val="00546DC3"/>
    <w:rsid w:val="00547007"/>
    <w:rsid w:val="005477B8"/>
    <w:rsid w:val="00551380"/>
    <w:rsid w:val="00552FAC"/>
    <w:rsid w:val="00553CB9"/>
    <w:rsid w:val="005541C7"/>
    <w:rsid w:val="00554314"/>
    <w:rsid w:val="00555F0F"/>
    <w:rsid w:val="00556492"/>
    <w:rsid w:val="00556B16"/>
    <w:rsid w:val="005604EA"/>
    <w:rsid w:val="00562829"/>
    <w:rsid w:val="0056290D"/>
    <w:rsid w:val="005629B3"/>
    <w:rsid w:val="00563022"/>
    <w:rsid w:val="00563207"/>
    <w:rsid w:val="00563896"/>
    <w:rsid w:val="00565545"/>
    <w:rsid w:val="00566A83"/>
    <w:rsid w:val="00566CCD"/>
    <w:rsid w:val="00567C59"/>
    <w:rsid w:val="0057017D"/>
    <w:rsid w:val="0057128A"/>
    <w:rsid w:val="005721F9"/>
    <w:rsid w:val="005724EF"/>
    <w:rsid w:val="005724F6"/>
    <w:rsid w:val="00573AC4"/>
    <w:rsid w:val="00575D7B"/>
    <w:rsid w:val="005762D9"/>
    <w:rsid w:val="00576320"/>
    <w:rsid w:val="005776BD"/>
    <w:rsid w:val="00577B39"/>
    <w:rsid w:val="005801FC"/>
    <w:rsid w:val="00580BFB"/>
    <w:rsid w:val="00580E38"/>
    <w:rsid w:val="00583783"/>
    <w:rsid w:val="005859E3"/>
    <w:rsid w:val="00585BA9"/>
    <w:rsid w:val="00587359"/>
    <w:rsid w:val="00591168"/>
    <w:rsid w:val="00592AD6"/>
    <w:rsid w:val="00595016"/>
    <w:rsid w:val="005956A6"/>
    <w:rsid w:val="005966F6"/>
    <w:rsid w:val="00596CB6"/>
    <w:rsid w:val="00597245"/>
    <w:rsid w:val="00597AAE"/>
    <w:rsid w:val="005A0454"/>
    <w:rsid w:val="005A06AE"/>
    <w:rsid w:val="005A0A82"/>
    <w:rsid w:val="005A222C"/>
    <w:rsid w:val="005A227C"/>
    <w:rsid w:val="005A2420"/>
    <w:rsid w:val="005A2A18"/>
    <w:rsid w:val="005A4DF8"/>
    <w:rsid w:val="005A69A6"/>
    <w:rsid w:val="005A78C8"/>
    <w:rsid w:val="005B100E"/>
    <w:rsid w:val="005B1426"/>
    <w:rsid w:val="005B268D"/>
    <w:rsid w:val="005B283E"/>
    <w:rsid w:val="005B3C4B"/>
    <w:rsid w:val="005B46E9"/>
    <w:rsid w:val="005B5795"/>
    <w:rsid w:val="005B6D7D"/>
    <w:rsid w:val="005C0593"/>
    <w:rsid w:val="005C0A8E"/>
    <w:rsid w:val="005C1767"/>
    <w:rsid w:val="005C185C"/>
    <w:rsid w:val="005C3779"/>
    <w:rsid w:val="005C3A0E"/>
    <w:rsid w:val="005C3E13"/>
    <w:rsid w:val="005C42AE"/>
    <w:rsid w:val="005C42EF"/>
    <w:rsid w:val="005C5B56"/>
    <w:rsid w:val="005C5D80"/>
    <w:rsid w:val="005C7312"/>
    <w:rsid w:val="005D01BD"/>
    <w:rsid w:val="005D1E1D"/>
    <w:rsid w:val="005D2418"/>
    <w:rsid w:val="005D379E"/>
    <w:rsid w:val="005D56B6"/>
    <w:rsid w:val="005D6871"/>
    <w:rsid w:val="005D7D4E"/>
    <w:rsid w:val="005E02F5"/>
    <w:rsid w:val="005E0510"/>
    <w:rsid w:val="005E1274"/>
    <w:rsid w:val="005E176E"/>
    <w:rsid w:val="005E218E"/>
    <w:rsid w:val="005E35A0"/>
    <w:rsid w:val="005E3EF8"/>
    <w:rsid w:val="005E6342"/>
    <w:rsid w:val="005F0D1B"/>
    <w:rsid w:val="005F1865"/>
    <w:rsid w:val="005F19C6"/>
    <w:rsid w:val="005F319B"/>
    <w:rsid w:val="005F4F67"/>
    <w:rsid w:val="005F51C1"/>
    <w:rsid w:val="005F558B"/>
    <w:rsid w:val="006007BD"/>
    <w:rsid w:val="00600D06"/>
    <w:rsid w:val="006013C8"/>
    <w:rsid w:val="00601438"/>
    <w:rsid w:val="00601A11"/>
    <w:rsid w:val="0060270D"/>
    <w:rsid w:val="006042F3"/>
    <w:rsid w:val="00604342"/>
    <w:rsid w:val="00604611"/>
    <w:rsid w:val="00606FF3"/>
    <w:rsid w:val="0060757F"/>
    <w:rsid w:val="00607BE6"/>
    <w:rsid w:val="006101AB"/>
    <w:rsid w:val="00611586"/>
    <w:rsid w:val="006115E8"/>
    <w:rsid w:val="00612D26"/>
    <w:rsid w:val="00612DEE"/>
    <w:rsid w:val="0061312C"/>
    <w:rsid w:val="00613282"/>
    <w:rsid w:val="006139B0"/>
    <w:rsid w:val="00613E46"/>
    <w:rsid w:val="00615498"/>
    <w:rsid w:val="00615855"/>
    <w:rsid w:val="00615AF0"/>
    <w:rsid w:val="00615C25"/>
    <w:rsid w:val="00617495"/>
    <w:rsid w:val="00617CC3"/>
    <w:rsid w:val="00620DA8"/>
    <w:rsid w:val="00621887"/>
    <w:rsid w:val="006226B8"/>
    <w:rsid w:val="00622F00"/>
    <w:rsid w:val="00623434"/>
    <w:rsid w:val="00623E86"/>
    <w:rsid w:val="00624520"/>
    <w:rsid w:val="006254FE"/>
    <w:rsid w:val="006259E8"/>
    <w:rsid w:val="0062679A"/>
    <w:rsid w:val="00626B99"/>
    <w:rsid w:val="006271F5"/>
    <w:rsid w:val="00631F0A"/>
    <w:rsid w:val="00632300"/>
    <w:rsid w:val="00632B97"/>
    <w:rsid w:val="00632BB7"/>
    <w:rsid w:val="00634816"/>
    <w:rsid w:val="00635B36"/>
    <w:rsid w:val="00636871"/>
    <w:rsid w:val="00640A6F"/>
    <w:rsid w:val="00640EE1"/>
    <w:rsid w:val="00640F4E"/>
    <w:rsid w:val="00641824"/>
    <w:rsid w:val="00641BA9"/>
    <w:rsid w:val="0064206D"/>
    <w:rsid w:val="0064224A"/>
    <w:rsid w:val="00642250"/>
    <w:rsid w:val="00642F6E"/>
    <w:rsid w:val="00643DE0"/>
    <w:rsid w:val="0064437D"/>
    <w:rsid w:val="00644E85"/>
    <w:rsid w:val="006466C9"/>
    <w:rsid w:val="006477A4"/>
    <w:rsid w:val="00647B11"/>
    <w:rsid w:val="0065146D"/>
    <w:rsid w:val="006516D8"/>
    <w:rsid w:val="006519EF"/>
    <w:rsid w:val="00652C52"/>
    <w:rsid w:val="00652E24"/>
    <w:rsid w:val="00653401"/>
    <w:rsid w:val="00655512"/>
    <w:rsid w:val="006568E4"/>
    <w:rsid w:val="006574F0"/>
    <w:rsid w:val="006604D3"/>
    <w:rsid w:val="0066063F"/>
    <w:rsid w:val="00660C7A"/>
    <w:rsid w:val="00660F49"/>
    <w:rsid w:val="00662982"/>
    <w:rsid w:val="00662BB0"/>
    <w:rsid w:val="00662DF3"/>
    <w:rsid w:val="00663878"/>
    <w:rsid w:val="0066431D"/>
    <w:rsid w:val="00665D6F"/>
    <w:rsid w:val="00667773"/>
    <w:rsid w:val="00667AFC"/>
    <w:rsid w:val="00667DF3"/>
    <w:rsid w:val="00670727"/>
    <w:rsid w:val="00670743"/>
    <w:rsid w:val="006709B5"/>
    <w:rsid w:val="0067130E"/>
    <w:rsid w:val="00671C7C"/>
    <w:rsid w:val="00672525"/>
    <w:rsid w:val="0067328A"/>
    <w:rsid w:val="006732BD"/>
    <w:rsid w:val="0067336B"/>
    <w:rsid w:val="00673E61"/>
    <w:rsid w:val="006740AF"/>
    <w:rsid w:val="00676611"/>
    <w:rsid w:val="00677C6F"/>
    <w:rsid w:val="00677E3E"/>
    <w:rsid w:val="00680A85"/>
    <w:rsid w:val="00681ADF"/>
    <w:rsid w:val="00682EE2"/>
    <w:rsid w:val="006847E8"/>
    <w:rsid w:val="00684E32"/>
    <w:rsid w:val="00685433"/>
    <w:rsid w:val="006862BD"/>
    <w:rsid w:val="00686E81"/>
    <w:rsid w:val="006904E1"/>
    <w:rsid w:val="00690EE2"/>
    <w:rsid w:val="00691B5C"/>
    <w:rsid w:val="00693022"/>
    <w:rsid w:val="00693854"/>
    <w:rsid w:val="00693F10"/>
    <w:rsid w:val="00694BEB"/>
    <w:rsid w:val="00694CBD"/>
    <w:rsid w:val="00695821"/>
    <w:rsid w:val="00695F3B"/>
    <w:rsid w:val="006970E4"/>
    <w:rsid w:val="006A0E20"/>
    <w:rsid w:val="006A2248"/>
    <w:rsid w:val="006A24E3"/>
    <w:rsid w:val="006A3EA3"/>
    <w:rsid w:val="006A3F50"/>
    <w:rsid w:val="006A3FBE"/>
    <w:rsid w:val="006A5695"/>
    <w:rsid w:val="006A5B9B"/>
    <w:rsid w:val="006B0439"/>
    <w:rsid w:val="006B3904"/>
    <w:rsid w:val="006B5B7D"/>
    <w:rsid w:val="006B5E1C"/>
    <w:rsid w:val="006B60F0"/>
    <w:rsid w:val="006C1D05"/>
    <w:rsid w:val="006C21E3"/>
    <w:rsid w:val="006C2701"/>
    <w:rsid w:val="006C2B17"/>
    <w:rsid w:val="006C371A"/>
    <w:rsid w:val="006C439D"/>
    <w:rsid w:val="006C5B46"/>
    <w:rsid w:val="006C6171"/>
    <w:rsid w:val="006C6E39"/>
    <w:rsid w:val="006D0ECF"/>
    <w:rsid w:val="006D1754"/>
    <w:rsid w:val="006D185C"/>
    <w:rsid w:val="006D1D71"/>
    <w:rsid w:val="006D2240"/>
    <w:rsid w:val="006D2C9D"/>
    <w:rsid w:val="006D3D5B"/>
    <w:rsid w:val="006D3DFB"/>
    <w:rsid w:val="006D3F99"/>
    <w:rsid w:val="006D45D5"/>
    <w:rsid w:val="006D48F0"/>
    <w:rsid w:val="006D4A17"/>
    <w:rsid w:val="006D4C92"/>
    <w:rsid w:val="006D4EB6"/>
    <w:rsid w:val="006D58FE"/>
    <w:rsid w:val="006D5E09"/>
    <w:rsid w:val="006D6D2F"/>
    <w:rsid w:val="006D6E07"/>
    <w:rsid w:val="006D73D2"/>
    <w:rsid w:val="006D7FBC"/>
    <w:rsid w:val="006E0225"/>
    <w:rsid w:val="006E0391"/>
    <w:rsid w:val="006E199D"/>
    <w:rsid w:val="006E3409"/>
    <w:rsid w:val="006E35BF"/>
    <w:rsid w:val="006E46AF"/>
    <w:rsid w:val="006E46FC"/>
    <w:rsid w:val="006E4B9B"/>
    <w:rsid w:val="006E56AC"/>
    <w:rsid w:val="006E6597"/>
    <w:rsid w:val="006E7850"/>
    <w:rsid w:val="006F19D8"/>
    <w:rsid w:val="006F2CC3"/>
    <w:rsid w:val="006F38BC"/>
    <w:rsid w:val="006F46D6"/>
    <w:rsid w:val="006F4BBB"/>
    <w:rsid w:val="006F5E03"/>
    <w:rsid w:val="006F7FD0"/>
    <w:rsid w:val="0070116A"/>
    <w:rsid w:val="00702502"/>
    <w:rsid w:val="007028D9"/>
    <w:rsid w:val="00703B0C"/>
    <w:rsid w:val="00703BD8"/>
    <w:rsid w:val="00704C6D"/>
    <w:rsid w:val="00705328"/>
    <w:rsid w:val="0070535E"/>
    <w:rsid w:val="00707218"/>
    <w:rsid w:val="00710D04"/>
    <w:rsid w:val="00712656"/>
    <w:rsid w:val="00712B1D"/>
    <w:rsid w:val="00714B65"/>
    <w:rsid w:val="00715751"/>
    <w:rsid w:val="007164D8"/>
    <w:rsid w:val="0071668F"/>
    <w:rsid w:val="00716B6F"/>
    <w:rsid w:val="007171BA"/>
    <w:rsid w:val="00717616"/>
    <w:rsid w:val="00717DAC"/>
    <w:rsid w:val="00720656"/>
    <w:rsid w:val="007207C6"/>
    <w:rsid w:val="00720A85"/>
    <w:rsid w:val="00720D79"/>
    <w:rsid w:val="00721B68"/>
    <w:rsid w:val="00724F2B"/>
    <w:rsid w:val="00725ECA"/>
    <w:rsid w:val="00726B37"/>
    <w:rsid w:val="00726F53"/>
    <w:rsid w:val="007277C1"/>
    <w:rsid w:val="007278BF"/>
    <w:rsid w:val="00730AA4"/>
    <w:rsid w:val="00730B38"/>
    <w:rsid w:val="00731010"/>
    <w:rsid w:val="0073111F"/>
    <w:rsid w:val="007325D9"/>
    <w:rsid w:val="00732729"/>
    <w:rsid w:val="0073272B"/>
    <w:rsid w:val="00733055"/>
    <w:rsid w:val="00734138"/>
    <w:rsid w:val="0073413F"/>
    <w:rsid w:val="007341B5"/>
    <w:rsid w:val="007346B3"/>
    <w:rsid w:val="0073583B"/>
    <w:rsid w:val="007360CA"/>
    <w:rsid w:val="00737EB6"/>
    <w:rsid w:val="00740B42"/>
    <w:rsid w:val="0074120E"/>
    <w:rsid w:val="00741625"/>
    <w:rsid w:val="0074207B"/>
    <w:rsid w:val="0074280A"/>
    <w:rsid w:val="00742930"/>
    <w:rsid w:val="00743836"/>
    <w:rsid w:val="00744488"/>
    <w:rsid w:val="00744C05"/>
    <w:rsid w:val="00745167"/>
    <w:rsid w:val="00745CA1"/>
    <w:rsid w:val="0074667B"/>
    <w:rsid w:val="00746D35"/>
    <w:rsid w:val="007470BD"/>
    <w:rsid w:val="00747C90"/>
    <w:rsid w:val="0075090A"/>
    <w:rsid w:val="00751EC6"/>
    <w:rsid w:val="00754407"/>
    <w:rsid w:val="007546AE"/>
    <w:rsid w:val="007566EC"/>
    <w:rsid w:val="00757927"/>
    <w:rsid w:val="00760EC0"/>
    <w:rsid w:val="00762CD6"/>
    <w:rsid w:val="007632F2"/>
    <w:rsid w:val="007635DE"/>
    <w:rsid w:val="00764566"/>
    <w:rsid w:val="00764E8E"/>
    <w:rsid w:val="00765642"/>
    <w:rsid w:val="00765B0B"/>
    <w:rsid w:val="0077045D"/>
    <w:rsid w:val="007711BD"/>
    <w:rsid w:val="007712F5"/>
    <w:rsid w:val="007721A4"/>
    <w:rsid w:val="00773203"/>
    <w:rsid w:val="00774F7B"/>
    <w:rsid w:val="00776831"/>
    <w:rsid w:val="0078003A"/>
    <w:rsid w:val="007800DF"/>
    <w:rsid w:val="00780771"/>
    <w:rsid w:val="00780B1E"/>
    <w:rsid w:val="00786293"/>
    <w:rsid w:val="007865F5"/>
    <w:rsid w:val="007871FD"/>
    <w:rsid w:val="00787BDE"/>
    <w:rsid w:val="00791FBE"/>
    <w:rsid w:val="0079275F"/>
    <w:rsid w:val="0079277B"/>
    <w:rsid w:val="007929CF"/>
    <w:rsid w:val="007939FF"/>
    <w:rsid w:val="00794FE1"/>
    <w:rsid w:val="00795788"/>
    <w:rsid w:val="00797BA8"/>
    <w:rsid w:val="00797FEF"/>
    <w:rsid w:val="007A081D"/>
    <w:rsid w:val="007A36DB"/>
    <w:rsid w:val="007A3DB2"/>
    <w:rsid w:val="007A46F9"/>
    <w:rsid w:val="007A49E7"/>
    <w:rsid w:val="007A58B7"/>
    <w:rsid w:val="007A5BDF"/>
    <w:rsid w:val="007A5C42"/>
    <w:rsid w:val="007A6C3B"/>
    <w:rsid w:val="007A6F28"/>
    <w:rsid w:val="007A757D"/>
    <w:rsid w:val="007B03C6"/>
    <w:rsid w:val="007B0651"/>
    <w:rsid w:val="007B0DB1"/>
    <w:rsid w:val="007B1D19"/>
    <w:rsid w:val="007B2260"/>
    <w:rsid w:val="007B343D"/>
    <w:rsid w:val="007B40E3"/>
    <w:rsid w:val="007B5673"/>
    <w:rsid w:val="007B58B0"/>
    <w:rsid w:val="007B6CF9"/>
    <w:rsid w:val="007B7238"/>
    <w:rsid w:val="007B76FF"/>
    <w:rsid w:val="007B798E"/>
    <w:rsid w:val="007C03C3"/>
    <w:rsid w:val="007C0888"/>
    <w:rsid w:val="007C0E36"/>
    <w:rsid w:val="007C3BF6"/>
    <w:rsid w:val="007C3C1B"/>
    <w:rsid w:val="007C3D5F"/>
    <w:rsid w:val="007C514B"/>
    <w:rsid w:val="007C52D9"/>
    <w:rsid w:val="007C5C4D"/>
    <w:rsid w:val="007C65D4"/>
    <w:rsid w:val="007C67B3"/>
    <w:rsid w:val="007C6BCC"/>
    <w:rsid w:val="007C78E4"/>
    <w:rsid w:val="007C7ACD"/>
    <w:rsid w:val="007D0837"/>
    <w:rsid w:val="007D0FD2"/>
    <w:rsid w:val="007D26F2"/>
    <w:rsid w:val="007D2EF8"/>
    <w:rsid w:val="007D2F61"/>
    <w:rsid w:val="007D2FA9"/>
    <w:rsid w:val="007D3014"/>
    <w:rsid w:val="007D34D1"/>
    <w:rsid w:val="007D561F"/>
    <w:rsid w:val="007D7FD2"/>
    <w:rsid w:val="007E02C9"/>
    <w:rsid w:val="007E13D9"/>
    <w:rsid w:val="007E2618"/>
    <w:rsid w:val="007E2AEC"/>
    <w:rsid w:val="007E34F7"/>
    <w:rsid w:val="007E386F"/>
    <w:rsid w:val="007E3F3D"/>
    <w:rsid w:val="007E41BE"/>
    <w:rsid w:val="007E44D6"/>
    <w:rsid w:val="007E4DB6"/>
    <w:rsid w:val="007E6733"/>
    <w:rsid w:val="007E696E"/>
    <w:rsid w:val="007E7CD4"/>
    <w:rsid w:val="007E7CDF"/>
    <w:rsid w:val="007F0347"/>
    <w:rsid w:val="007F12AC"/>
    <w:rsid w:val="007F3A83"/>
    <w:rsid w:val="007F3E79"/>
    <w:rsid w:val="007F4316"/>
    <w:rsid w:val="007F4501"/>
    <w:rsid w:val="007F5CD0"/>
    <w:rsid w:val="007F60DF"/>
    <w:rsid w:val="007F68B3"/>
    <w:rsid w:val="008007C2"/>
    <w:rsid w:val="00800F1D"/>
    <w:rsid w:val="00801800"/>
    <w:rsid w:val="00801861"/>
    <w:rsid w:val="00801B5B"/>
    <w:rsid w:val="008032AA"/>
    <w:rsid w:val="008034F5"/>
    <w:rsid w:val="00803AAD"/>
    <w:rsid w:val="00803E89"/>
    <w:rsid w:val="008045C2"/>
    <w:rsid w:val="008053B8"/>
    <w:rsid w:val="00805A30"/>
    <w:rsid w:val="00813B8E"/>
    <w:rsid w:val="008151D2"/>
    <w:rsid w:val="00815283"/>
    <w:rsid w:val="00815CF6"/>
    <w:rsid w:val="00815F8F"/>
    <w:rsid w:val="0081761B"/>
    <w:rsid w:val="008177BB"/>
    <w:rsid w:val="008216E7"/>
    <w:rsid w:val="008240A7"/>
    <w:rsid w:val="0082422A"/>
    <w:rsid w:val="0082522D"/>
    <w:rsid w:val="00825647"/>
    <w:rsid w:val="00825BE6"/>
    <w:rsid w:val="008262C5"/>
    <w:rsid w:val="008276B4"/>
    <w:rsid w:val="00827DC7"/>
    <w:rsid w:val="00827E14"/>
    <w:rsid w:val="00827F61"/>
    <w:rsid w:val="00831114"/>
    <w:rsid w:val="00831583"/>
    <w:rsid w:val="00831927"/>
    <w:rsid w:val="00831DB5"/>
    <w:rsid w:val="00831F50"/>
    <w:rsid w:val="00833485"/>
    <w:rsid w:val="00833D8F"/>
    <w:rsid w:val="00837288"/>
    <w:rsid w:val="00841BD3"/>
    <w:rsid w:val="00841D20"/>
    <w:rsid w:val="0084273D"/>
    <w:rsid w:val="0084290F"/>
    <w:rsid w:val="00842FD0"/>
    <w:rsid w:val="008432BE"/>
    <w:rsid w:val="00844E3F"/>
    <w:rsid w:val="008450B4"/>
    <w:rsid w:val="00845A83"/>
    <w:rsid w:val="00845E64"/>
    <w:rsid w:val="00846BB9"/>
    <w:rsid w:val="008501AF"/>
    <w:rsid w:val="00851291"/>
    <w:rsid w:val="00852357"/>
    <w:rsid w:val="00852C50"/>
    <w:rsid w:val="00852F9C"/>
    <w:rsid w:val="00855D49"/>
    <w:rsid w:val="008560B2"/>
    <w:rsid w:val="00857BD2"/>
    <w:rsid w:val="008608B5"/>
    <w:rsid w:val="00860939"/>
    <w:rsid w:val="0086115E"/>
    <w:rsid w:val="00861301"/>
    <w:rsid w:val="00862573"/>
    <w:rsid w:val="0086257F"/>
    <w:rsid w:val="008639C2"/>
    <w:rsid w:val="00863B5F"/>
    <w:rsid w:val="008649D5"/>
    <w:rsid w:val="00865D45"/>
    <w:rsid w:val="0086727F"/>
    <w:rsid w:val="008704D7"/>
    <w:rsid w:val="008712BB"/>
    <w:rsid w:val="00871324"/>
    <w:rsid w:val="00871E1B"/>
    <w:rsid w:val="00873BC6"/>
    <w:rsid w:val="00875722"/>
    <w:rsid w:val="00875EA5"/>
    <w:rsid w:val="00875F0B"/>
    <w:rsid w:val="00877ECB"/>
    <w:rsid w:val="0088223B"/>
    <w:rsid w:val="008830E7"/>
    <w:rsid w:val="00883CBF"/>
    <w:rsid w:val="008844ED"/>
    <w:rsid w:val="00884E24"/>
    <w:rsid w:val="008857D3"/>
    <w:rsid w:val="00887030"/>
    <w:rsid w:val="00890EDE"/>
    <w:rsid w:val="008929AD"/>
    <w:rsid w:val="00892B38"/>
    <w:rsid w:val="00893861"/>
    <w:rsid w:val="00894CF7"/>
    <w:rsid w:val="00895BBA"/>
    <w:rsid w:val="008965DA"/>
    <w:rsid w:val="008A1741"/>
    <w:rsid w:val="008A2484"/>
    <w:rsid w:val="008A4BC6"/>
    <w:rsid w:val="008A4C4D"/>
    <w:rsid w:val="008A50FB"/>
    <w:rsid w:val="008A52F3"/>
    <w:rsid w:val="008B037F"/>
    <w:rsid w:val="008B2E08"/>
    <w:rsid w:val="008B4B4D"/>
    <w:rsid w:val="008B6AB6"/>
    <w:rsid w:val="008B6BA5"/>
    <w:rsid w:val="008B6E1B"/>
    <w:rsid w:val="008B7649"/>
    <w:rsid w:val="008C0920"/>
    <w:rsid w:val="008C0F97"/>
    <w:rsid w:val="008C2030"/>
    <w:rsid w:val="008C26D9"/>
    <w:rsid w:val="008C4929"/>
    <w:rsid w:val="008C56F6"/>
    <w:rsid w:val="008C699F"/>
    <w:rsid w:val="008C6D50"/>
    <w:rsid w:val="008C7167"/>
    <w:rsid w:val="008C7503"/>
    <w:rsid w:val="008C794C"/>
    <w:rsid w:val="008D1617"/>
    <w:rsid w:val="008D1AD4"/>
    <w:rsid w:val="008D20C4"/>
    <w:rsid w:val="008D26B5"/>
    <w:rsid w:val="008D330F"/>
    <w:rsid w:val="008D48C1"/>
    <w:rsid w:val="008E07C3"/>
    <w:rsid w:val="008E2303"/>
    <w:rsid w:val="008E23D4"/>
    <w:rsid w:val="008E27AC"/>
    <w:rsid w:val="008E3837"/>
    <w:rsid w:val="008E40E6"/>
    <w:rsid w:val="008E469B"/>
    <w:rsid w:val="008E6315"/>
    <w:rsid w:val="008E657D"/>
    <w:rsid w:val="008E730A"/>
    <w:rsid w:val="008F0480"/>
    <w:rsid w:val="008F07FC"/>
    <w:rsid w:val="008F0F3A"/>
    <w:rsid w:val="008F11E0"/>
    <w:rsid w:val="008F13E7"/>
    <w:rsid w:val="008F1D06"/>
    <w:rsid w:val="008F2237"/>
    <w:rsid w:val="008F2B11"/>
    <w:rsid w:val="008F39D5"/>
    <w:rsid w:val="008F3B92"/>
    <w:rsid w:val="008F3EA7"/>
    <w:rsid w:val="008F4309"/>
    <w:rsid w:val="008F44D2"/>
    <w:rsid w:val="008F4AF0"/>
    <w:rsid w:val="008F5338"/>
    <w:rsid w:val="008F55F2"/>
    <w:rsid w:val="008F6B86"/>
    <w:rsid w:val="008F7580"/>
    <w:rsid w:val="008F78BC"/>
    <w:rsid w:val="008F7B63"/>
    <w:rsid w:val="008F7D6A"/>
    <w:rsid w:val="0090022A"/>
    <w:rsid w:val="00900F5B"/>
    <w:rsid w:val="00901C86"/>
    <w:rsid w:val="00903603"/>
    <w:rsid w:val="009042B5"/>
    <w:rsid w:val="009045EF"/>
    <w:rsid w:val="00904E05"/>
    <w:rsid w:val="009054CB"/>
    <w:rsid w:val="0090618A"/>
    <w:rsid w:val="00910738"/>
    <w:rsid w:val="00911F8D"/>
    <w:rsid w:val="00912804"/>
    <w:rsid w:val="00912F94"/>
    <w:rsid w:val="0091310E"/>
    <w:rsid w:val="0091373D"/>
    <w:rsid w:val="009143EB"/>
    <w:rsid w:val="00914730"/>
    <w:rsid w:val="00915E02"/>
    <w:rsid w:val="0091634D"/>
    <w:rsid w:val="00916FC1"/>
    <w:rsid w:val="00916FD4"/>
    <w:rsid w:val="009171BC"/>
    <w:rsid w:val="009172FA"/>
    <w:rsid w:val="00920378"/>
    <w:rsid w:val="0092132F"/>
    <w:rsid w:val="00923696"/>
    <w:rsid w:val="009245E6"/>
    <w:rsid w:val="0092497E"/>
    <w:rsid w:val="00925171"/>
    <w:rsid w:val="0092590B"/>
    <w:rsid w:val="00925BF3"/>
    <w:rsid w:val="00925E60"/>
    <w:rsid w:val="009264B3"/>
    <w:rsid w:val="0093138A"/>
    <w:rsid w:val="00931E4C"/>
    <w:rsid w:val="009325B5"/>
    <w:rsid w:val="00934976"/>
    <w:rsid w:val="00934B4E"/>
    <w:rsid w:val="00934D23"/>
    <w:rsid w:val="009365E0"/>
    <w:rsid w:val="00936C01"/>
    <w:rsid w:val="009376DB"/>
    <w:rsid w:val="00940E9B"/>
    <w:rsid w:val="009418DD"/>
    <w:rsid w:val="00942BA2"/>
    <w:rsid w:val="00942FEA"/>
    <w:rsid w:val="009432B7"/>
    <w:rsid w:val="00943676"/>
    <w:rsid w:val="009449E4"/>
    <w:rsid w:val="00944BE5"/>
    <w:rsid w:val="00944C86"/>
    <w:rsid w:val="00945A0C"/>
    <w:rsid w:val="00945BE7"/>
    <w:rsid w:val="00947843"/>
    <w:rsid w:val="00947C02"/>
    <w:rsid w:val="00947E10"/>
    <w:rsid w:val="00950BE6"/>
    <w:rsid w:val="00951234"/>
    <w:rsid w:val="00952739"/>
    <w:rsid w:val="00953010"/>
    <w:rsid w:val="00954B5C"/>
    <w:rsid w:val="00954CF7"/>
    <w:rsid w:val="009555D1"/>
    <w:rsid w:val="0095603D"/>
    <w:rsid w:val="00956A6A"/>
    <w:rsid w:val="00957478"/>
    <w:rsid w:val="00957DE8"/>
    <w:rsid w:val="00960AB4"/>
    <w:rsid w:val="00960CD4"/>
    <w:rsid w:val="00960ECB"/>
    <w:rsid w:val="009615D6"/>
    <w:rsid w:val="00961724"/>
    <w:rsid w:val="00961813"/>
    <w:rsid w:val="00962955"/>
    <w:rsid w:val="00963148"/>
    <w:rsid w:val="009652FF"/>
    <w:rsid w:val="00965853"/>
    <w:rsid w:val="009664E0"/>
    <w:rsid w:val="00966CBC"/>
    <w:rsid w:val="00966EC8"/>
    <w:rsid w:val="0096721C"/>
    <w:rsid w:val="00967855"/>
    <w:rsid w:val="0097195A"/>
    <w:rsid w:val="00971CD1"/>
    <w:rsid w:val="00971D32"/>
    <w:rsid w:val="009740E1"/>
    <w:rsid w:val="00974227"/>
    <w:rsid w:val="0097456A"/>
    <w:rsid w:val="00974709"/>
    <w:rsid w:val="009801AE"/>
    <w:rsid w:val="00980736"/>
    <w:rsid w:val="0098074A"/>
    <w:rsid w:val="00981465"/>
    <w:rsid w:val="009818A9"/>
    <w:rsid w:val="00981996"/>
    <w:rsid w:val="00981A39"/>
    <w:rsid w:val="0098225C"/>
    <w:rsid w:val="00982D56"/>
    <w:rsid w:val="009830ED"/>
    <w:rsid w:val="009832C7"/>
    <w:rsid w:val="00983DBF"/>
    <w:rsid w:val="0098637B"/>
    <w:rsid w:val="009866BF"/>
    <w:rsid w:val="00986DD4"/>
    <w:rsid w:val="00987097"/>
    <w:rsid w:val="0098767B"/>
    <w:rsid w:val="009904BC"/>
    <w:rsid w:val="009906D0"/>
    <w:rsid w:val="00991123"/>
    <w:rsid w:val="00991CAB"/>
    <w:rsid w:val="00993CF0"/>
    <w:rsid w:val="00997A3F"/>
    <w:rsid w:val="00997C98"/>
    <w:rsid w:val="009A01A3"/>
    <w:rsid w:val="009A0772"/>
    <w:rsid w:val="009A0DFF"/>
    <w:rsid w:val="009A30F1"/>
    <w:rsid w:val="009A3410"/>
    <w:rsid w:val="009A36DF"/>
    <w:rsid w:val="009A3A9C"/>
    <w:rsid w:val="009A7BC2"/>
    <w:rsid w:val="009B046C"/>
    <w:rsid w:val="009B0688"/>
    <w:rsid w:val="009B100D"/>
    <w:rsid w:val="009B1260"/>
    <w:rsid w:val="009B13FA"/>
    <w:rsid w:val="009B1E2D"/>
    <w:rsid w:val="009B2364"/>
    <w:rsid w:val="009B3160"/>
    <w:rsid w:val="009B5047"/>
    <w:rsid w:val="009B5165"/>
    <w:rsid w:val="009B5B80"/>
    <w:rsid w:val="009B62A8"/>
    <w:rsid w:val="009B7367"/>
    <w:rsid w:val="009B79F5"/>
    <w:rsid w:val="009C0604"/>
    <w:rsid w:val="009C15D0"/>
    <w:rsid w:val="009C2798"/>
    <w:rsid w:val="009C2D0C"/>
    <w:rsid w:val="009C59FB"/>
    <w:rsid w:val="009C68C8"/>
    <w:rsid w:val="009C6F3B"/>
    <w:rsid w:val="009C7A3E"/>
    <w:rsid w:val="009C7D97"/>
    <w:rsid w:val="009D1002"/>
    <w:rsid w:val="009D1467"/>
    <w:rsid w:val="009D15BE"/>
    <w:rsid w:val="009D328D"/>
    <w:rsid w:val="009D63DE"/>
    <w:rsid w:val="009D64B7"/>
    <w:rsid w:val="009E0608"/>
    <w:rsid w:val="009E1049"/>
    <w:rsid w:val="009E1DE7"/>
    <w:rsid w:val="009E2184"/>
    <w:rsid w:val="009E3678"/>
    <w:rsid w:val="009E38E4"/>
    <w:rsid w:val="009E3B44"/>
    <w:rsid w:val="009E48A6"/>
    <w:rsid w:val="009E4B09"/>
    <w:rsid w:val="009E4E26"/>
    <w:rsid w:val="009E4FA6"/>
    <w:rsid w:val="009E55A2"/>
    <w:rsid w:val="009E561D"/>
    <w:rsid w:val="009E60A9"/>
    <w:rsid w:val="009E6176"/>
    <w:rsid w:val="009E673F"/>
    <w:rsid w:val="009E67EE"/>
    <w:rsid w:val="009E6F81"/>
    <w:rsid w:val="009E7D93"/>
    <w:rsid w:val="009F1485"/>
    <w:rsid w:val="009F1B4D"/>
    <w:rsid w:val="009F25ED"/>
    <w:rsid w:val="009F3C34"/>
    <w:rsid w:val="009F462C"/>
    <w:rsid w:val="009F4DD9"/>
    <w:rsid w:val="009F5C33"/>
    <w:rsid w:val="009F7175"/>
    <w:rsid w:val="009F7313"/>
    <w:rsid w:val="009F7BDF"/>
    <w:rsid w:val="009F7D5D"/>
    <w:rsid w:val="009F7EE7"/>
    <w:rsid w:val="009F7F1C"/>
    <w:rsid w:val="00A01791"/>
    <w:rsid w:val="00A026F0"/>
    <w:rsid w:val="00A02E8E"/>
    <w:rsid w:val="00A02F63"/>
    <w:rsid w:val="00A03EAC"/>
    <w:rsid w:val="00A04DBB"/>
    <w:rsid w:val="00A068EB"/>
    <w:rsid w:val="00A06BBA"/>
    <w:rsid w:val="00A06F8F"/>
    <w:rsid w:val="00A07C26"/>
    <w:rsid w:val="00A07EA0"/>
    <w:rsid w:val="00A11CA6"/>
    <w:rsid w:val="00A122EF"/>
    <w:rsid w:val="00A12A85"/>
    <w:rsid w:val="00A13B27"/>
    <w:rsid w:val="00A14DD2"/>
    <w:rsid w:val="00A15A66"/>
    <w:rsid w:val="00A16452"/>
    <w:rsid w:val="00A20112"/>
    <w:rsid w:val="00A20AE2"/>
    <w:rsid w:val="00A20C49"/>
    <w:rsid w:val="00A228FB"/>
    <w:rsid w:val="00A22932"/>
    <w:rsid w:val="00A24D91"/>
    <w:rsid w:val="00A253E2"/>
    <w:rsid w:val="00A25DEE"/>
    <w:rsid w:val="00A25FCF"/>
    <w:rsid w:val="00A2668E"/>
    <w:rsid w:val="00A269CA"/>
    <w:rsid w:val="00A2733D"/>
    <w:rsid w:val="00A27486"/>
    <w:rsid w:val="00A27B54"/>
    <w:rsid w:val="00A3065D"/>
    <w:rsid w:val="00A326B0"/>
    <w:rsid w:val="00A336EE"/>
    <w:rsid w:val="00A33F46"/>
    <w:rsid w:val="00A3427E"/>
    <w:rsid w:val="00A3454E"/>
    <w:rsid w:val="00A346BC"/>
    <w:rsid w:val="00A359AC"/>
    <w:rsid w:val="00A35EFF"/>
    <w:rsid w:val="00A370A5"/>
    <w:rsid w:val="00A370B7"/>
    <w:rsid w:val="00A37C2A"/>
    <w:rsid w:val="00A37D27"/>
    <w:rsid w:val="00A37D62"/>
    <w:rsid w:val="00A40352"/>
    <w:rsid w:val="00A40F83"/>
    <w:rsid w:val="00A410FB"/>
    <w:rsid w:val="00A41184"/>
    <w:rsid w:val="00A41413"/>
    <w:rsid w:val="00A42B2C"/>
    <w:rsid w:val="00A431E6"/>
    <w:rsid w:val="00A436E8"/>
    <w:rsid w:val="00A43DB6"/>
    <w:rsid w:val="00A443FB"/>
    <w:rsid w:val="00A44A68"/>
    <w:rsid w:val="00A44FD0"/>
    <w:rsid w:val="00A456BE"/>
    <w:rsid w:val="00A45FB1"/>
    <w:rsid w:val="00A46112"/>
    <w:rsid w:val="00A46A0F"/>
    <w:rsid w:val="00A46CCC"/>
    <w:rsid w:val="00A47996"/>
    <w:rsid w:val="00A47FB5"/>
    <w:rsid w:val="00A50885"/>
    <w:rsid w:val="00A51483"/>
    <w:rsid w:val="00A51CFE"/>
    <w:rsid w:val="00A5204D"/>
    <w:rsid w:val="00A54389"/>
    <w:rsid w:val="00A56E77"/>
    <w:rsid w:val="00A61605"/>
    <w:rsid w:val="00A64C4F"/>
    <w:rsid w:val="00A659D6"/>
    <w:rsid w:val="00A65F97"/>
    <w:rsid w:val="00A6632D"/>
    <w:rsid w:val="00A6766E"/>
    <w:rsid w:val="00A706ED"/>
    <w:rsid w:val="00A706F1"/>
    <w:rsid w:val="00A71DD8"/>
    <w:rsid w:val="00A73899"/>
    <w:rsid w:val="00A73B04"/>
    <w:rsid w:val="00A74CAA"/>
    <w:rsid w:val="00A76A46"/>
    <w:rsid w:val="00A76C13"/>
    <w:rsid w:val="00A76D1F"/>
    <w:rsid w:val="00A77C67"/>
    <w:rsid w:val="00A80E6A"/>
    <w:rsid w:val="00A815C3"/>
    <w:rsid w:val="00A817F8"/>
    <w:rsid w:val="00A81CA9"/>
    <w:rsid w:val="00A81CDE"/>
    <w:rsid w:val="00A81CF9"/>
    <w:rsid w:val="00A828F5"/>
    <w:rsid w:val="00A83772"/>
    <w:rsid w:val="00A83A7F"/>
    <w:rsid w:val="00A84FD0"/>
    <w:rsid w:val="00A8617F"/>
    <w:rsid w:val="00A8620B"/>
    <w:rsid w:val="00A874F9"/>
    <w:rsid w:val="00A87F08"/>
    <w:rsid w:val="00A907B2"/>
    <w:rsid w:val="00A925D8"/>
    <w:rsid w:val="00A92E79"/>
    <w:rsid w:val="00A93350"/>
    <w:rsid w:val="00A93B55"/>
    <w:rsid w:val="00A93C23"/>
    <w:rsid w:val="00A93F36"/>
    <w:rsid w:val="00A950B6"/>
    <w:rsid w:val="00A9595F"/>
    <w:rsid w:val="00A95D45"/>
    <w:rsid w:val="00A96909"/>
    <w:rsid w:val="00A96BF9"/>
    <w:rsid w:val="00A97AA7"/>
    <w:rsid w:val="00AA1E8C"/>
    <w:rsid w:val="00AA2058"/>
    <w:rsid w:val="00AA3EA8"/>
    <w:rsid w:val="00AA71BE"/>
    <w:rsid w:val="00AB0FF3"/>
    <w:rsid w:val="00AB3C2F"/>
    <w:rsid w:val="00AB3C33"/>
    <w:rsid w:val="00AB3FB5"/>
    <w:rsid w:val="00AB41C1"/>
    <w:rsid w:val="00AB41FD"/>
    <w:rsid w:val="00AB497F"/>
    <w:rsid w:val="00AB4CF2"/>
    <w:rsid w:val="00AB4E14"/>
    <w:rsid w:val="00AB50F4"/>
    <w:rsid w:val="00AB61B8"/>
    <w:rsid w:val="00AB6CCA"/>
    <w:rsid w:val="00AB7D85"/>
    <w:rsid w:val="00AB7EB8"/>
    <w:rsid w:val="00AC223F"/>
    <w:rsid w:val="00AC33B1"/>
    <w:rsid w:val="00AC340A"/>
    <w:rsid w:val="00AC3F0F"/>
    <w:rsid w:val="00AC40EA"/>
    <w:rsid w:val="00AC446C"/>
    <w:rsid w:val="00AC4C6D"/>
    <w:rsid w:val="00AC4FE3"/>
    <w:rsid w:val="00AC6FC5"/>
    <w:rsid w:val="00AC7185"/>
    <w:rsid w:val="00AC7905"/>
    <w:rsid w:val="00AD12A8"/>
    <w:rsid w:val="00AD1338"/>
    <w:rsid w:val="00AD226C"/>
    <w:rsid w:val="00AD2561"/>
    <w:rsid w:val="00AD2EF5"/>
    <w:rsid w:val="00AD3FFF"/>
    <w:rsid w:val="00AD42CB"/>
    <w:rsid w:val="00AD44CB"/>
    <w:rsid w:val="00AD7200"/>
    <w:rsid w:val="00AD7FC1"/>
    <w:rsid w:val="00AE023F"/>
    <w:rsid w:val="00AE0E1C"/>
    <w:rsid w:val="00AE1B70"/>
    <w:rsid w:val="00AE31D9"/>
    <w:rsid w:val="00AE34AC"/>
    <w:rsid w:val="00AE4F11"/>
    <w:rsid w:val="00AE5A34"/>
    <w:rsid w:val="00AE6248"/>
    <w:rsid w:val="00AE7D25"/>
    <w:rsid w:val="00AF04E0"/>
    <w:rsid w:val="00AF0C1B"/>
    <w:rsid w:val="00AF1490"/>
    <w:rsid w:val="00AF3577"/>
    <w:rsid w:val="00AF35F9"/>
    <w:rsid w:val="00AF5749"/>
    <w:rsid w:val="00AF79AC"/>
    <w:rsid w:val="00B04108"/>
    <w:rsid w:val="00B0424C"/>
    <w:rsid w:val="00B04B41"/>
    <w:rsid w:val="00B0562A"/>
    <w:rsid w:val="00B05997"/>
    <w:rsid w:val="00B05C7D"/>
    <w:rsid w:val="00B05D0C"/>
    <w:rsid w:val="00B06942"/>
    <w:rsid w:val="00B1096D"/>
    <w:rsid w:val="00B11A9E"/>
    <w:rsid w:val="00B15D57"/>
    <w:rsid w:val="00B16347"/>
    <w:rsid w:val="00B16E3C"/>
    <w:rsid w:val="00B16F87"/>
    <w:rsid w:val="00B17D6E"/>
    <w:rsid w:val="00B20AFA"/>
    <w:rsid w:val="00B22635"/>
    <w:rsid w:val="00B22716"/>
    <w:rsid w:val="00B2435E"/>
    <w:rsid w:val="00B24F2D"/>
    <w:rsid w:val="00B25466"/>
    <w:rsid w:val="00B25648"/>
    <w:rsid w:val="00B25E11"/>
    <w:rsid w:val="00B26C2A"/>
    <w:rsid w:val="00B275D0"/>
    <w:rsid w:val="00B31CA2"/>
    <w:rsid w:val="00B3394C"/>
    <w:rsid w:val="00B33BB8"/>
    <w:rsid w:val="00B346C3"/>
    <w:rsid w:val="00B348F6"/>
    <w:rsid w:val="00B35A7E"/>
    <w:rsid w:val="00B374A7"/>
    <w:rsid w:val="00B4005C"/>
    <w:rsid w:val="00B4227E"/>
    <w:rsid w:val="00B429D9"/>
    <w:rsid w:val="00B4471C"/>
    <w:rsid w:val="00B451A6"/>
    <w:rsid w:val="00B467F5"/>
    <w:rsid w:val="00B46D10"/>
    <w:rsid w:val="00B476CF"/>
    <w:rsid w:val="00B47B47"/>
    <w:rsid w:val="00B50219"/>
    <w:rsid w:val="00B50E82"/>
    <w:rsid w:val="00B52320"/>
    <w:rsid w:val="00B52429"/>
    <w:rsid w:val="00B52EEB"/>
    <w:rsid w:val="00B53377"/>
    <w:rsid w:val="00B559AF"/>
    <w:rsid w:val="00B56D6E"/>
    <w:rsid w:val="00B5702B"/>
    <w:rsid w:val="00B57230"/>
    <w:rsid w:val="00B57317"/>
    <w:rsid w:val="00B57564"/>
    <w:rsid w:val="00B5778F"/>
    <w:rsid w:val="00B57B56"/>
    <w:rsid w:val="00B61B99"/>
    <w:rsid w:val="00B627A9"/>
    <w:rsid w:val="00B64347"/>
    <w:rsid w:val="00B6571A"/>
    <w:rsid w:val="00B65DC6"/>
    <w:rsid w:val="00B65E5A"/>
    <w:rsid w:val="00B669AF"/>
    <w:rsid w:val="00B669CD"/>
    <w:rsid w:val="00B66DED"/>
    <w:rsid w:val="00B6704B"/>
    <w:rsid w:val="00B67AC2"/>
    <w:rsid w:val="00B70FC0"/>
    <w:rsid w:val="00B718D2"/>
    <w:rsid w:val="00B722DE"/>
    <w:rsid w:val="00B72CCB"/>
    <w:rsid w:val="00B751E3"/>
    <w:rsid w:val="00B75581"/>
    <w:rsid w:val="00B75BA6"/>
    <w:rsid w:val="00B76479"/>
    <w:rsid w:val="00B76C44"/>
    <w:rsid w:val="00B802C5"/>
    <w:rsid w:val="00B80E2A"/>
    <w:rsid w:val="00B81160"/>
    <w:rsid w:val="00B8184A"/>
    <w:rsid w:val="00B81C14"/>
    <w:rsid w:val="00B82283"/>
    <w:rsid w:val="00B828D8"/>
    <w:rsid w:val="00B82A64"/>
    <w:rsid w:val="00B83360"/>
    <w:rsid w:val="00B83F87"/>
    <w:rsid w:val="00B84846"/>
    <w:rsid w:val="00B8492A"/>
    <w:rsid w:val="00B849A4"/>
    <w:rsid w:val="00B86FCB"/>
    <w:rsid w:val="00B87CDC"/>
    <w:rsid w:val="00B90C20"/>
    <w:rsid w:val="00B910C1"/>
    <w:rsid w:val="00B920A8"/>
    <w:rsid w:val="00B92E8C"/>
    <w:rsid w:val="00B936DB"/>
    <w:rsid w:val="00B93EC3"/>
    <w:rsid w:val="00B9617D"/>
    <w:rsid w:val="00BA006F"/>
    <w:rsid w:val="00BA084A"/>
    <w:rsid w:val="00BA18B0"/>
    <w:rsid w:val="00BA2CA4"/>
    <w:rsid w:val="00BA2EFA"/>
    <w:rsid w:val="00BA3DBC"/>
    <w:rsid w:val="00BA466E"/>
    <w:rsid w:val="00BA4792"/>
    <w:rsid w:val="00BA513F"/>
    <w:rsid w:val="00BA51EF"/>
    <w:rsid w:val="00BA707A"/>
    <w:rsid w:val="00BB0102"/>
    <w:rsid w:val="00BB0A88"/>
    <w:rsid w:val="00BB13F1"/>
    <w:rsid w:val="00BB1AFB"/>
    <w:rsid w:val="00BB2213"/>
    <w:rsid w:val="00BB2359"/>
    <w:rsid w:val="00BB27AE"/>
    <w:rsid w:val="00BB2BC6"/>
    <w:rsid w:val="00BB2DA2"/>
    <w:rsid w:val="00BB413E"/>
    <w:rsid w:val="00BB49D5"/>
    <w:rsid w:val="00BB56DC"/>
    <w:rsid w:val="00BB68FB"/>
    <w:rsid w:val="00BC12E7"/>
    <w:rsid w:val="00BC187F"/>
    <w:rsid w:val="00BC2793"/>
    <w:rsid w:val="00BC2F41"/>
    <w:rsid w:val="00BC3F49"/>
    <w:rsid w:val="00BC6E4F"/>
    <w:rsid w:val="00BC700E"/>
    <w:rsid w:val="00BC74C7"/>
    <w:rsid w:val="00BD0D39"/>
    <w:rsid w:val="00BD11BE"/>
    <w:rsid w:val="00BD1F94"/>
    <w:rsid w:val="00BD2B43"/>
    <w:rsid w:val="00BD3AB4"/>
    <w:rsid w:val="00BD5316"/>
    <w:rsid w:val="00BD5703"/>
    <w:rsid w:val="00BD6AE8"/>
    <w:rsid w:val="00BD77C6"/>
    <w:rsid w:val="00BE17B8"/>
    <w:rsid w:val="00BE183D"/>
    <w:rsid w:val="00BE3A85"/>
    <w:rsid w:val="00BE4C0B"/>
    <w:rsid w:val="00BE55A2"/>
    <w:rsid w:val="00BE5E61"/>
    <w:rsid w:val="00BE5F5D"/>
    <w:rsid w:val="00BE6B2E"/>
    <w:rsid w:val="00BE75C6"/>
    <w:rsid w:val="00BF24C2"/>
    <w:rsid w:val="00BF2922"/>
    <w:rsid w:val="00BF29DE"/>
    <w:rsid w:val="00BF34FC"/>
    <w:rsid w:val="00BF3679"/>
    <w:rsid w:val="00BF5D7A"/>
    <w:rsid w:val="00BF5F63"/>
    <w:rsid w:val="00BF72B2"/>
    <w:rsid w:val="00BF7CE2"/>
    <w:rsid w:val="00C00DAD"/>
    <w:rsid w:val="00C01C2E"/>
    <w:rsid w:val="00C02D33"/>
    <w:rsid w:val="00C04A10"/>
    <w:rsid w:val="00C04B53"/>
    <w:rsid w:val="00C053B6"/>
    <w:rsid w:val="00C06755"/>
    <w:rsid w:val="00C1232C"/>
    <w:rsid w:val="00C131B9"/>
    <w:rsid w:val="00C13556"/>
    <w:rsid w:val="00C13BD6"/>
    <w:rsid w:val="00C1478E"/>
    <w:rsid w:val="00C15096"/>
    <w:rsid w:val="00C15837"/>
    <w:rsid w:val="00C202A7"/>
    <w:rsid w:val="00C2348D"/>
    <w:rsid w:val="00C23752"/>
    <w:rsid w:val="00C24BEE"/>
    <w:rsid w:val="00C24EAC"/>
    <w:rsid w:val="00C2736C"/>
    <w:rsid w:val="00C276ED"/>
    <w:rsid w:val="00C27C6B"/>
    <w:rsid w:val="00C30FED"/>
    <w:rsid w:val="00C32331"/>
    <w:rsid w:val="00C32D1C"/>
    <w:rsid w:val="00C349B5"/>
    <w:rsid w:val="00C3594D"/>
    <w:rsid w:val="00C36368"/>
    <w:rsid w:val="00C36442"/>
    <w:rsid w:val="00C36E0E"/>
    <w:rsid w:val="00C37228"/>
    <w:rsid w:val="00C376C6"/>
    <w:rsid w:val="00C37A06"/>
    <w:rsid w:val="00C400CE"/>
    <w:rsid w:val="00C408E5"/>
    <w:rsid w:val="00C410FD"/>
    <w:rsid w:val="00C41597"/>
    <w:rsid w:val="00C416FC"/>
    <w:rsid w:val="00C433D9"/>
    <w:rsid w:val="00C453F4"/>
    <w:rsid w:val="00C457DE"/>
    <w:rsid w:val="00C45CFC"/>
    <w:rsid w:val="00C46E1C"/>
    <w:rsid w:val="00C473C1"/>
    <w:rsid w:val="00C47413"/>
    <w:rsid w:val="00C47DD3"/>
    <w:rsid w:val="00C5039E"/>
    <w:rsid w:val="00C515D1"/>
    <w:rsid w:val="00C51FBE"/>
    <w:rsid w:val="00C5316F"/>
    <w:rsid w:val="00C53562"/>
    <w:rsid w:val="00C539FB"/>
    <w:rsid w:val="00C61EAB"/>
    <w:rsid w:val="00C63224"/>
    <w:rsid w:val="00C63768"/>
    <w:rsid w:val="00C648B7"/>
    <w:rsid w:val="00C652F0"/>
    <w:rsid w:val="00C659E5"/>
    <w:rsid w:val="00C667B9"/>
    <w:rsid w:val="00C66AA3"/>
    <w:rsid w:val="00C66BBB"/>
    <w:rsid w:val="00C66E57"/>
    <w:rsid w:val="00C67353"/>
    <w:rsid w:val="00C675B7"/>
    <w:rsid w:val="00C67E05"/>
    <w:rsid w:val="00C67EA9"/>
    <w:rsid w:val="00C70175"/>
    <w:rsid w:val="00C70EED"/>
    <w:rsid w:val="00C71C0A"/>
    <w:rsid w:val="00C724D7"/>
    <w:rsid w:val="00C72C1E"/>
    <w:rsid w:val="00C72C6A"/>
    <w:rsid w:val="00C7325E"/>
    <w:rsid w:val="00C74150"/>
    <w:rsid w:val="00C746A8"/>
    <w:rsid w:val="00C75594"/>
    <w:rsid w:val="00C7762B"/>
    <w:rsid w:val="00C83108"/>
    <w:rsid w:val="00C83879"/>
    <w:rsid w:val="00C83ED7"/>
    <w:rsid w:val="00C85819"/>
    <w:rsid w:val="00C85982"/>
    <w:rsid w:val="00C86A91"/>
    <w:rsid w:val="00C8749D"/>
    <w:rsid w:val="00C87F03"/>
    <w:rsid w:val="00C90E7C"/>
    <w:rsid w:val="00C9208E"/>
    <w:rsid w:val="00C934E5"/>
    <w:rsid w:val="00C93692"/>
    <w:rsid w:val="00C9582D"/>
    <w:rsid w:val="00C9585A"/>
    <w:rsid w:val="00C95C41"/>
    <w:rsid w:val="00C96116"/>
    <w:rsid w:val="00CA0466"/>
    <w:rsid w:val="00CA11A3"/>
    <w:rsid w:val="00CA1FBA"/>
    <w:rsid w:val="00CA246D"/>
    <w:rsid w:val="00CA2CE9"/>
    <w:rsid w:val="00CA305C"/>
    <w:rsid w:val="00CA50D9"/>
    <w:rsid w:val="00CA62ED"/>
    <w:rsid w:val="00CA6843"/>
    <w:rsid w:val="00CA7512"/>
    <w:rsid w:val="00CB0149"/>
    <w:rsid w:val="00CB03AE"/>
    <w:rsid w:val="00CB1105"/>
    <w:rsid w:val="00CB128B"/>
    <w:rsid w:val="00CB3054"/>
    <w:rsid w:val="00CB3B36"/>
    <w:rsid w:val="00CB5636"/>
    <w:rsid w:val="00CB565F"/>
    <w:rsid w:val="00CB5A6D"/>
    <w:rsid w:val="00CB5F30"/>
    <w:rsid w:val="00CB7096"/>
    <w:rsid w:val="00CB78C5"/>
    <w:rsid w:val="00CC0705"/>
    <w:rsid w:val="00CC1285"/>
    <w:rsid w:val="00CC34E8"/>
    <w:rsid w:val="00CC3907"/>
    <w:rsid w:val="00CC394B"/>
    <w:rsid w:val="00CC3EE5"/>
    <w:rsid w:val="00CC5A87"/>
    <w:rsid w:val="00CC6304"/>
    <w:rsid w:val="00CC6322"/>
    <w:rsid w:val="00CC6E47"/>
    <w:rsid w:val="00CC7455"/>
    <w:rsid w:val="00CC76BA"/>
    <w:rsid w:val="00CD079D"/>
    <w:rsid w:val="00CD0E95"/>
    <w:rsid w:val="00CD1346"/>
    <w:rsid w:val="00CD627F"/>
    <w:rsid w:val="00CD6C8A"/>
    <w:rsid w:val="00CE2478"/>
    <w:rsid w:val="00CE27C8"/>
    <w:rsid w:val="00CE38F8"/>
    <w:rsid w:val="00CE425C"/>
    <w:rsid w:val="00CE4705"/>
    <w:rsid w:val="00CE58AC"/>
    <w:rsid w:val="00CE5F52"/>
    <w:rsid w:val="00CE6B73"/>
    <w:rsid w:val="00CE7950"/>
    <w:rsid w:val="00CF10F1"/>
    <w:rsid w:val="00CF35C5"/>
    <w:rsid w:val="00CF4FEE"/>
    <w:rsid w:val="00CF5354"/>
    <w:rsid w:val="00CF5A80"/>
    <w:rsid w:val="00CF5FF7"/>
    <w:rsid w:val="00CF622A"/>
    <w:rsid w:val="00CF66E2"/>
    <w:rsid w:val="00D00D53"/>
    <w:rsid w:val="00D02365"/>
    <w:rsid w:val="00D02EC9"/>
    <w:rsid w:val="00D03001"/>
    <w:rsid w:val="00D0439F"/>
    <w:rsid w:val="00D045EE"/>
    <w:rsid w:val="00D04839"/>
    <w:rsid w:val="00D05091"/>
    <w:rsid w:val="00D07E4B"/>
    <w:rsid w:val="00D10CA6"/>
    <w:rsid w:val="00D10F21"/>
    <w:rsid w:val="00D12E0F"/>
    <w:rsid w:val="00D134CF"/>
    <w:rsid w:val="00D1573B"/>
    <w:rsid w:val="00D207DF"/>
    <w:rsid w:val="00D21D31"/>
    <w:rsid w:val="00D22313"/>
    <w:rsid w:val="00D22DEE"/>
    <w:rsid w:val="00D2357B"/>
    <w:rsid w:val="00D23D58"/>
    <w:rsid w:val="00D24806"/>
    <w:rsid w:val="00D25610"/>
    <w:rsid w:val="00D261F9"/>
    <w:rsid w:val="00D279A0"/>
    <w:rsid w:val="00D27B6A"/>
    <w:rsid w:val="00D308EB"/>
    <w:rsid w:val="00D30B07"/>
    <w:rsid w:val="00D30C90"/>
    <w:rsid w:val="00D328D3"/>
    <w:rsid w:val="00D32A29"/>
    <w:rsid w:val="00D32F7D"/>
    <w:rsid w:val="00D34040"/>
    <w:rsid w:val="00D34E69"/>
    <w:rsid w:val="00D36C50"/>
    <w:rsid w:val="00D36C78"/>
    <w:rsid w:val="00D375EE"/>
    <w:rsid w:val="00D405A2"/>
    <w:rsid w:val="00D41DAE"/>
    <w:rsid w:val="00D431D4"/>
    <w:rsid w:val="00D4357E"/>
    <w:rsid w:val="00D44213"/>
    <w:rsid w:val="00D446E9"/>
    <w:rsid w:val="00D46F4F"/>
    <w:rsid w:val="00D47756"/>
    <w:rsid w:val="00D47861"/>
    <w:rsid w:val="00D503DD"/>
    <w:rsid w:val="00D50682"/>
    <w:rsid w:val="00D53967"/>
    <w:rsid w:val="00D539BD"/>
    <w:rsid w:val="00D54E28"/>
    <w:rsid w:val="00D55100"/>
    <w:rsid w:val="00D55311"/>
    <w:rsid w:val="00D55AE8"/>
    <w:rsid w:val="00D56056"/>
    <w:rsid w:val="00D5701A"/>
    <w:rsid w:val="00D572A4"/>
    <w:rsid w:val="00D57F95"/>
    <w:rsid w:val="00D6085F"/>
    <w:rsid w:val="00D6091F"/>
    <w:rsid w:val="00D60D66"/>
    <w:rsid w:val="00D62388"/>
    <w:rsid w:val="00D624FD"/>
    <w:rsid w:val="00D62699"/>
    <w:rsid w:val="00D62AB4"/>
    <w:rsid w:val="00D64229"/>
    <w:rsid w:val="00D66466"/>
    <w:rsid w:val="00D6663E"/>
    <w:rsid w:val="00D67A2C"/>
    <w:rsid w:val="00D704F3"/>
    <w:rsid w:val="00D710B1"/>
    <w:rsid w:val="00D72A99"/>
    <w:rsid w:val="00D72C32"/>
    <w:rsid w:val="00D73645"/>
    <w:rsid w:val="00D73FC4"/>
    <w:rsid w:val="00D73FCB"/>
    <w:rsid w:val="00D74B5E"/>
    <w:rsid w:val="00D7593B"/>
    <w:rsid w:val="00D7641A"/>
    <w:rsid w:val="00D76DB8"/>
    <w:rsid w:val="00D778E9"/>
    <w:rsid w:val="00D77C6A"/>
    <w:rsid w:val="00D77E0D"/>
    <w:rsid w:val="00D8015F"/>
    <w:rsid w:val="00D807C1"/>
    <w:rsid w:val="00D80BB3"/>
    <w:rsid w:val="00D80FCB"/>
    <w:rsid w:val="00D81020"/>
    <w:rsid w:val="00D812BF"/>
    <w:rsid w:val="00D82620"/>
    <w:rsid w:val="00D82FCB"/>
    <w:rsid w:val="00D847A8"/>
    <w:rsid w:val="00D84809"/>
    <w:rsid w:val="00D855B3"/>
    <w:rsid w:val="00D85707"/>
    <w:rsid w:val="00D872B8"/>
    <w:rsid w:val="00D90FD2"/>
    <w:rsid w:val="00D9189C"/>
    <w:rsid w:val="00D9268D"/>
    <w:rsid w:val="00D9319F"/>
    <w:rsid w:val="00D94638"/>
    <w:rsid w:val="00D9725F"/>
    <w:rsid w:val="00D97E2D"/>
    <w:rsid w:val="00DA01B1"/>
    <w:rsid w:val="00DA11A2"/>
    <w:rsid w:val="00DA14ED"/>
    <w:rsid w:val="00DA220A"/>
    <w:rsid w:val="00DA26D6"/>
    <w:rsid w:val="00DA4039"/>
    <w:rsid w:val="00DB143B"/>
    <w:rsid w:val="00DB1525"/>
    <w:rsid w:val="00DB2EF1"/>
    <w:rsid w:val="00DB33B2"/>
    <w:rsid w:val="00DB3DE1"/>
    <w:rsid w:val="00DB4734"/>
    <w:rsid w:val="00DB5DA0"/>
    <w:rsid w:val="00DB5FB9"/>
    <w:rsid w:val="00DB716C"/>
    <w:rsid w:val="00DB7614"/>
    <w:rsid w:val="00DB7D0E"/>
    <w:rsid w:val="00DC0638"/>
    <w:rsid w:val="00DC110A"/>
    <w:rsid w:val="00DC14E6"/>
    <w:rsid w:val="00DC21B4"/>
    <w:rsid w:val="00DC23BE"/>
    <w:rsid w:val="00DC2AE7"/>
    <w:rsid w:val="00DC5C85"/>
    <w:rsid w:val="00DC7107"/>
    <w:rsid w:val="00DC7C5D"/>
    <w:rsid w:val="00DD0772"/>
    <w:rsid w:val="00DD204B"/>
    <w:rsid w:val="00DD4236"/>
    <w:rsid w:val="00DD44F1"/>
    <w:rsid w:val="00DD45F6"/>
    <w:rsid w:val="00DD497F"/>
    <w:rsid w:val="00DD4D12"/>
    <w:rsid w:val="00DD5671"/>
    <w:rsid w:val="00DD5E09"/>
    <w:rsid w:val="00DD6957"/>
    <w:rsid w:val="00DD6E7A"/>
    <w:rsid w:val="00DE0F3A"/>
    <w:rsid w:val="00DE3067"/>
    <w:rsid w:val="00DE3A94"/>
    <w:rsid w:val="00DE3BD4"/>
    <w:rsid w:val="00DE3F09"/>
    <w:rsid w:val="00DE4EE7"/>
    <w:rsid w:val="00DE6021"/>
    <w:rsid w:val="00DE615F"/>
    <w:rsid w:val="00DE65B9"/>
    <w:rsid w:val="00DE73BC"/>
    <w:rsid w:val="00DE78E4"/>
    <w:rsid w:val="00DF1159"/>
    <w:rsid w:val="00DF3EEE"/>
    <w:rsid w:val="00DF4B0F"/>
    <w:rsid w:val="00DF75E1"/>
    <w:rsid w:val="00E0097D"/>
    <w:rsid w:val="00E00B50"/>
    <w:rsid w:val="00E00C6E"/>
    <w:rsid w:val="00E014E4"/>
    <w:rsid w:val="00E017D2"/>
    <w:rsid w:val="00E01E03"/>
    <w:rsid w:val="00E027BC"/>
    <w:rsid w:val="00E02884"/>
    <w:rsid w:val="00E0289A"/>
    <w:rsid w:val="00E02905"/>
    <w:rsid w:val="00E029E7"/>
    <w:rsid w:val="00E02FCA"/>
    <w:rsid w:val="00E03E9E"/>
    <w:rsid w:val="00E03FE3"/>
    <w:rsid w:val="00E044F1"/>
    <w:rsid w:val="00E045BE"/>
    <w:rsid w:val="00E0467F"/>
    <w:rsid w:val="00E100CD"/>
    <w:rsid w:val="00E1093C"/>
    <w:rsid w:val="00E10F0D"/>
    <w:rsid w:val="00E11128"/>
    <w:rsid w:val="00E114E7"/>
    <w:rsid w:val="00E115F7"/>
    <w:rsid w:val="00E13EFB"/>
    <w:rsid w:val="00E14DA5"/>
    <w:rsid w:val="00E14EA5"/>
    <w:rsid w:val="00E15188"/>
    <w:rsid w:val="00E165E7"/>
    <w:rsid w:val="00E16F5E"/>
    <w:rsid w:val="00E172FD"/>
    <w:rsid w:val="00E17E69"/>
    <w:rsid w:val="00E17FD2"/>
    <w:rsid w:val="00E2070E"/>
    <w:rsid w:val="00E21133"/>
    <w:rsid w:val="00E21A4D"/>
    <w:rsid w:val="00E223D6"/>
    <w:rsid w:val="00E227E6"/>
    <w:rsid w:val="00E2327E"/>
    <w:rsid w:val="00E23577"/>
    <w:rsid w:val="00E23618"/>
    <w:rsid w:val="00E243DF"/>
    <w:rsid w:val="00E249AA"/>
    <w:rsid w:val="00E24D58"/>
    <w:rsid w:val="00E266EF"/>
    <w:rsid w:val="00E26AD2"/>
    <w:rsid w:val="00E26FE9"/>
    <w:rsid w:val="00E301C2"/>
    <w:rsid w:val="00E326A8"/>
    <w:rsid w:val="00E34D7D"/>
    <w:rsid w:val="00E364E9"/>
    <w:rsid w:val="00E37161"/>
    <w:rsid w:val="00E37B5E"/>
    <w:rsid w:val="00E42066"/>
    <w:rsid w:val="00E42CC2"/>
    <w:rsid w:val="00E43695"/>
    <w:rsid w:val="00E44504"/>
    <w:rsid w:val="00E47428"/>
    <w:rsid w:val="00E47712"/>
    <w:rsid w:val="00E47E54"/>
    <w:rsid w:val="00E50704"/>
    <w:rsid w:val="00E528CB"/>
    <w:rsid w:val="00E5320D"/>
    <w:rsid w:val="00E543B2"/>
    <w:rsid w:val="00E5440B"/>
    <w:rsid w:val="00E54AAF"/>
    <w:rsid w:val="00E55A59"/>
    <w:rsid w:val="00E563F3"/>
    <w:rsid w:val="00E564F0"/>
    <w:rsid w:val="00E56C8E"/>
    <w:rsid w:val="00E56DB1"/>
    <w:rsid w:val="00E5716B"/>
    <w:rsid w:val="00E57221"/>
    <w:rsid w:val="00E57F1F"/>
    <w:rsid w:val="00E60075"/>
    <w:rsid w:val="00E61663"/>
    <w:rsid w:val="00E61FC8"/>
    <w:rsid w:val="00E631D6"/>
    <w:rsid w:val="00E6483D"/>
    <w:rsid w:val="00E669DC"/>
    <w:rsid w:val="00E66B9F"/>
    <w:rsid w:val="00E67318"/>
    <w:rsid w:val="00E67420"/>
    <w:rsid w:val="00E70118"/>
    <w:rsid w:val="00E70A6A"/>
    <w:rsid w:val="00E710D6"/>
    <w:rsid w:val="00E71F3C"/>
    <w:rsid w:val="00E7298C"/>
    <w:rsid w:val="00E73DA4"/>
    <w:rsid w:val="00E7485F"/>
    <w:rsid w:val="00E76E45"/>
    <w:rsid w:val="00E777C9"/>
    <w:rsid w:val="00E77E44"/>
    <w:rsid w:val="00E77EE1"/>
    <w:rsid w:val="00E8007A"/>
    <w:rsid w:val="00E801F9"/>
    <w:rsid w:val="00E804EE"/>
    <w:rsid w:val="00E81DA6"/>
    <w:rsid w:val="00E84212"/>
    <w:rsid w:val="00E90406"/>
    <w:rsid w:val="00E9086C"/>
    <w:rsid w:val="00E90AAA"/>
    <w:rsid w:val="00E91A0F"/>
    <w:rsid w:val="00E91FA9"/>
    <w:rsid w:val="00E93585"/>
    <w:rsid w:val="00E944A9"/>
    <w:rsid w:val="00E94A71"/>
    <w:rsid w:val="00E94CBF"/>
    <w:rsid w:val="00E95113"/>
    <w:rsid w:val="00E9529F"/>
    <w:rsid w:val="00E9583D"/>
    <w:rsid w:val="00E95F35"/>
    <w:rsid w:val="00E96A03"/>
    <w:rsid w:val="00E96FFC"/>
    <w:rsid w:val="00E972B9"/>
    <w:rsid w:val="00E97ADF"/>
    <w:rsid w:val="00EA03CE"/>
    <w:rsid w:val="00EA04AF"/>
    <w:rsid w:val="00EA04DB"/>
    <w:rsid w:val="00EA0D0F"/>
    <w:rsid w:val="00EA0F6A"/>
    <w:rsid w:val="00EA1EE7"/>
    <w:rsid w:val="00EA23E5"/>
    <w:rsid w:val="00EA35C7"/>
    <w:rsid w:val="00EA4D36"/>
    <w:rsid w:val="00EA4E2E"/>
    <w:rsid w:val="00EA526F"/>
    <w:rsid w:val="00EB1D8E"/>
    <w:rsid w:val="00EB2417"/>
    <w:rsid w:val="00EB2C25"/>
    <w:rsid w:val="00EB2CCB"/>
    <w:rsid w:val="00EB3865"/>
    <w:rsid w:val="00EB47FC"/>
    <w:rsid w:val="00EB59D8"/>
    <w:rsid w:val="00EB64F1"/>
    <w:rsid w:val="00EB78A3"/>
    <w:rsid w:val="00EB7A25"/>
    <w:rsid w:val="00EC078C"/>
    <w:rsid w:val="00EC0C99"/>
    <w:rsid w:val="00EC0DD8"/>
    <w:rsid w:val="00EC0F3E"/>
    <w:rsid w:val="00EC17F0"/>
    <w:rsid w:val="00EC1D53"/>
    <w:rsid w:val="00EC3805"/>
    <w:rsid w:val="00EC57A7"/>
    <w:rsid w:val="00ED00BE"/>
    <w:rsid w:val="00ED03CF"/>
    <w:rsid w:val="00ED03E0"/>
    <w:rsid w:val="00ED0817"/>
    <w:rsid w:val="00ED126D"/>
    <w:rsid w:val="00ED152A"/>
    <w:rsid w:val="00ED1F23"/>
    <w:rsid w:val="00ED39C8"/>
    <w:rsid w:val="00ED3D77"/>
    <w:rsid w:val="00ED58CD"/>
    <w:rsid w:val="00ED79B7"/>
    <w:rsid w:val="00ED7A91"/>
    <w:rsid w:val="00ED7DD9"/>
    <w:rsid w:val="00ED7E29"/>
    <w:rsid w:val="00EE0271"/>
    <w:rsid w:val="00EE02FF"/>
    <w:rsid w:val="00EE1019"/>
    <w:rsid w:val="00EE1521"/>
    <w:rsid w:val="00EE160D"/>
    <w:rsid w:val="00EE1B6E"/>
    <w:rsid w:val="00EE3E31"/>
    <w:rsid w:val="00EE445B"/>
    <w:rsid w:val="00EE5DAA"/>
    <w:rsid w:val="00EF003C"/>
    <w:rsid w:val="00EF0746"/>
    <w:rsid w:val="00EF2389"/>
    <w:rsid w:val="00EF3113"/>
    <w:rsid w:val="00EF3703"/>
    <w:rsid w:val="00EF3BFA"/>
    <w:rsid w:val="00EF3F74"/>
    <w:rsid w:val="00EF3F84"/>
    <w:rsid w:val="00EF4646"/>
    <w:rsid w:val="00EF5217"/>
    <w:rsid w:val="00EF5A0C"/>
    <w:rsid w:val="00EF6D95"/>
    <w:rsid w:val="00EF6F2F"/>
    <w:rsid w:val="00F00E74"/>
    <w:rsid w:val="00F0160A"/>
    <w:rsid w:val="00F016A5"/>
    <w:rsid w:val="00F02D0F"/>
    <w:rsid w:val="00F03142"/>
    <w:rsid w:val="00F050FA"/>
    <w:rsid w:val="00F05633"/>
    <w:rsid w:val="00F05F6E"/>
    <w:rsid w:val="00F06756"/>
    <w:rsid w:val="00F067C9"/>
    <w:rsid w:val="00F1104B"/>
    <w:rsid w:val="00F13DB9"/>
    <w:rsid w:val="00F150D4"/>
    <w:rsid w:val="00F161F5"/>
    <w:rsid w:val="00F172DD"/>
    <w:rsid w:val="00F176AC"/>
    <w:rsid w:val="00F17A28"/>
    <w:rsid w:val="00F17AAF"/>
    <w:rsid w:val="00F20F0E"/>
    <w:rsid w:val="00F2253B"/>
    <w:rsid w:val="00F23789"/>
    <w:rsid w:val="00F2405E"/>
    <w:rsid w:val="00F24518"/>
    <w:rsid w:val="00F24660"/>
    <w:rsid w:val="00F24C67"/>
    <w:rsid w:val="00F254A4"/>
    <w:rsid w:val="00F25C5D"/>
    <w:rsid w:val="00F26911"/>
    <w:rsid w:val="00F26F28"/>
    <w:rsid w:val="00F272AC"/>
    <w:rsid w:val="00F27714"/>
    <w:rsid w:val="00F27FDC"/>
    <w:rsid w:val="00F3276E"/>
    <w:rsid w:val="00F33D3C"/>
    <w:rsid w:val="00F355B8"/>
    <w:rsid w:val="00F35F84"/>
    <w:rsid w:val="00F37A91"/>
    <w:rsid w:val="00F37D21"/>
    <w:rsid w:val="00F403E4"/>
    <w:rsid w:val="00F408A0"/>
    <w:rsid w:val="00F421EE"/>
    <w:rsid w:val="00F45B8E"/>
    <w:rsid w:val="00F45CF5"/>
    <w:rsid w:val="00F46050"/>
    <w:rsid w:val="00F47DB0"/>
    <w:rsid w:val="00F50975"/>
    <w:rsid w:val="00F50C3F"/>
    <w:rsid w:val="00F50E34"/>
    <w:rsid w:val="00F51AFB"/>
    <w:rsid w:val="00F52392"/>
    <w:rsid w:val="00F52D8D"/>
    <w:rsid w:val="00F53EF7"/>
    <w:rsid w:val="00F543E5"/>
    <w:rsid w:val="00F544EF"/>
    <w:rsid w:val="00F54508"/>
    <w:rsid w:val="00F54569"/>
    <w:rsid w:val="00F5497F"/>
    <w:rsid w:val="00F54BF2"/>
    <w:rsid w:val="00F5598A"/>
    <w:rsid w:val="00F55E4E"/>
    <w:rsid w:val="00F57EA5"/>
    <w:rsid w:val="00F601DC"/>
    <w:rsid w:val="00F60E5F"/>
    <w:rsid w:val="00F6105C"/>
    <w:rsid w:val="00F61FF3"/>
    <w:rsid w:val="00F6202B"/>
    <w:rsid w:val="00F62D84"/>
    <w:rsid w:val="00F63501"/>
    <w:rsid w:val="00F637B1"/>
    <w:rsid w:val="00F638E1"/>
    <w:rsid w:val="00F65129"/>
    <w:rsid w:val="00F65A1E"/>
    <w:rsid w:val="00F66D98"/>
    <w:rsid w:val="00F673F9"/>
    <w:rsid w:val="00F7083B"/>
    <w:rsid w:val="00F7160B"/>
    <w:rsid w:val="00F71706"/>
    <w:rsid w:val="00F71818"/>
    <w:rsid w:val="00F7184F"/>
    <w:rsid w:val="00F72EC2"/>
    <w:rsid w:val="00F764AD"/>
    <w:rsid w:val="00F76BA9"/>
    <w:rsid w:val="00F774F7"/>
    <w:rsid w:val="00F775AC"/>
    <w:rsid w:val="00F80636"/>
    <w:rsid w:val="00F81A33"/>
    <w:rsid w:val="00F81AE0"/>
    <w:rsid w:val="00F8457A"/>
    <w:rsid w:val="00F85DC1"/>
    <w:rsid w:val="00F85F25"/>
    <w:rsid w:val="00F866AB"/>
    <w:rsid w:val="00F866ED"/>
    <w:rsid w:val="00F86AB0"/>
    <w:rsid w:val="00F86F5B"/>
    <w:rsid w:val="00F87569"/>
    <w:rsid w:val="00F8792F"/>
    <w:rsid w:val="00F879D5"/>
    <w:rsid w:val="00F87F55"/>
    <w:rsid w:val="00F903BB"/>
    <w:rsid w:val="00F90CB1"/>
    <w:rsid w:val="00F9214D"/>
    <w:rsid w:val="00F92355"/>
    <w:rsid w:val="00F93035"/>
    <w:rsid w:val="00F931BE"/>
    <w:rsid w:val="00F932AF"/>
    <w:rsid w:val="00F9349F"/>
    <w:rsid w:val="00F93963"/>
    <w:rsid w:val="00F93B2C"/>
    <w:rsid w:val="00F93BA2"/>
    <w:rsid w:val="00F94291"/>
    <w:rsid w:val="00F954CB"/>
    <w:rsid w:val="00F95507"/>
    <w:rsid w:val="00F95F48"/>
    <w:rsid w:val="00F96278"/>
    <w:rsid w:val="00F9779E"/>
    <w:rsid w:val="00F97B29"/>
    <w:rsid w:val="00FA1080"/>
    <w:rsid w:val="00FA187B"/>
    <w:rsid w:val="00FA21E5"/>
    <w:rsid w:val="00FA298A"/>
    <w:rsid w:val="00FA3589"/>
    <w:rsid w:val="00FA4D0F"/>
    <w:rsid w:val="00FA532E"/>
    <w:rsid w:val="00FA5B66"/>
    <w:rsid w:val="00FA5DCC"/>
    <w:rsid w:val="00FA676C"/>
    <w:rsid w:val="00FA71CC"/>
    <w:rsid w:val="00FB0900"/>
    <w:rsid w:val="00FB0B9C"/>
    <w:rsid w:val="00FB2715"/>
    <w:rsid w:val="00FB2EC0"/>
    <w:rsid w:val="00FB30EB"/>
    <w:rsid w:val="00FB32C0"/>
    <w:rsid w:val="00FB411F"/>
    <w:rsid w:val="00FB4E95"/>
    <w:rsid w:val="00FB56C7"/>
    <w:rsid w:val="00FB58D0"/>
    <w:rsid w:val="00FB5A72"/>
    <w:rsid w:val="00FB6306"/>
    <w:rsid w:val="00FB6FB2"/>
    <w:rsid w:val="00FB713A"/>
    <w:rsid w:val="00FB7982"/>
    <w:rsid w:val="00FC0734"/>
    <w:rsid w:val="00FC0E01"/>
    <w:rsid w:val="00FC0FC5"/>
    <w:rsid w:val="00FC29D2"/>
    <w:rsid w:val="00FC2C0A"/>
    <w:rsid w:val="00FC3056"/>
    <w:rsid w:val="00FC326D"/>
    <w:rsid w:val="00FC5000"/>
    <w:rsid w:val="00FC52C6"/>
    <w:rsid w:val="00FC5485"/>
    <w:rsid w:val="00FC5796"/>
    <w:rsid w:val="00FC588F"/>
    <w:rsid w:val="00FC5AB7"/>
    <w:rsid w:val="00FC64ED"/>
    <w:rsid w:val="00FC6879"/>
    <w:rsid w:val="00FC6D09"/>
    <w:rsid w:val="00FD386F"/>
    <w:rsid w:val="00FD43C2"/>
    <w:rsid w:val="00FD57CC"/>
    <w:rsid w:val="00FE013F"/>
    <w:rsid w:val="00FE0263"/>
    <w:rsid w:val="00FE1B30"/>
    <w:rsid w:val="00FE2F7F"/>
    <w:rsid w:val="00FE4260"/>
    <w:rsid w:val="00FE443D"/>
    <w:rsid w:val="00FE743C"/>
    <w:rsid w:val="00FE76E3"/>
    <w:rsid w:val="00FE7B44"/>
    <w:rsid w:val="00FF0AD0"/>
    <w:rsid w:val="00FF2C8B"/>
    <w:rsid w:val="00FF31AB"/>
    <w:rsid w:val="00FF3502"/>
    <w:rsid w:val="00FF36D2"/>
    <w:rsid w:val="00FF3E77"/>
    <w:rsid w:val="00FF68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0D148E"/>
  <w15:docId w15:val="{58F982E2-AAB0-41BC-B479-8B0BBB0A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uiPriority w:val="9"/>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uiPriority w:val="99"/>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ActHead5Char">
    <w:name w:val="ActHead 5 Char"/>
    <w:aliases w:val="s Char"/>
    <w:link w:val="ActHead5"/>
    <w:locked/>
    <w:rsid w:val="00A93C23"/>
    <w:rPr>
      <w:b/>
      <w:kern w:val="28"/>
      <w:sz w:val="24"/>
    </w:rPr>
  </w:style>
  <w:style w:type="paragraph" w:customStyle="1" w:styleId="subsection">
    <w:name w:val="subsection"/>
    <w:aliases w:val="ss,Subsection"/>
    <w:basedOn w:val="Normal"/>
    <w:link w:val="subsectionChar"/>
    <w:rsid w:val="00A93C23"/>
    <w:pPr>
      <w:tabs>
        <w:tab w:val="right" w:pos="1021"/>
      </w:tabs>
      <w:spacing w:before="180" w:line="240" w:lineRule="auto"/>
      <w:ind w:left="1134" w:hanging="1134"/>
      <w:jc w:val="left"/>
    </w:pPr>
    <w:rPr>
      <w:rFonts w:eastAsia="Times New Roman"/>
      <w:sz w:val="22"/>
      <w:lang w:eastAsia="en-AU"/>
    </w:rPr>
  </w:style>
  <w:style w:type="paragraph" w:customStyle="1" w:styleId="ActHead5">
    <w:name w:val="ActHead 5"/>
    <w:aliases w:val="s"/>
    <w:basedOn w:val="Normal"/>
    <w:next w:val="subsection"/>
    <w:link w:val="ActHead5Char"/>
    <w:qFormat/>
    <w:rsid w:val="00A93C23"/>
    <w:pPr>
      <w:keepNext/>
      <w:keepLines/>
      <w:spacing w:before="280" w:line="240" w:lineRule="auto"/>
      <w:ind w:left="1134" w:hanging="1134"/>
      <w:jc w:val="left"/>
      <w:outlineLvl w:val="4"/>
    </w:pPr>
    <w:rPr>
      <w:b/>
      <w:kern w:val="28"/>
      <w:lang w:eastAsia="en-AU"/>
    </w:rPr>
  </w:style>
  <w:style w:type="character" w:customStyle="1" w:styleId="subsectionChar">
    <w:name w:val="subsection Char"/>
    <w:aliases w:val="ss Char"/>
    <w:basedOn w:val="DefaultParagraphFont"/>
    <w:link w:val="subsection"/>
    <w:locked/>
    <w:rsid w:val="00A93C23"/>
    <w:rPr>
      <w:rFonts w:eastAsia="Times New Roman"/>
      <w:sz w:val="22"/>
    </w:rPr>
  </w:style>
  <w:style w:type="character" w:customStyle="1" w:styleId="paragraphChar">
    <w:name w:val="paragraph Char"/>
    <w:aliases w:val="a Char"/>
    <w:link w:val="paragraph"/>
    <w:locked/>
    <w:rsid w:val="00A93C23"/>
    <w:rPr>
      <w:sz w:val="22"/>
    </w:rPr>
  </w:style>
  <w:style w:type="paragraph" w:customStyle="1" w:styleId="paragraph">
    <w:name w:val="paragraph"/>
    <w:aliases w:val="a"/>
    <w:basedOn w:val="Normal"/>
    <w:link w:val="paragraphChar"/>
    <w:rsid w:val="00A93C23"/>
    <w:pPr>
      <w:tabs>
        <w:tab w:val="right" w:pos="1531"/>
      </w:tabs>
      <w:spacing w:before="40" w:line="240" w:lineRule="auto"/>
      <w:ind w:left="1644" w:hanging="1644"/>
      <w:jc w:val="left"/>
    </w:pPr>
    <w:rPr>
      <w:sz w:val="22"/>
      <w:lang w:eastAsia="en-AU"/>
    </w:rPr>
  </w:style>
  <w:style w:type="paragraph" w:customStyle="1" w:styleId="Definition">
    <w:name w:val="Definition"/>
    <w:aliases w:val="dd"/>
    <w:basedOn w:val="Normal"/>
    <w:rsid w:val="00234D7D"/>
    <w:pPr>
      <w:spacing w:before="180" w:line="240" w:lineRule="auto"/>
      <w:ind w:left="1134"/>
      <w:jc w:val="left"/>
    </w:pPr>
    <w:rPr>
      <w:rFonts w:eastAsia="Times New Roman"/>
      <w:sz w:val="22"/>
      <w:lang w:eastAsia="en-AU"/>
    </w:rPr>
  </w:style>
  <w:style w:type="character" w:customStyle="1" w:styleId="CharSectno">
    <w:name w:val="CharSectno"/>
    <w:basedOn w:val="DefaultParagraphFont"/>
    <w:qFormat/>
    <w:rsid w:val="00234D7D"/>
  </w:style>
  <w:style w:type="paragraph" w:customStyle="1" w:styleId="notetext">
    <w:name w:val="note(text)"/>
    <w:aliases w:val="n"/>
    <w:basedOn w:val="Normal"/>
    <w:rsid w:val="00234D7D"/>
    <w:pPr>
      <w:spacing w:before="122" w:line="240" w:lineRule="auto"/>
      <w:ind w:left="1985" w:hanging="851"/>
      <w:jc w:val="left"/>
    </w:pPr>
    <w:rPr>
      <w:rFonts w:eastAsia="Times New Roman"/>
      <w:sz w:val="18"/>
      <w:lang w:eastAsia="en-AU"/>
    </w:rPr>
  </w:style>
  <w:style w:type="paragraph" w:customStyle="1" w:styleId="paragraphsub">
    <w:name w:val="paragraph(sub)"/>
    <w:aliases w:val="aa"/>
    <w:basedOn w:val="Normal"/>
    <w:rsid w:val="00C9585A"/>
    <w:pPr>
      <w:tabs>
        <w:tab w:val="right" w:pos="1985"/>
      </w:tabs>
      <w:spacing w:before="40" w:line="240" w:lineRule="auto"/>
      <w:ind w:left="2098" w:hanging="2098"/>
      <w:jc w:val="left"/>
    </w:pPr>
    <w:rPr>
      <w:rFonts w:eastAsia="Times New Roman"/>
      <w:sz w:val="22"/>
      <w:lang w:eastAsia="en-AU"/>
    </w:rPr>
  </w:style>
  <w:style w:type="character" w:customStyle="1" w:styleId="subsection2Char">
    <w:name w:val="subsection2 Char"/>
    <w:aliases w:val="ss2 Char"/>
    <w:link w:val="subsection2"/>
    <w:locked/>
    <w:rsid w:val="00C9585A"/>
    <w:rPr>
      <w:sz w:val="22"/>
    </w:rPr>
  </w:style>
  <w:style w:type="paragraph" w:customStyle="1" w:styleId="subsection2">
    <w:name w:val="subsection2"/>
    <w:aliases w:val="ss2"/>
    <w:basedOn w:val="Normal"/>
    <w:next w:val="subsection"/>
    <w:link w:val="subsection2Char"/>
    <w:rsid w:val="00C9585A"/>
    <w:pPr>
      <w:spacing w:before="40" w:line="240" w:lineRule="auto"/>
      <w:ind w:left="1134"/>
      <w:jc w:val="left"/>
    </w:pPr>
    <w:rPr>
      <w:sz w:val="22"/>
      <w:lang w:eastAsia="en-AU"/>
    </w:rPr>
  </w:style>
  <w:style w:type="paragraph" w:customStyle="1" w:styleId="SubsectionHead">
    <w:name w:val="SubsectionHead"/>
    <w:aliases w:val="ssh"/>
    <w:basedOn w:val="Normal"/>
    <w:next w:val="subsection"/>
    <w:rsid w:val="00C9585A"/>
    <w:pPr>
      <w:keepNext/>
      <w:keepLines/>
      <w:spacing w:before="240" w:line="240" w:lineRule="auto"/>
      <w:ind w:left="1134"/>
      <w:jc w:val="left"/>
    </w:pPr>
    <w:rPr>
      <w:rFonts w:eastAsia="Times New Roman"/>
      <w:i/>
      <w:sz w:val="22"/>
      <w:lang w:eastAsia="en-AU"/>
    </w:rPr>
  </w:style>
  <w:style w:type="character" w:customStyle="1" w:styleId="Heading2Char">
    <w:name w:val="Heading 2 Char"/>
    <w:basedOn w:val="DefaultParagraphFont"/>
    <w:link w:val="Heading2"/>
    <w:uiPriority w:val="9"/>
    <w:rsid w:val="00FF36D2"/>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1547">
      <w:bodyDiv w:val="1"/>
      <w:marLeft w:val="0"/>
      <w:marRight w:val="0"/>
      <w:marTop w:val="0"/>
      <w:marBottom w:val="0"/>
      <w:divBdr>
        <w:top w:val="none" w:sz="0" w:space="0" w:color="auto"/>
        <w:left w:val="none" w:sz="0" w:space="0" w:color="auto"/>
        <w:bottom w:val="none" w:sz="0" w:space="0" w:color="auto"/>
        <w:right w:val="none" w:sz="0" w:space="0" w:color="auto"/>
      </w:divBdr>
    </w:div>
    <w:div w:id="36705491">
      <w:bodyDiv w:val="1"/>
      <w:marLeft w:val="0"/>
      <w:marRight w:val="0"/>
      <w:marTop w:val="0"/>
      <w:marBottom w:val="0"/>
      <w:divBdr>
        <w:top w:val="none" w:sz="0" w:space="0" w:color="auto"/>
        <w:left w:val="none" w:sz="0" w:space="0" w:color="auto"/>
        <w:bottom w:val="none" w:sz="0" w:space="0" w:color="auto"/>
        <w:right w:val="none" w:sz="0" w:space="0" w:color="auto"/>
      </w:divBdr>
    </w:div>
    <w:div w:id="41636430">
      <w:bodyDiv w:val="1"/>
      <w:marLeft w:val="0"/>
      <w:marRight w:val="0"/>
      <w:marTop w:val="0"/>
      <w:marBottom w:val="0"/>
      <w:divBdr>
        <w:top w:val="none" w:sz="0" w:space="0" w:color="auto"/>
        <w:left w:val="none" w:sz="0" w:space="0" w:color="auto"/>
        <w:bottom w:val="none" w:sz="0" w:space="0" w:color="auto"/>
        <w:right w:val="none" w:sz="0" w:space="0" w:color="auto"/>
      </w:divBdr>
    </w:div>
    <w:div w:id="75979380">
      <w:bodyDiv w:val="1"/>
      <w:marLeft w:val="0"/>
      <w:marRight w:val="0"/>
      <w:marTop w:val="0"/>
      <w:marBottom w:val="0"/>
      <w:divBdr>
        <w:top w:val="none" w:sz="0" w:space="0" w:color="auto"/>
        <w:left w:val="none" w:sz="0" w:space="0" w:color="auto"/>
        <w:bottom w:val="none" w:sz="0" w:space="0" w:color="auto"/>
        <w:right w:val="none" w:sz="0" w:space="0" w:color="auto"/>
      </w:divBdr>
    </w:div>
    <w:div w:id="373116668">
      <w:bodyDiv w:val="1"/>
      <w:marLeft w:val="0"/>
      <w:marRight w:val="0"/>
      <w:marTop w:val="0"/>
      <w:marBottom w:val="0"/>
      <w:divBdr>
        <w:top w:val="none" w:sz="0" w:space="0" w:color="auto"/>
        <w:left w:val="none" w:sz="0" w:space="0" w:color="auto"/>
        <w:bottom w:val="none" w:sz="0" w:space="0" w:color="auto"/>
        <w:right w:val="none" w:sz="0" w:space="0" w:color="auto"/>
      </w:divBdr>
    </w:div>
    <w:div w:id="383483517">
      <w:bodyDiv w:val="1"/>
      <w:marLeft w:val="0"/>
      <w:marRight w:val="0"/>
      <w:marTop w:val="0"/>
      <w:marBottom w:val="0"/>
      <w:divBdr>
        <w:top w:val="none" w:sz="0" w:space="0" w:color="auto"/>
        <w:left w:val="none" w:sz="0" w:space="0" w:color="auto"/>
        <w:bottom w:val="none" w:sz="0" w:space="0" w:color="auto"/>
        <w:right w:val="none" w:sz="0" w:space="0" w:color="auto"/>
      </w:divBdr>
    </w:div>
    <w:div w:id="788625243">
      <w:bodyDiv w:val="1"/>
      <w:marLeft w:val="0"/>
      <w:marRight w:val="0"/>
      <w:marTop w:val="0"/>
      <w:marBottom w:val="0"/>
      <w:divBdr>
        <w:top w:val="none" w:sz="0" w:space="0" w:color="auto"/>
        <w:left w:val="none" w:sz="0" w:space="0" w:color="auto"/>
        <w:bottom w:val="none" w:sz="0" w:space="0" w:color="auto"/>
        <w:right w:val="none" w:sz="0" w:space="0" w:color="auto"/>
      </w:divBdr>
    </w:div>
    <w:div w:id="1153370956">
      <w:bodyDiv w:val="1"/>
      <w:marLeft w:val="0"/>
      <w:marRight w:val="0"/>
      <w:marTop w:val="0"/>
      <w:marBottom w:val="0"/>
      <w:divBdr>
        <w:top w:val="none" w:sz="0" w:space="0" w:color="auto"/>
        <w:left w:val="none" w:sz="0" w:space="0" w:color="auto"/>
        <w:bottom w:val="none" w:sz="0" w:space="0" w:color="auto"/>
        <w:right w:val="none" w:sz="0" w:space="0" w:color="auto"/>
      </w:divBdr>
    </w:div>
    <w:div w:id="1816868953">
      <w:bodyDiv w:val="1"/>
      <w:marLeft w:val="0"/>
      <w:marRight w:val="0"/>
      <w:marTop w:val="0"/>
      <w:marBottom w:val="0"/>
      <w:divBdr>
        <w:top w:val="none" w:sz="0" w:space="0" w:color="auto"/>
        <w:left w:val="none" w:sz="0" w:space="0" w:color="auto"/>
        <w:bottom w:val="none" w:sz="0" w:space="0" w:color="auto"/>
        <w:right w:val="none" w:sz="0" w:space="0" w:color="auto"/>
      </w:divBdr>
    </w:div>
    <w:div w:id="1885410389">
      <w:bodyDiv w:val="1"/>
      <w:marLeft w:val="0"/>
      <w:marRight w:val="0"/>
      <w:marTop w:val="0"/>
      <w:marBottom w:val="0"/>
      <w:divBdr>
        <w:top w:val="none" w:sz="0" w:space="0" w:color="auto"/>
        <w:left w:val="none" w:sz="0" w:space="0" w:color="auto"/>
        <w:bottom w:val="none" w:sz="0" w:space="0" w:color="auto"/>
        <w:right w:val="none" w:sz="0" w:space="0" w:color="auto"/>
      </w:divBdr>
    </w:div>
    <w:div w:id="1922565139">
      <w:bodyDiv w:val="1"/>
      <w:marLeft w:val="0"/>
      <w:marRight w:val="0"/>
      <w:marTop w:val="0"/>
      <w:marBottom w:val="0"/>
      <w:divBdr>
        <w:top w:val="none" w:sz="0" w:space="0" w:color="auto"/>
        <w:left w:val="none" w:sz="0" w:space="0" w:color="auto"/>
        <w:bottom w:val="none" w:sz="0" w:space="0" w:color="auto"/>
        <w:right w:val="none" w:sz="0" w:space="0" w:color="auto"/>
      </w:divBdr>
    </w:div>
    <w:div w:id="194294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5715D221924E07811C517AB01300DC"/>
        <w:category>
          <w:name w:val="General"/>
          <w:gallery w:val="placeholder"/>
        </w:category>
        <w:types>
          <w:type w:val="bbPlcHdr"/>
        </w:types>
        <w:behaviors>
          <w:behavior w:val="content"/>
        </w:behaviors>
        <w:guid w:val="{BECC3A08-D005-4D44-A640-2BEC565E9381}"/>
      </w:docPartPr>
      <w:docPartBody>
        <w:p w:rsidR="00047FBE" w:rsidRDefault="00CC428E">
          <w:pPr>
            <w:pStyle w:val="D75715D221924E07811C517AB01300DC"/>
          </w:pPr>
          <w:r>
            <w:rPr>
              <w:rStyle w:val="PlaceholderText"/>
            </w:rPr>
            <w:t>MNC Text</w:t>
          </w:r>
        </w:p>
      </w:docPartBody>
    </w:docPart>
    <w:docPart>
      <w:docPartPr>
        <w:name w:val="8D277B31290C4A18A870EB7177510CF4"/>
        <w:category>
          <w:name w:val="General"/>
          <w:gallery w:val="placeholder"/>
        </w:category>
        <w:types>
          <w:type w:val="bbPlcHdr"/>
        </w:types>
        <w:behaviors>
          <w:behavior w:val="content"/>
        </w:behaviors>
        <w:guid w:val="{3264604A-761F-4984-9874-C75F6A48095E}"/>
      </w:docPartPr>
      <w:docPartBody>
        <w:p w:rsidR="00047FBE" w:rsidRDefault="00CC428E">
          <w:pPr>
            <w:pStyle w:val="8D277B31290C4A18A870EB7177510CF4"/>
          </w:pPr>
          <w:r w:rsidRPr="005C44BE">
            <w:rPr>
              <w:rStyle w:val="PlaceholderText"/>
            </w:rPr>
            <w:t>Click or tap here to enter text.</w:t>
          </w:r>
        </w:p>
      </w:docPartBody>
    </w:docPart>
    <w:docPart>
      <w:docPartPr>
        <w:name w:val="AC8464BD37664BD3A4606F3EC9A072B7"/>
        <w:category>
          <w:name w:val="General"/>
          <w:gallery w:val="placeholder"/>
        </w:category>
        <w:types>
          <w:type w:val="bbPlcHdr"/>
        </w:types>
        <w:behaviors>
          <w:behavior w:val="content"/>
        </w:behaviors>
        <w:guid w:val="{1EA233D9-A7CA-4A23-94B9-39CC2DC1FBD3}"/>
      </w:docPartPr>
      <w:docPartBody>
        <w:p w:rsidR="00047FBE" w:rsidRDefault="00CC428E">
          <w:pPr>
            <w:pStyle w:val="AC8464BD37664BD3A4606F3EC9A072B7"/>
          </w:pPr>
          <w:r w:rsidRPr="005C44BE">
            <w:rPr>
              <w:rStyle w:val="PlaceholderText"/>
            </w:rPr>
            <w:t>Click or tap here to enter text.</w:t>
          </w:r>
        </w:p>
      </w:docPartBody>
    </w:docPart>
    <w:docPart>
      <w:docPartPr>
        <w:name w:val="533F41341B754AB1B0AD224978B4AE19"/>
        <w:category>
          <w:name w:val="General"/>
          <w:gallery w:val="placeholder"/>
        </w:category>
        <w:types>
          <w:type w:val="bbPlcHdr"/>
        </w:types>
        <w:behaviors>
          <w:behavior w:val="content"/>
        </w:behaviors>
        <w:guid w:val="{711C0DDD-983C-4D0D-84ED-2F2794EFF6F4}"/>
      </w:docPartPr>
      <w:docPartBody>
        <w:p w:rsidR="00047FBE" w:rsidRDefault="00CC428E">
          <w:pPr>
            <w:pStyle w:val="533F41341B754AB1B0AD224978B4AE19"/>
          </w:pPr>
          <w:r w:rsidRPr="005C44BE">
            <w:rPr>
              <w:rStyle w:val="PlaceholderText"/>
            </w:rPr>
            <w:t>Click or tap here to enter text.</w:t>
          </w:r>
        </w:p>
      </w:docPartBody>
    </w:docPart>
    <w:docPart>
      <w:docPartPr>
        <w:name w:val="0F1C56B172BA49FA986CF3ABF53443DE"/>
        <w:category>
          <w:name w:val="General"/>
          <w:gallery w:val="placeholder"/>
        </w:category>
        <w:types>
          <w:type w:val="bbPlcHdr"/>
        </w:types>
        <w:behaviors>
          <w:behavior w:val="content"/>
        </w:behaviors>
        <w:guid w:val="{6428E965-5256-4895-B066-47FC6E7BBB18}"/>
      </w:docPartPr>
      <w:docPartBody>
        <w:p w:rsidR="00047FBE" w:rsidRDefault="00CC428E">
          <w:pPr>
            <w:pStyle w:val="0F1C56B172BA49FA986CF3ABF53443DE"/>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8E"/>
    <w:rsid w:val="00002060"/>
    <w:rsid w:val="00047FBE"/>
    <w:rsid w:val="001006F9"/>
    <w:rsid w:val="00131FAB"/>
    <w:rsid w:val="00167D7E"/>
    <w:rsid w:val="0017352D"/>
    <w:rsid w:val="002B056B"/>
    <w:rsid w:val="002E5CB7"/>
    <w:rsid w:val="00370C33"/>
    <w:rsid w:val="003B4710"/>
    <w:rsid w:val="004C3102"/>
    <w:rsid w:val="005863C1"/>
    <w:rsid w:val="005A1280"/>
    <w:rsid w:val="006168F1"/>
    <w:rsid w:val="00685188"/>
    <w:rsid w:val="006D6838"/>
    <w:rsid w:val="007D723A"/>
    <w:rsid w:val="00801410"/>
    <w:rsid w:val="00855862"/>
    <w:rsid w:val="00855BDF"/>
    <w:rsid w:val="00880108"/>
    <w:rsid w:val="00913CC6"/>
    <w:rsid w:val="009C127F"/>
    <w:rsid w:val="00A41861"/>
    <w:rsid w:val="00A52DED"/>
    <w:rsid w:val="00A85B9C"/>
    <w:rsid w:val="00A9427D"/>
    <w:rsid w:val="00AA2335"/>
    <w:rsid w:val="00AA75D7"/>
    <w:rsid w:val="00B37104"/>
    <w:rsid w:val="00B931C2"/>
    <w:rsid w:val="00C40DFD"/>
    <w:rsid w:val="00C97600"/>
    <w:rsid w:val="00CC428E"/>
    <w:rsid w:val="00CF317C"/>
    <w:rsid w:val="00D90B43"/>
    <w:rsid w:val="00DA651C"/>
    <w:rsid w:val="00E0775B"/>
    <w:rsid w:val="00E13417"/>
    <w:rsid w:val="00E22CD8"/>
    <w:rsid w:val="00E82359"/>
    <w:rsid w:val="00E857A4"/>
    <w:rsid w:val="00EC1E83"/>
    <w:rsid w:val="00F323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75715D221924E07811C517AB01300DC">
    <w:name w:val="D75715D221924E07811C517AB01300DC"/>
  </w:style>
  <w:style w:type="paragraph" w:customStyle="1" w:styleId="8D277B31290C4A18A870EB7177510CF4">
    <w:name w:val="8D277B31290C4A18A870EB7177510CF4"/>
  </w:style>
  <w:style w:type="paragraph" w:customStyle="1" w:styleId="AC8464BD37664BD3A4606F3EC9A072B7">
    <w:name w:val="AC8464BD37664BD3A4606F3EC9A072B7"/>
  </w:style>
  <w:style w:type="paragraph" w:customStyle="1" w:styleId="533F41341B754AB1B0AD224978B4AE19">
    <w:name w:val="533F41341B754AB1B0AD224978B4AE19"/>
  </w:style>
  <w:style w:type="paragraph" w:customStyle="1" w:styleId="0F1C56B172BA49FA986CF3ABF53443DE">
    <w:name w:val="0F1C56B172BA49FA986CF3ABF5344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Commissioner of Patents v Thaler [2022] FCAFC 62</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BDFFF21D-DA78-4574-8F2D-10FD56345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4</TotalTime>
  <Pages>37</Pages>
  <Words>15046</Words>
  <Characters>75002</Characters>
  <Application>Microsoft Office Word</Application>
  <DocSecurity>0</DocSecurity>
  <Lines>1315</Lines>
  <Paragraphs>466</Paragraphs>
  <ScaleCrop>false</ScaleCrop>
  <HeadingPairs>
    <vt:vector size="2" baseType="variant">
      <vt:variant>
        <vt:lpstr>Title</vt:lpstr>
      </vt:variant>
      <vt:variant>
        <vt:i4>1</vt:i4>
      </vt:variant>
    </vt:vector>
  </HeadingPairs>
  <TitlesOfParts>
    <vt:vector size="1" baseType="lpstr">
      <vt:lpstr>Commissioner of Patents v Thaler [2022] FCAFC 62</vt:lpstr>
    </vt:vector>
  </TitlesOfParts>
  <Company>Federal Court of Australia</Company>
  <LinksUpToDate>false</LinksUpToDate>
  <CharactersWithSpaces>89582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of Patents v Thaler [2022] FCAFC 62</dc:title>
  <dc:subject/>
  <dc:creator>Federal Court of Australia</dc:creator>
  <cp:keywords/>
  <dc:description/>
  <cp:lastModifiedBy>Federal Court of Australia</cp:lastModifiedBy>
  <cp:revision>3</cp:revision>
  <cp:lastPrinted>2022-04-13T03:29:00Z</cp:lastPrinted>
  <dcterms:created xsi:type="dcterms:W3CDTF">2022-04-13T04:32:00Z</dcterms:created>
  <dcterms:modified xsi:type="dcterms:W3CDTF">2022-04-13T04:37:00Z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Intellectual Property</vt:lpwstr>
  </property>
  <property fmtid="{D5CDD505-2E9C-101B-9397-08002B2CF9AE}" pid="16" name="Court">
    <vt:lpwstr>Federal Court of Australia</vt:lpwstr>
  </property>
  <property fmtid="{D5CDD505-2E9C-101B-9397-08002B2CF9AE}" pid="17" name="Sub Area">
    <vt:lpwstr>Patents and associated Statutes</vt:lpwstr>
  </property>
  <property fmtid="{D5CDD505-2E9C-101B-9397-08002B2CF9AE}" pid="18" name="AppealFrom">
    <vt:lpwstr>Thaler v Commissioner of Patents [2021] FCA 879</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