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4215E1">
      <w:pPr>
        <w:pStyle w:val="MediaNeutralStyle"/>
      </w:pPr>
      <w:bookmarkStart w:id="0" w:name="MNC"/>
      <w:r>
        <w:t xml:space="preserve">DAO16 v Minister for Immigration and Border Protection [2018] FCAFC </w:t>
      </w:r>
      <w:r w:rsidR="00424054">
        <w:t>2</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EB1414">
        <w:tc>
          <w:tcPr>
            <w:tcW w:w="3085" w:type="dxa"/>
            <w:shd w:val="clear" w:color="auto" w:fill="auto"/>
          </w:tcPr>
          <w:p w:rsidR="00395B24" w:rsidRDefault="002C7385" w:rsidP="002539B3">
            <w:pPr>
              <w:pStyle w:val="Normal1linespace"/>
              <w:widowControl w:val="0"/>
              <w:spacing w:after="60"/>
              <w:jc w:val="left"/>
            </w:pPr>
            <w:r>
              <w:t>Appeal from:</w:t>
            </w:r>
          </w:p>
        </w:tc>
        <w:tc>
          <w:tcPr>
            <w:tcW w:w="5989" w:type="dxa"/>
            <w:shd w:val="clear" w:color="auto" w:fill="auto"/>
          </w:tcPr>
          <w:p w:rsidR="00395B24" w:rsidRDefault="004215E1" w:rsidP="00A314DA">
            <w:pPr>
              <w:pStyle w:val="CasesLegislationAppealFrom"/>
              <w:spacing w:after="60"/>
            </w:pPr>
            <w:bookmarkStart w:id="1" w:name="AppealFrom"/>
            <w:r w:rsidRPr="00A314DA">
              <w:rPr>
                <w:i/>
              </w:rPr>
              <w:t>DAO16 v Minister for Immigration and Border Protection</w:t>
            </w:r>
            <w:r w:rsidR="00032117">
              <w:t xml:space="preserve"> [2017</w:t>
            </w:r>
            <w:r>
              <w:t>] FCCA 616</w:t>
            </w:r>
            <w:r w:rsidR="009264B3">
              <w:t xml:space="preserve"> </w:t>
            </w:r>
            <w:bookmarkEnd w:id="1"/>
          </w:p>
        </w:tc>
      </w:tr>
      <w:tr w:rsidR="00395B24" w:rsidTr="00EB1414">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B1414">
        <w:tc>
          <w:tcPr>
            <w:tcW w:w="3085" w:type="dxa"/>
            <w:shd w:val="clear" w:color="auto" w:fill="auto"/>
          </w:tcPr>
          <w:p w:rsidR="00395B24" w:rsidRDefault="002C7385" w:rsidP="00663878">
            <w:pPr>
              <w:pStyle w:val="Normal1linespace"/>
              <w:widowControl w:val="0"/>
              <w:jc w:val="left"/>
            </w:pPr>
            <w:r>
              <w:t>File number(s):</w:t>
            </w:r>
          </w:p>
        </w:tc>
        <w:tc>
          <w:tcPr>
            <w:tcW w:w="5989" w:type="dxa"/>
            <w:shd w:val="clear" w:color="auto" w:fill="auto"/>
          </w:tcPr>
          <w:p w:rsidR="00395B24" w:rsidRPr="00E636DC" w:rsidRDefault="004A6DE3" w:rsidP="000D5996">
            <w:pPr>
              <w:pStyle w:val="Normal1linespace"/>
              <w:jc w:val="left"/>
            </w:pPr>
            <w:fldSimple w:instr=" REF  FileNo  \* MERGEFORMAT " w:fldLock="1">
              <w:r w:rsidR="00E636DC" w:rsidRPr="00E636DC">
                <w:t>NSD</w:t>
              </w:r>
              <w:r w:rsidR="004215E1">
                <w:t xml:space="preserve"> </w:t>
              </w:r>
              <w:r w:rsidR="00E636DC" w:rsidRPr="00E636DC">
                <w:t>584</w:t>
              </w:r>
              <w:r w:rsidR="000D5996" w:rsidDel="000D5996">
                <w:t xml:space="preserve"> </w:t>
              </w:r>
              <w:r w:rsidR="004215E1">
                <w:t xml:space="preserve">of </w:t>
              </w:r>
              <w:r w:rsidR="00E636DC" w:rsidRPr="00E636DC">
                <w:t>2017</w:t>
              </w:r>
            </w:fldSimple>
          </w:p>
        </w:tc>
      </w:tr>
      <w:tr w:rsidR="00395B24" w:rsidTr="00EB1414">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B1414">
        <w:tc>
          <w:tcPr>
            <w:tcW w:w="3085" w:type="dxa"/>
            <w:shd w:val="clear" w:color="auto" w:fill="auto"/>
          </w:tcPr>
          <w:p w:rsidR="00395B24" w:rsidRDefault="002C7385" w:rsidP="00663878">
            <w:pPr>
              <w:pStyle w:val="Normal1linespace"/>
              <w:widowControl w:val="0"/>
              <w:jc w:val="left"/>
            </w:pPr>
            <w:r>
              <w:t>Judge(s):</w:t>
            </w:r>
          </w:p>
        </w:tc>
        <w:tc>
          <w:tcPr>
            <w:tcW w:w="5989" w:type="dxa"/>
            <w:shd w:val="clear" w:color="auto" w:fill="auto"/>
          </w:tcPr>
          <w:p w:rsidR="00395B24" w:rsidRDefault="002C7385" w:rsidP="00663878">
            <w:pPr>
              <w:pStyle w:val="Normal1linespace"/>
              <w:widowControl w:val="0"/>
              <w:jc w:val="left"/>
              <w:rPr>
                <w:b/>
              </w:rPr>
            </w:pPr>
            <w:r w:rsidRPr="00E636DC">
              <w:rPr>
                <w:b/>
              </w:rPr>
              <w:fldChar w:fldCharType="begin" w:fldLock="1"/>
            </w:r>
            <w:r w:rsidRPr="00E636DC">
              <w:rPr>
                <w:b/>
              </w:rPr>
              <w:instrText xml:space="preserve"> REF  Judge  \* MERGEFORMAT </w:instrText>
            </w:r>
            <w:r w:rsidRPr="00E636DC">
              <w:rPr>
                <w:b/>
              </w:rPr>
              <w:fldChar w:fldCharType="separate"/>
            </w:r>
            <w:r w:rsidR="00E636DC" w:rsidRPr="00E636DC">
              <w:rPr>
                <w:b/>
                <w:caps/>
                <w:szCs w:val="24"/>
              </w:rPr>
              <w:t>KENNY, KERR AND PERRY JJ</w:t>
            </w:r>
            <w:r w:rsidRPr="00E636DC">
              <w:rPr>
                <w:b/>
              </w:rPr>
              <w:fldChar w:fldCharType="end"/>
            </w:r>
          </w:p>
        </w:tc>
      </w:tr>
      <w:tr w:rsidR="00395B24" w:rsidTr="00EB1414">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B1414">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DE4CC4" w:rsidP="00613EBD">
            <w:pPr>
              <w:pStyle w:val="Normal1linespace"/>
              <w:widowControl w:val="0"/>
              <w:jc w:val="left"/>
            </w:pPr>
            <w:bookmarkStart w:id="2" w:name="JudgmentDate"/>
            <w:r>
              <w:t>15</w:t>
            </w:r>
            <w:r w:rsidR="004215E1">
              <w:t xml:space="preserve"> January 2018</w:t>
            </w:r>
            <w:bookmarkEnd w:id="2"/>
          </w:p>
        </w:tc>
      </w:tr>
      <w:tr w:rsidR="00395B24" w:rsidTr="00EB1414">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B1414">
        <w:tc>
          <w:tcPr>
            <w:tcW w:w="3085"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380A07" w:rsidP="002C79C0">
            <w:pPr>
              <w:pStyle w:val="Normal1linespace"/>
              <w:widowControl w:val="0"/>
              <w:jc w:val="left"/>
            </w:pPr>
            <w:bookmarkStart w:id="3" w:name="Catchwords"/>
            <w:r>
              <w:rPr>
                <w:b/>
              </w:rPr>
              <w:t xml:space="preserve">MIGRATION – </w:t>
            </w:r>
            <w:r w:rsidR="004F66DB">
              <w:t xml:space="preserve"> appeal from </w:t>
            </w:r>
            <w:r w:rsidR="007833AB">
              <w:t xml:space="preserve">decision of </w:t>
            </w:r>
            <w:r w:rsidR="004F66DB">
              <w:t xml:space="preserve">the </w:t>
            </w:r>
            <w:r w:rsidR="004215E1">
              <w:t xml:space="preserve">Federal Circuit Court </w:t>
            </w:r>
            <w:r w:rsidR="00420F12">
              <w:t>dismiss</w:t>
            </w:r>
            <w:r w:rsidR="00D34B2D">
              <w:t>ing</w:t>
            </w:r>
            <w:r w:rsidR="00420F12">
              <w:t xml:space="preserve"> the appellant’s application for judicial review of a decision of the Administrative Appeals Tribunal</w:t>
            </w:r>
            <w:r>
              <w:t xml:space="preserve"> affirm</w:t>
            </w:r>
            <w:r w:rsidR="00D34B2D">
              <w:t>ing</w:t>
            </w:r>
            <w:r>
              <w:t xml:space="preserve"> a decision by the</w:t>
            </w:r>
            <w:r w:rsidR="00133718">
              <w:t xml:space="preserve"> Minister’s</w:t>
            </w:r>
            <w:r>
              <w:t xml:space="preserve"> delegate not to grant the appellant a Protection (Class XA) visa </w:t>
            </w:r>
            <w:r w:rsidR="00420F12">
              <w:t>–</w:t>
            </w:r>
            <w:r w:rsidR="009D17E2">
              <w:t xml:space="preserve"> </w:t>
            </w:r>
            <w:r w:rsidR="0054749B">
              <w:t xml:space="preserve">where appellant claimed to fear </w:t>
            </w:r>
            <w:r w:rsidR="002C79C0">
              <w:t>significant</w:t>
            </w:r>
            <w:r w:rsidR="0054749B">
              <w:t xml:space="preserve"> harm</w:t>
            </w:r>
            <w:r w:rsidR="002C79C0">
              <w:t xml:space="preserve"> if returned to his country of nationality</w:t>
            </w:r>
            <w:r w:rsidR="0054749B">
              <w:t xml:space="preserve"> by reason of his homosexuality - </w:t>
            </w:r>
            <w:r w:rsidR="00420F12">
              <w:t xml:space="preserve">where Tribunal dismissed </w:t>
            </w:r>
            <w:r w:rsidR="00133718">
              <w:t xml:space="preserve">as false </w:t>
            </w:r>
            <w:r w:rsidR="00420F12">
              <w:t xml:space="preserve">the evidence of </w:t>
            </w:r>
            <w:r w:rsidR="007833AB">
              <w:t>16</w:t>
            </w:r>
            <w:r w:rsidR="00420F12">
              <w:t xml:space="preserve"> witnesses </w:t>
            </w:r>
            <w:r w:rsidR="003546DB">
              <w:t>on which the appellant</w:t>
            </w:r>
            <w:r w:rsidR="00CE1B24">
              <w:t xml:space="preserve"> relied in support of his claim</w:t>
            </w:r>
            <w:r w:rsidR="003546DB">
              <w:t xml:space="preserve"> to be homosexual </w:t>
            </w:r>
            <w:r w:rsidR="00420F12">
              <w:t xml:space="preserve">– </w:t>
            </w:r>
            <w:r w:rsidR="00133718">
              <w:t>where no</w:t>
            </w:r>
            <w:r w:rsidR="003546DB">
              <w:t xml:space="preserve"> rational or logical basis for </w:t>
            </w:r>
            <w:r w:rsidR="00A87DED">
              <w:t>Tribunal’s rejection of corroborative evidence</w:t>
            </w:r>
            <w:r w:rsidR="009D17E2">
              <w:t xml:space="preserve"> </w:t>
            </w:r>
            <w:r w:rsidR="003546DB">
              <w:t xml:space="preserve">– </w:t>
            </w:r>
            <w:r w:rsidR="00133718">
              <w:t>where</w:t>
            </w:r>
            <w:r w:rsidR="003546DB">
              <w:t xml:space="preserve"> </w:t>
            </w:r>
            <w:r w:rsidR="00133718">
              <w:t>Tribunal’s</w:t>
            </w:r>
            <w:r w:rsidR="003546DB">
              <w:t xml:space="preserve"> </w:t>
            </w:r>
            <w:r w:rsidR="007B0345">
              <w:t xml:space="preserve">decision </w:t>
            </w:r>
            <w:r w:rsidR="003546DB">
              <w:t>legally unreasonable –</w:t>
            </w:r>
            <w:r w:rsidR="009D17E2">
              <w:t xml:space="preserve"> </w:t>
            </w:r>
            <w:r w:rsidR="00133718">
              <w:t>where</w:t>
            </w:r>
            <w:r w:rsidR="007833AB">
              <w:t xml:space="preserve"> </w:t>
            </w:r>
            <w:r w:rsidR="003546DB">
              <w:t xml:space="preserve">reasons </w:t>
            </w:r>
            <w:r w:rsidR="00133718">
              <w:t>of Court below inadequate</w:t>
            </w:r>
            <w:r w:rsidR="00CE1B24">
              <w:t xml:space="preserve"> </w:t>
            </w:r>
            <w:r w:rsidR="003546DB">
              <w:t>–</w:t>
            </w:r>
            <w:r w:rsidR="00CE1B24">
              <w:t xml:space="preserve"> </w:t>
            </w:r>
            <w:r w:rsidR="00420F12">
              <w:t>appeal allowed</w:t>
            </w:r>
            <w:r w:rsidR="003546DB">
              <w:t xml:space="preserve"> with costs</w:t>
            </w:r>
            <w:r w:rsidR="00420F12">
              <w:t>.</w:t>
            </w:r>
            <w:r w:rsidR="002C7385">
              <w:t xml:space="preserve"> </w:t>
            </w:r>
            <w:bookmarkEnd w:id="3"/>
          </w:p>
        </w:tc>
      </w:tr>
      <w:tr w:rsidR="00395B24" w:rsidTr="00EB1414">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B1414">
        <w:tc>
          <w:tcPr>
            <w:tcW w:w="3085"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0A2D38" w:rsidRDefault="000A2D38" w:rsidP="000A2D38">
            <w:pPr>
              <w:pStyle w:val="CasesLegislationAppealFrom"/>
              <w:spacing w:after="60"/>
            </w:pPr>
            <w:bookmarkStart w:id="4" w:name="Legislation"/>
            <w:r w:rsidRPr="000A2D38">
              <w:rPr>
                <w:i/>
              </w:rPr>
              <w:t>Migration Act 1958</w:t>
            </w:r>
            <w:r>
              <w:t xml:space="preserve"> (Cth)</w:t>
            </w:r>
          </w:p>
          <w:p w:rsidR="00395B24" w:rsidRDefault="000A2D38" w:rsidP="000A2D38">
            <w:pPr>
              <w:pStyle w:val="CasesLegislationAppealFrom"/>
              <w:spacing w:after="60"/>
            </w:pPr>
            <w:r w:rsidRPr="000A2D38">
              <w:rPr>
                <w:i/>
              </w:rPr>
              <w:t>Migration Amendment (Complementary Protection) Act 2011</w:t>
            </w:r>
            <w:r>
              <w:t xml:space="preserve"> (Cth)</w:t>
            </w:r>
            <w:r w:rsidR="002C7385">
              <w:t xml:space="preserve"> </w:t>
            </w:r>
            <w:bookmarkEnd w:id="4"/>
          </w:p>
        </w:tc>
      </w:tr>
      <w:tr w:rsidR="00395B24" w:rsidTr="00EB1414">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B1414">
        <w:tc>
          <w:tcPr>
            <w:tcW w:w="3085"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0A2D38" w:rsidRDefault="000A2D38" w:rsidP="000A2D38">
            <w:pPr>
              <w:pStyle w:val="CasesLegislationAppealFrom"/>
              <w:spacing w:after="60"/>
            </w:pPr>
            <w:bookmarkStart w:id="5" w:name="Cases_Cited"/>
            <w:r w:rsidRPr="000A2D38">
              <w:rPr>
                <w:i/>
              </w:rPr>
              <w:t>ARG15 v Minister for Immigration and Border Protection</w:t>
            </w:r>
            <w:r>
              <w:t xml:space="preserve"> [2016] FCAFC 174; (2016) 250 FCR 109</w:t>
            </w:r>
          </w:p>
          <w:p w:rsidR="000A2D38" w:rsidRDefault="000A2D38" w:rsidP="000A2D38">
            <w:pPr>
              <w:pStyle w:val="CasesLegislationAppealFrom"/>
              <w:spacing w:after="60"/>
            </w:pPr>
            <w:r w:rsidRPr="000A2D38">
              <w:rPr>
                <w:i/>
              </w:rPr>
              <w:t>CQG15 v Minister for Immigration and Border Protection</w:t>
            </w:r>
            <w:r>
              <w:t xml:space="preserve"> [2016] FCAFC 146</w:t>
            </w:r>
          </w:p>
          <w:p w:rsidR="000A2D38" w:rsidRDefault="000A2D38" w:rsidP="000A2D38">
            <w:pPr>
              <w:pStyle w:val="CasesLegislationAppealFrom"/>
              <w:spacing w:after="60"/>
            </w:pPr>
            <w:r w:rsidRPr="000A2D38">
              <w:rPr>
                <w:i/>
              </w:rPr>
              <w:t>Minister for Immigration and Border Protection v SZUXN</w:t>
            </w:r>
            <w:r>
              <w:t xml:space="preserve"> [2016] FCA 516</w:t>
            </w:r>
          </w:p>
          <w:p w:rsidR="000A2D38" w:rsidRDefault="000A2D38" w:rsidP="000A2D38">
            <w:pPr>
              <w:pStyle w:val="CasesLegislationAppealFrom"/>
              <w:spacing w:after="60"/>
            </w:pPr>
            <w:r w:rsidRPr="000A2D38">
              <w:rPr>
                <w:i/>
              </w:rPr>
              <w:t>Minister for Immigration and Citizenship v SZMDS</w:t>
            </w:r>
            <w:r>
              <w:t xml:space="preserve"> [2010] HCA 16; (2010) 240 CLR 611</w:t>
            </w:r>
          </w:p>
          <w:p w:rsidR="000A2D38" w:rsidRDefault="000A2D38" w:rsidP="000A2D38">
            <w:pPr>
              <w:pStyle w:val="CasesLegislationAppealFrom"/>
              <w:spacing w:after="60"/>
            </w:pPr>
            <w:r w:rsidRPr="000A2D38">
              <w:rPr>
                <w:i/>
              </w:rPr>
              <w:t>Minister for Immigration and Citizenship v SZNSP</w:t>
            </w:r>
            <w:r>
              <w:t xml:space="preserve"> [2010] FCAFC 50; (2010) 184 FCR 485</w:t>
            </w:r>
          </w:p>
          <w:p w:rsidR="000A2D38" w:rsidRDefault="000A2D38" w:rsidP="000A2D38">
            <w:pPr>
              <w:pStyle w:val="CasesLegislationAppealFrom"/>
              <w:spacing w:after="60"/>
            </w:pPr>
            <w:r w:rsidRPr="000A2D38">
              <w:rPr>
                <w:i/>
              </w:rPr>
              <w:t>Minister for Immigration and Citizenship v SZQRB</w:t>
            </w:r>
            <w:r>
              <w:t xml:space="preserve"> [2013] FCAFC 33; (2013) 210 FCR 505</w:t>
            </w:r>
          </w:p>
          <w:p w:rsidR="000A2D38" w:rsidRDefault="000A2D38" w:rsidP="000A2D38">
            <w:pPr>
              <w:pStyle w:val="CasesLegislationAppealFrom"/>
              <w:spacing w:after="60"/>
            </w:pPr>
            <w:r w:rsidRPr="000A2D38">
              <w:rPr>
                <w:i/>
              </w:rPr>
              <w:t>Minister for Immigration and Citizenship v SZRKT</w:t>
            </w:r>
            <w:r>
              <w:t xml:space="preserve"> [2013] FCA 317; (2013) 212 FCR 99</w:t>
            </w:r>
          </w:p>
          <w:p w:rsidR="000A2D38" w:rsidRDefault="000A2D38" w:rsidP="000A2D38">
            <w:pPr>
              <w:pStyle w:val="CasesLegislationAppealFrom"/>
              <w:spacing w:after="60"/>
            </w:pPr>
            <w:r w:rsidRPr="000A2D38">
              <w:rPr>
                <w:i/>
              </w:rPr>
              <w:t xml:space="preserve">Minister for Immigration and Ethnic Affairs v </w:t>
            </w:r>
            <w:proofErr w:type="spellStart"/>
            <w:r w:rsidRPr="000A2D38">
              <w:rPr>
                <w:i/>
              </w:rPr>
              <w:t>Guo</w:t>
            </w:r>
            <w:proofErr w:type="spellEnd"/>
            <w:r w:rsidRPr="000A2D38">
              <w:rPr>
                <w:i/>
              </w:rPr>
              <w:t xml:space="preserve"> </w:t>
            </w:r>
            <w:r>
              <w:t xml:space="preserve">[1997] </w:t>
            </w:r>
            <w:r>
              <w:lastRenderedPageBreak/>
              <w:t>HCA 22; (1997) 191 CLR 559</w:t>
            </w:r>
          </w:p>
          <w:p w:rsidR="000A2D38" w:rsidRDefault="000A2D38" w:rsidP="000A2D38">
            <w:pPr>
              <w:pStyle w:val="CasesLegislationAppealFrom"/>
              <w:spacing w:after="60"/>
            </w:pPr>
            <w:r w:rsidRPr="000A2D38">
              <w:rPr>
                <w:i/>
              </w:rPr>
              <w:t xml:space="preserve">Minister for Immigration and Multicultural Affairs v </w:t>
            </w:r>
            <w:proofErr w:type="spellStart"/>
            <w:r w:rsidRPr="000A2D38">
              <w:rPr>
                <w:i/>
              </w:rPr>
              <w:t>Rajalingam</w:t>
            </w:r>
            <w:proofErr w:type="spellEnd"/>
            <w:r>
              <w:t xml:space="preserve"> [1999] FCA 719; (1999) 93 FCR 220</w:t>
            </w:r>
          </w:p>
          <w:p w:rsidR="000A2D38" w:rsidRDefault="000A2D38" w:rsidP="000A2D38">
            <w:pPr>
              <w:pStyle w:val="CasesLegislationAppealFrom"/>
              <w:spacing w:after="60"/>
            </w:pPr>
            <w:r w:rsidRPr="000A2D38">
              <w:rPr>
                <w:i/>
              </w:rPr>
              <w:t>Public Service Board of NSW v Osmond</w:t>
            </w:r>
            <w:r>
              <w:t xml:space="preserve"> (1986) 159 CLR 656 </w:t>
            </w:r>
          </w:p>
          <w:p w:rsidR="000A2D38" w:rsidRDefault="000A2D38" w:rsidP="000A2D38">
            <w:pPr>
              <w:pStyle w:val="CasesLegislationAppealFrom"/>
              <w:spacing w:after="60"/>
            </w:pPr>
            <w:proofErr w:type="spellStart"/>
            <w:r w:rsidRPr="000A2D38">
              <w:rPr>
                <w:i/>
              </w:rPr>
              <w:t>Soulemezis</w:t>
            </w:r>
            <w:proofErr w:type="spellEnd"/>
            <w:r w:rsidRPr="000A2D38">
              <w:rPr>
                <w:i/>
              </w:rPr>
              <w:t xml:space="preserve"> v Dudley (Holdings) Pty Ltd </w:t>
            </w:r>
            <w:r>
              <w:t>(1987) 10 NSWLR 247</w:t>
            </w:r>
          </w:p>
          <w:p w:rsidR="000A2D38" w:rsidRDefault="000A2D38" w:rsidP="000A2D38">
            <w:pPr>
              <w:pStyle w:val="CasesLegislationAppealFrom"/>
              <w:spacing w:after="60"/>
            </w:pPr>
            <w:r w:rsidRPr="000A2D38">
              <w:rPr>
                <w:i/>
              </w:rPr>
              <w:t xml:space="preserve">SZBEL v Minister for Immigration and Multicultural and Indigenous Affairs </w:t>
            </w:r>
            <w:r>
              <w:t>[2006] HCA 63; (2006) 228 CLR 152</w:t>
            </w:r>
          </w:p>
          <w:p w:rsidR="000A2D38" w:rsidRDefault="000A2D38" w:rsidP="000A2D38">
            <w:pPr>
              <w:pStyle w:val="CasesLegislationAppealFrom"/>
              <w:spacing w:after="60"/>
            </w:pPr>
            <w:r w:rsidRPr="000A2D38">
              <w:rPr>
                <w:i/>
              </w:rPr>
              <w:t>SZDGC v Minister for Immigration and Citizenship</w:t>
            </w:r>
            <w:r>
              <w:t xml:space="preserve"> [2008] FCA 1638</w:t>
            </w:r>
          </w:p>
          <w:p w:rsidR="000A2D38" w:rsidRDefault="000A2D38" w:rsidP="000A2D38">
            <w:pPr>
              <w:pStyle w:val="CasesLegislationAppealFrom"/>
              <w:spacing w:after="60"/>
            </w:pPr>
            <w:r w:rsidRPr="000A2D38">
              <w:rPr>
                <w:i/>
              </w:rPr>
              <w:t>SZGIZ v Minister for Immigration and Citizenship</w:t>
            </w:r>
            <w:r>
              <w:t xml:space="preserve"> [2013] FCAFC 71; (2013) 212 FCR 235</w:t>
            </w:r>
          </w:p>
          <w:p w:rsidR="000A2D38" w:rsidRDefault="000A2D38" w:rsidP="000A2D38">
            <w:pPr>
              <w:pStyle w:val="CasesLegislationAppealFrom"/>
              <w:spacing w:after="60"/>
            </w:pPr>
            <w:r w:rsidRPr="000A2D38">
              <w:rPr>
                <w:i/>
              </w:rPr>
              <w:t>SZLGP v Minister for Immigration and Citizenship</w:t>
            </w:r>
            <w:r>
              <w:t xml:space="preserve"> [2009] FCA 1470; (2009) 181 FCR 113</w:t>
            </w:r>
          </w:p>
          <w:p w:rsidR="00395B24" w:rsidRDefault="000A2D38" w:rsidP="000A2D38">
            <w:pPr>
              <w:pStyle w:val="CasesLegislationAppealFrom"/>
              <w:spacing w:after="60"/>
            </w:pPr>
            <w:r w:rsidRPr="000A2D38">
              <w:rPr>
                <w:i/>
              </w:rPr>
              <w:t>SZVAP v Minister for Immigration and Border Protection</w:t>
            </w:r>
            <w:r>
              <w:t xml:space="preserve"> [2015] FCA 1089; (2015) 233 FCR 451</w:t>
            </w:r>
            <w:r w:rsidR="002C7385">
              <w:t xml:space="preserve"> </w:t>
            </w:r>
            <w:bookmarkEnd w:id="5"/>
          </w:p>
        </w:tc>
      </w:tr>
      <w:tr w:rsidR="00EB1414" w:rsidRPr="00EB1414" w:rsidTr="00EB1414">
        <w:tc>
          <w:tcPr>
            <w:tcW w:w="3085" w:type="dxa"/>
            <w:shd w:val="clear" w:color="auto" w:fill="auto"/>
          </w:tcPr>
          <w:p w:rsidR="00EB1414" w:rsidRPr="00EB1414" w:rsidRDefault="00EB1414" w:rsidP="00EB1414">
            <w:pPr>
              <w:pStyle w:val="Normal1linespace"/>
              <w:jc w:val="left"/>
            </w:pPr>
          </w:p>
        </w:tc>
        <w:tc>
          <w:tcPr>
            <w:tcW w:w="5989" w:type="dxa"/>
            <w:shd w:val="clear" w:color="auto" w:fill="auto"/>
          </w:tcPr>
          <w:p w:rsidR="00EB1414" w:rsidRPr="00EB1414" w:rsidRDefault="00EB1414" w:rsidP="00EB1414">
            <w:pPr>
              <w:pStyle w:val="Normal1linespace"/>
              <w:jc w:val="left"/>
            </w:pPr>
          </w:p>
        </w:tc>
      </w:tr>
      <w:tr w:rsidR="00EB1414" w:rsidRPr="00EB1414" w:rsidTr="00EB1414">
        <w:tc>
          <w:tcPr>
            <w:tcW w:w="3085" w:type="dxa"/>
            <w:shd w:val="clear" w:color="auto" w:fill="auto"/>
          </w:tcPr>
          <w:p w:rsidR="00EB1414" w:rsidRPr="00EB1414" w:rsidRDefault="00EB1414" w:rsidP="00EB1414">
            <w:pPr>
              <w:pStyle w:val="Normal1linespace"/>
              <w:jc w:val="left"/>
            </w:pPr>
            <w:bookmarkStart w:id="6" w:name="CounselDate" w:colFirst="0" w:colLast="2"/>
            <w:r w:rsidRPr="00EB1414">
              <w:t>Date of hearing:</w:t>
            </w:r>
          </w:p>
        </w:tc>
        <w:tc>
          <w:tcPr>
            <w:tcW w:w="5989" w:type="dxa"/>
            <w:shd w:val="clear" w:color="auto" w:fill="auto"/>
          </w:tcPr>
          <w:p w:rsidR="00EB1414" w:rsidRPr="00EB1414" w:rsidRDefault="00EB1414" w:rsidP="00EB1414">
            <w:pPr>
              <w:pStyle w:val="Normal1linespace"/>
              <w:jc w:val="left"/>
            </w:pPr>
            <w:bookmarkStart w:id="7" w:name="HearingDate"/>
            <w:r>
              <w:t>16 August 2017</w:t>
            </w:r>
            <w:bookmarkEnd w:id="7"/>
          </w:p>
        </w:tc>
      </w:tr>
      <w:bookmarkEnd w:id="6"/>
      <w:tr w:rsidR="00EB1414" w:rsidTr="00EB1414">
        <w:tc>
          <w:tcPr>
            <w:tcW w:w="3085" w:type="dxa"/>
            <w:shd w:val="clear" w:color="auto" w:fill="auto"/>
          </w:tcPr>
          <w:p w:rsidR="00EB1414" w:rsidRDefault="00EB1414" w:rsidP="00EB1414">
            <w:pPr>
              <w:pStyle w:val="Normal1linespace"/>
              <w:widowControl w:val="0"/>
              <w:jc w:val="left"/>
            </w:pPr>
          </w:p>
        </w:tc>
        <w:tc>
          <w:tcPr>
            <w:tcW w:w="5989" w:type="dxa"/>
            <w:shd w:val="clear" w:color="auto" w:fill="auto"/>
          </w:tcPr>
          <w:p w:rsidR="00EB1414" w:rsidRDefault="00EB1414" w:rsidP="00EB1414">
            <w:pPr>
              <w:pStyle w:val="Normal1linespace"/>
              <w:widowControl w:val="0"/>
              <w:jc w:val="left"/>
            </w:pPr>
          </w:p>
        </w:tc>
      </w:tr>
      <w:tr w:rsidR="00EB1414" w:rsidTr="00EB1414">
        <w:tc>
          <w:tcPr>
            <w:tcW w:w="3085" w:type="dxa"/>
            <w:shd w:val="clear" w:color="auto" w:fill="auto"/>
          </w:tcPr>
          <w:p w:rsidR="00EB1414" w:rsidRDefault="00EB1414" w:rsidP="00EB1414">
            <w:pPr>
              <w:pStyle w:val="Normal1linespace"/>
              <w:widowControl w:val="0"/>
              <w:jc w:val="left"/>
            </w:pPr>
            <w:r>
              <w:t>Registry:</w:t>
            </w:r>
          </w:p>
        </w:tc>
        <w:tc>
          <w:tcPr>
            <w:tcW w:w="5989" w:type="dxa"/>
            <w:shd w:val="clear" w:color="auto" w:fill="auto"/>
          </w:tcPr>
          <w:p w:rsidR="00EB1414" w:rsidRPr="00F17599" w:rsidRDefault="004A6DE3" w:rsidP="00EB1414">
            <w:pPr>
              <w:pStyle w:val="Normal1linespace"/>
              <w:widowControl w:val="0"/>
              <w:jc w:val="left"/>
            </w:pPr>
            <w:r>
              <w:fldChar w:fldCharType="begin"/>
            </w:r>
            <w:r>
              <w:instrText xml:space="preserve"> DOCPROPERTY  Registry </w:instrText>
            </w:r>
            <w:r>
              <w:fldChar w:fldCharType="separate"/>
            </w:r>
            <w:r w:rsidR="00EB1414">
              <w:t>New South Wales</w:t>
            </w:r>
            <w:r>
              <w:fldChar w:fldCharType="end"/>
            </w:r>
          </w:p>
        </w:tc>
      </w:tr>
      <w:tr w:rsidR="00EB1414" w:rsidTr="00EB1414">
        <w:tc>
          <w:tcPr>
            <w:tcW w:w="3085" w:type="dxa"/>
            <w:shd w:val="clear" w:color="auto" w:fill="auto"/>
          </w:tcPr>
          <w:p w:rsidR="00EB1414" w:rsidRDefault="00EB1414" w:rsidP="00EB1414">
            <w:pPr>
              <w:pStyle w:val="Normal1linespace"/>
              <w:widowControl w:val="0"/>
              <w:jc w:val="left"/>
            </w:pPr>
          </w:p>
        </w:tc>
        <w:tc>
          <w:tcPr>
            <w:tcW w:w="5989" w:type="dxa"/>
            <w:shd w:val="clear" w:color="auto" w:fill="auto"/>
          </w:tcPr>
          <w:p w:rsidR="00EB1414" w:rsidRDefault="00EB1414" w:rsidP="00EB1414">
            <w:pPr>
              <w:pStyle w:val="Normal1linespace"/>
              <w:widowControl w:val="0"/>
              <w:jc w:val="left"/>
            </w:pPr>
          </w:p>
        </w:tc>
      </w:tr>
      <w:tr w:rsidR="00EB1414" w:rsidTr="00EB1414">
        <w:tc>
          <w:tcPr>
            <w:tcW w:w="3085" w:type="dxa"/>
            <w:shd w:val="clear" w:color="auto" w:fill="auto"/>
          </w:tcPr>
          <w:p w:rsidR="00EB1414" w:rsidRDefault="00EB1414" w:rsidP="00EB1414">
            <w:pPr>
              <w:pStyle w:val="Normal1linespace"/>
              <w:widowControl w:val="0"/>
              <w:jc w:val="left"/>
            </w:pPr>
            <w:r>
              <w:t>Division:</w:t>
            </w:r>
          </w:p>
        </w:tc>
        <w:tc>
          <w:tcPr>
            <w:tcW w:w="5989" w:type="dxa"/>
            <w:shd w:val="clear" w:color="auto" w:fill="auto"/>
          </w:tcPr>
          <w:p w:rsidR="00EB1414" w:rsidRPr="00F17599" w:rsidRDefault="004A6DE3" w:rsidP="00EB1414">
            <w:pPr>
              <w:pStyle w:val="Normal1linespace"/>
              <w:widowControl w:val="0"/>
              <w:jc w:val="left"/>
            </w:pPr>
            <w:r>
              <w:fldChar w:fldCharType="begin"/>
            </w:r>
            <w:r>
              <w:instrText xml:space="preserve"> DOCPROPERTY  Division </w:instrText>
            </w:r>
            <w:r>
              <w:fldChar w:fldCharType="separate"/>
            </w:r>
            <w:r w:rsidR="00EB1414">
              <w:t>General Division</w:t>
            </w:r>
            <w:r>
              <w:fldChar w:fldCharType="end"/>
            </w:r>
          </w:p>
        </w:tc>
      </w:tr>
      <w:tr w:rsidR="00EB1414" w:rsidTr="00EB1414">
        <w:tc>
          <w:tcPr>
            <w:tcW w:w="3085" w:type="dxa"/>
            <w:shd w:val="clear" w:color="auto" w:fill="auto"/>
          </w:tcPr>
          <w:p w:rsidR="00EB1414" w:rsidRPr="00EB1414" w:rsidRDefault="00EB1414" w:rsidP="00EB1414">
            <w:pPr>
              <w:pStyle w:val="Normal1linespace"/>
              <w:widowControl w:val="0"/>
              <w:jc w:val="left"/>
            </w:pPr>
          </w:p>
        </w:tc>
        <w:tc>
          <w:tcPr>
            <w:tcW w:w="5989" w:type="dxa"/>
            <w:shd w:val="clear" w:color="auto" w:fill="auto"/>
          </w:tcPr>
          <w:p w:rsidR="00EB1414" w:rsidRPr="00EB1414" w:rsidRDefault="00EB1414" w:rsidP="00EB1414">
            <w:pPr>
              <w:pStyle w:val="Normal1linespace"/>
              <w:widowControl w:val="0"/>
              <w:jc w:val="left"/>
              <w:rPr>
                <w:b/>
              </w:rPr>
            </w:pPr>
          </w:p>
        </w:tc>
      </w:tr>
      <w:tr w:rsidR="00EB1414" w:rsidRPr="00EB1414" w:rsidTr="00EB1414">
        <w:tc>
          <w:tcPr>
            <w:tcW w:w="3085" w:type="dxa"/>
            <w:shd w:val="clear" w:color="auto" w:fill="auto"/>
          </w:tcPr>
          <w:p w:rsidR="00EB1414" w:rsidRPr="00EB1414" w:rsidRDefault="00EB1414" w:rsidP="00EB1414">
            <w:pPr>
              <w:pStyle w:val="Normal1linespace"/>
              <w:widowControl w:val="0"/>
              <w:jc w:val="left"/>
            </w:pPr>
            <w:r w:rsidRPr="00EB1414">
              <w:t>National Practice Area:</w:t>
            </w:r>
          </w:p>
        </w:tc>
        <w:tc>
          <w:tcPr>
            <w:tcW w:w="5989" w:type="dxa"/>
            <w:shd w:val="clear" w:color="auto" w:fill="auto"/>
          </w:tcPr>
          <w:p w:rsidR="00EB1414" w:rsidRPr="00EB1414" w:rsidRDefault="00EB1414" w:rsidP="00EB1414">
            <w:pPr>
              <w:pStyle w:val="Normal1linespace"/>
              <w:widowControl w:val="0"/>
              <w:jc w:val="left"/>
              <w:rPr>
                <w:b/>
              </w:rPr>
            </w:pPr>
            <w:r w:rsidRPr="00EB1414">
              <w:t>Administrative and Constitutional Law and Human Rights</w:t>
            </w:r>
          </w:p>
        </w:tc>
      </w:tr>
      <w:tr w:rsidR="00EB1414" w:rsidTr="00EB1414">
        <w:tc>
          <w:tcPr>
            <w:tcW w:w="3085" w:type="dxa"/>
            <w:shd w:val="clear" w:color="auto" w:fill="auto"/>
          </w:tcPr>
          <w:p w:rsidR="00EB1414" w:rsidRPr="00EB1414" w:rsidRDefault="00EB1414" w:rsidP="00EB1414">
            <w:pPr>
              <w:pStyle w:val="Normal1linespace"/>
              <w:widowControl w:val="0"/>
              <w:jc w:val="left"/>
            </w:pPr>
          </w:p>
        </w:tc>
        <w:tc>
          <w:tcPr>
            <w:tcW w:w="5989" w:type="dxa"/>
            <w:shd w:val="clear" w:color="auto" w:fill="auto"/>
          </w:tcPr>
          <w:p w:rsidR="00EB1414" w:rsidRPr="00EB1414" w:rsidRDefault="00EB1414" w:rsidP="00EB1414">
            <w:pPr>
              <w:pStyle w:val="Normal1linespace"/>
              <w:widowControl w:val="0"/>
              <w:jc w:val="left"/>
              <w:rPr>
                <w:b/>
              </w:rPr>
            </w:pPr>
          </w:p>
        </w:tc>
      </w:tr>
      <w:tr w:rsidR="00EB1414" w:rsidTr="00EB1414">
        <w:tc>
          <w:tcPr>
            <w:tcW w:w="3085" w:type="dxa"/>
            <w:shd w:val="clear" w:color="auto" w:fill="auto"/>
          </w:tcPr>
          <w:p w:rsidR="00EB1414" w:rsidRPr="00EB1414" w:rsidRDefault="00EB1414" w:rsidP="00EB1414">
            <w:pPr>
              <w:pStyle w:val="Normal1linespace"/>
              <w:widowControl w:val="0"/>
              <w:jc w:val="left"/>
            </w:pPr>
            <w:r w:rsidRPr="00EB1414">
              <w:t>Category:</w:t>
            </w:r>
          </w:p>
        </w:tc>
        <w:tc>
          <w:tcPr>
            <w:tcW w:w="5989" w:type="dxa"/>
            <w:shd w:val="clear" w:color="auto" w:fill="auto"/>
          </w:tcPr>
          <w:p w:rsidR="00EB1414" w:rsidRPr="00EB1414" w:rsidRDefault="00EB1414" w:rsidP="00EB1414">
            <w:pPr>
              <w:pStyle w:val="Normal1linespace"/>
              <w:widowControl w:val="0"/>
              <w:jc w:val="left"/>
            </w:pPr>
            <w:r w:rsidRPr="00EB1414">
              <w:t>Catchwords</w:t>
            </w:r>
          </w:p>
        </w:tc>
      </w:tr>
      <w:tr w:rsidR="00EB1414" w:rsidTr="00EB1414">
        <w:tc>
          <w:tcPr>
            <w:tcW w:w="3085" w:type="dxa"/>
            <w:shd w:val="clear" w:color="auto" w:fill="auto"/>
          </w:tcPr>
          <w:p w:rsidR="00EB1414" w:rsidRDefault="00EB1414" w:rsidP="00EB1414">
            <w:pPr>
              <w:pStyle w:val="Normal1linespace"/>
              <w:widowControl w:val="0"/>
              <w:jc w:val="left"/>
            </w:pPr>
          </w:p>
        </w:tc>
        <w:tc>
          <w:tcPr>
            <w:tcW w:w="5989" w:type="dxa"/>
            <w:shd w:val="clear" w:color="auto" w:fill="auto"/>
          </w:tcPr>
          <w:p w:rsidR="00EB1414" w:rsidRDefault="00EB1414" w:rsidP="00EB1414">
            <w:pPr>
              <w:pStyle w:val="Normal1linespace"/>
              <w:widowControl w:val="0"/>
              <w:jc w:val="left"/>
            </w:pPr>
          </w:p>
        </w:tc>
      </w:tr>
      <w:tr w:rsidR="00EB1414" w:rsidTr="00EB1414">
        <w:tc>
          <w:tcPr>
            <w:tcW w:w="3085" w:type="dxa"/>
            <w:shd w:val="clear" w:color="auto" w:fill="auto"/>
          </w:tcPr>
          <w:p w:rsidR="00EB1414" w:rsidRDefault="00EB1414" w:rsidP="00EB1414">
            <w:pPr>
              <w:pStyle w:val="Normal1linespace"/>
              <w:widowControl w:val="0"/>
              <w:jc w:val="left"/>
            </w:pPr>
            <w:r>
              <w:t>Number of paragraphs:</w:t>
            </w:r>
          </w:p>
        </w:tc>
        <w:tc>
          <w:tcPr>
            <w:tcW w:w="5989" w:type="dxa"/>
            <w:shd w:val="clear" w:color="auto" w:fill="auto"/>
          </w:tcPr>
          <w:p w:rsidR="00EB1414" w:rsidRDefault="00EB1414" w:rsidP="00EB1414">
            <w:pPr>
              <w:pStyle w:val="Normal1linespace"/>
              <w:widowControl w:val="0"/>
              <w:jc w:val="left"/>
            </w:pPr>
            <w:bookmarkStart w:id="8" w:name="PlaceCategoryParagraphs"/>
            <w:r>
              <w:t>49</w:t>
            </w:r>
            <w:bookmarkEnd w:id="8"/>
          </w:p>
        </w:tc>
      </w:tr>
      <w:tr w:rsidR="00EB1414" w:rsidTr="00EB1414">
        <w:tc>
          <w:tcPr>
            <w:tcW w:w="3085" w:type="dxa"/>
            <w:shd w:val="clear" w:color="auto" w:fill="auto"/>
          </w:tcPr>
          <w:p w:rsidR="00EB1414" w:rsidRDefault="00EB1414" w:rsidP="00EB1414">
            <w:pPr>
              <w:pStyle w:val="Normal1linespace"/>
              <w:widowControl w:val="0"/>
              <w:jc w:val="left"/>
            </w:pPr>
          </w:p>
        </w:tc>
        <w:tc>
          <w:tcPr>
            <w:tcW w:w="5989" w:type="dxa"/>
            <w:shd w:val="clear" w:color="auto" w:fill="auto"/>
          </w:tcPr>
          <w:p w:rsidR="00EB1414" w:rsidRDefault="00EB1414" w:rsidP="00EB1414">
            <w:pPr>
              <w:pStyle w:val="Normal1linespace"/>
              <w:widowControl w:val="0"/>
              <w:jc w:val="left"/>
            </w:pPr>
          </w:p>
        </w:tc>
      </w:tr>
      <w:tr w:rsidR="00EB1414" w:rsidTr="00EB1414">
        <w:tc>
          <w:tcPr>
            <w:tcW w:w="3085" w:type="dxa"/>
            <w:shd w:val="clear" w:color="auto" w:fill="auto"/>
          </w:tcPr>
          <w:p w:rsidR="00EB1414" w:rsidRDefault="00EB1414" w:rsidP="00EB1414">
            <w:pPr>
              <w:pStyle w:val="Normal1linespace"/>
              <w:widowControl w:val="0"/>
              <w:jc w:val="left"/>
            </w:pPr>
            <w:bookmarkStart w:id="9" w:name="Counsel" w:colFirst="0" w:colLast="2"/>
            <w:r>
              <w:t>Counsel for the Appellant:</w:t>
            </w:r>
          </w:p>
        </w:tc>
        <w:tc>
          <w:tcPr>
            <w:tcW w:w="5989" w:type="dxa"/>
            <w:shd w:val="clear" w:color="auto" w:fill="auto"/>
          </w:tcPr>
          <w:p w:rsidR="00EB1414" w:rsidRDefault="00EB1414" w:rsidP="00EB1414">
            <w:pPr>
              <w:pStyle w:val="Normal1linespace"/>
              <w:widowControl w:val="0"/>
              <w:jc w:val="left"/>
            </w:pPr>
            <w:bookmarkStart w:id="10" w:name="AppCounsel"/>
            <w:bookmarkEnd w:id="10"/>
            <w:r>
              <w:t>Mr A Byrne</w:t>
            </w:r>
          </w:p>
        </w:tc>
      </w:tr>
      <w:tr w:rsidR="00EB1414" w:rsidTr="00EB1414">
        <w:tc>
          <w:tcPr>
            <w:tcW w:w="3085" w:type="dxa"/>
            <w:shd w:val="clear" w:color="auto" w:fill="auto"/>
          </w:tcPr>
          <w:p w:rsidR="00EB1414" w:rsidRDefault="00EB1414" w:rsidP="00EB1414">
            <w:pPr>
              <w:pStyle w:val="Normal1linespace"/>
              <w:widowControl w:val="0"/>
              <w:jc w:val="left"/>
            </w:pPr>
          </w:p>
        </w:tc>
        <w:tc>
          <w:tcPr>
            <w:tcW w:w="5989" w:type="dxa"/>
            <w:shd w:val="clear" w:color="auto" w:fill="auto"/>
          </w:tcPr>
          <w:p w:rsidR="00EB1414" w:rsidRDefault="00EB1414" w:rsidP="00EB1414">
            <w:pPr>
              <w:pStyle w:val="Normal1linespace"/>
              <w:widowControl w:val="0"/>
              <w:jc w:val="left"/>
            </w:pPr>
          </w:p>
        </w:tc>
      </w:tr>
      <w:tr w:rsidR="00EB1414" w:rsidTr="00EB1414">
        <w:tc>
          <w:tcPr>
            <w:tcW w:w="3085" w:type="dxa"/>
            <w:shd w:val="clear" w:color="auto" w:fill="auto"/>
          </w:tcPr>
          <w:p w:rsidR="00EB1414" w:rsidRDefault="00EB1414" w:rsidP="00EB1414">
            <w:pPr>
              <w:pStyle w:val="Normal1linespace"/>
              <w:widowControl w:val="0"/>
              <w:jc w:val="left"/>
            </w:pPr>
            <w:r>
              <w:t>Solicitor for the Appellant:</w:t>
            </w:r>
          </w:p>
        </w:tc>
        <w:tc>
          <w:tcPr>
            <w:tcW w:w="5989" w:type="dxa"/>
            <w:shd w:val="clear" w:color="auto" w:fill="auto"/>
          </w:tcPr>
          <w:p w:rsidR="00EB1414" w:rsidRDefault="004639CA" w:rsidP="00EB1414">
            <w:pPr>
              <w:pStyle w:val="Normal1linespace"/>
              <w:widowControl w:val="0"/>
              <w:jc w:val="left"/>
            </w:pPr>
            <w:proofErr w:type="spellStart"/>
            <w:r>
              <w:t>MyV</w:t>
            </w:r>
            <w:r w:rsidR="00EB1414">
              <w:t>isa</w:t>
            </w:r>
            <w:proofErr w:type="spellEnd"/>
            <w:r w:rsidR="00EB1414">
              <w:t xml:space="preserve"> Lawyers</w:t>
            </w:r>
          </w:p>
        </w:tc>
      </w:tr>
      <w:tr w:rsidR="00EB1414" w:rsidTr="00EB1414">
        <w:tc>
          <w:tcPr>
            <w:tcW w:w="3085" w:type="dxa"/>
            <w:shd w:val="clear" w:color="auto" w:fill="auto"/>
          </w:tcPr>
          <w:p w:rsidR="00EB1414" w:rsidRDefault="00EB1414" w:rsidP="00EB1414">
            <w:pPr>
              <w:pStyle w:val="Normal1linespace"/>
              <w:widowControl w:val="0"/>
              <w:jc w:val="left"/>
            </w:pPr>
          </w:p>
        </w:tc>
        <w:tc>
          <w:tcPr>
            <w:tcW w:w="5989" w:type="dxa"/>
            <w:shd w:val="clear" w:color="auto" w:fill="auto"/>
          </w:tcPr>
          <w:p w:rsidR="00EB1414" w:rsidRDefault="00EB1414" w:rsidP="00EB1414">
            <w:pPr>
              <w:pStyle w:val="Normal1linespace"/>
              <w:widowControl w:val="0"/>
              <w:jc w:val="left"/>
            </w:pPr>
          </w:p>
        </w:tc>
      </w:tr>
      <w:tr w:rsidR="00EB1414" w:rsidTr="00EB1414">
        <w:tc>
          <w:tcPr>
            <w:tcW w:w="3085" w:type="dxa"/>
            <w:shd w:val="clear" w:color="auto" w:fill="auto"/>
          </w:tcPr>
          <w:p w:rsidR="00EB1414" w:rsidRDefault="00EB1414" w:rsidP="00EB1414">
            <w:pPr>
              <w:pStyle w:val="Normal1linespace"/>
              <w:widowControl w:val="0"/>
              <w:jc w:val="left"/>
            </w:pPr>
            <w:r>
              <w:t>Counsel for the Respondents:</w:t>
            </w:r>
          </w:p>
        </w:tc>
        <w:tc>
          <w:tcPr>
            <w:tcW w:w="5989" w:type="dxa"/>
            <w:shd w:val="clear" w:color="auto" w:fill="auto"/>
          </w:tcPr>
          <w:p w:rsidR="00EB1414" w:rsidRDefault="00EB1414" w:rsidP="00EB1414">
            <w:pPr>
              <w:pStyle w:val="Normal1linespace"/>
              <w:widowControl w:val="0"/>
              <w:jc w:val="left"/>
            </w:pPr>
            <w:r>
              <w:t>Ms R Francois</w:t>
            </w:r>
          </w:p>
        </w:tc>
      </w:tr>
      <w:tr w:rsidR="00EB1414" w:rsidTr="00EB1414">
        <w:tc>
          <w:tcPr>
            <w:tcW w:w="3085" w:type="dxa"/>
            <w:shd w:val="clear" w:color="auto" w:fill="auto"/>
          </w:tcPr>
          <w:p w:rsidR="00EB1414" w:rsidRDefault="00EB1414" w:rsidP="00EB1414">
            <w:pPr>
              <w:pStyle w:val="Normal1linespace"/>
              <w:widowControl w:val="0"/>
              <w:jc w:val="left"/>
            </w:pPr>
          </w:p>
        </w:tc>
        <w:tc>
          <w:tcPr>
            <w:tcW w:w="5989" w:type="dxa"/>
            <w:shd w:val="clear" w:color="auto" w:fill="auto"/>
          </w:tcPr>
          <w:p w:rsidR="00EB1414" w:rsidRDefault="00EB1414" w:rsidP="00EB1414">
            <w:pPr>
              <w:pStyle w:val="Normal1linespace"/>
              <w:widowControl w:val="0"/>
              <w:jc w:val="left"/>
            </w:pPr>
          </w:p>
        </w:tc>
      </w:tr>
      <w:tr w:rsidR="00EB1414" w:rsidTr="00EB1414">
        <w:tc>
          <w:tcPr>
            <w:tcW w:w="3085" w:type="dxa"/>
            <w:shd w:val="clear" w:color="auto" w:fill="auto"/>
          </w:tcPr>
          <w:p w:rsidR="00EB1414" w:rsidRDefault="00EB1414" w:rsidP="00EB1414">
            <w:pPr>
              <w:pStyle w:val="Normal1linespace"/>
              <w:widowControl w:val="0"/>
              <w:jc w:val="left"/>
            </w:pPr>
            <w:r>
              <w:t>Solicitor for the Respondents:</w:t>
            </w:r>
          </w:p>
        </w:tc>
        <w:tc>
          <w:tcPr>
            <w:tcW w:w="5989" w:type="dxa"/>
            <w:shd w:val="clear" w:color="auto" w:fill="auto"/>
          </w:tcPr>
          <w:p w:rsidR="00EB1414" w:rsidRDefault="00EB1414" w:rsidP="00EB1414">
            <w:pPr>
              <w:pStyle w:val="Normal1linespace"/>
              <w:widowControl w:val="0"/>
              <w:jc w:val="left"/>
            </w:pPr>
            <w:r>
              <w:t xml:space="preserve">Clayton </w:t>
            </w:r>
            <w:proofErr w:type="spellStart"/>
            <w:r>
              <w:t>Utz</w:t>
            </w:r>
            <w:proofErr w:type="spellEnd"/>
          </w:p>
        </w:tc>
      </w:tr>
      <w:bookmarkEnd w:id="9"/>
    </w:tbl>
    <w:p w:rsidR="00395B24" w:rsidRDefault="00395B24">
      <w:pPr>
        <w:pStyle w:val="Normal1linespace"/>
      </w:pPr>
    </w:p>
    <w:p w:rsidR="0092590B" w:rsidRDefault="0092590B">
      <w:pPr>
        <w:pStyle w:val="Normal1linespace"/>
      </w:pPr>
    </w:p>
    <w:p w:rsidR="00395B24" w:rsidRDefault="00395B24">
      <w:pPr>
        <w:pStyle w:val="Normal1linespace"/>
        <w:sectPr w:rsidR="00395B24">
          <w:footerReference w:type="first" r:id="rId9"/>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E636DC" w:rsidP="00F92355">
            <w:pPr>
              <w:pStyle w:val="NormalHeadings"/>
              <w:jc w:val="right"/>
            </w:pPr>
            <w:bookmarkStart w:id="11" w:name="FileNo"/>
            <w:r>
              <w:t>NSD</w:t>
            </w:r>
            <w:r w:rsidR="004B14B0">
              <w:t xml:space="preserve"> </w:t>
            </w:r>
            <w:r>
              <w:t>584</w:t>
            </w:r>
            <w:r w:rsidR="00B51AFA">
              <w:t xml:space="preserve"> of </w:t>
            </w:r>
            <w:r>
              <w:t>2017</w:t>
            </w:r>
            <w:bookmarkEnd w:id="11"/>
          </w:p>
        </w:tc>
      </w:tr>
      <w:tr w:rsidR="00A76C13" w:rsidTr="00713C3D">
        <w:tc>
          <w:tcPr>
            <w:tcW w:w="9242" w:type="dxa"/>
            <w:gridSpan w:val="3"/>
          </w:tcPr>
          <w:p w:rsidR="00A76C13" w:rsidRPr="00A76C13" w:rsidRDefault="00E636DC" w:rsidP="00E636DC">
            <w:pPr>
              <w:pStyle w:val="NormalHeadings"/>
              <w:jc w:val="left"/>
            </w:pPr>
            <w:bookmarkStart w:id="12" w:name="InTheMatterOf"/>
            <w:r>
              <w:t xml:space="preserve"> </w:t>
            </w:r>
            <w:bookmarkEnd w:id="12"/>
          </w:p>
        </w:tc>
      </w:tr>
      <w:tr w:rsidR="00A46CCC" w:rsidTr="00713C3D">
        <w:trPr>
          <w:trHeight w:val="386"/>
        </w:trPr>
        <w:tc>
          <w:tcPr>
            <w:tcW w:w="2376" w:type="dxa"/>
          </w:tcPr>
          <w:p w:rsidR="00A46CCC" w:rsidRDefault="00A46CCC" w:rsidP="00713C3D">
            <w:pPr>
              <w:pStyle w:val="NormalHeadings"/>
              <w:jc w:val="left"/>
              <w:rPr>
                <w:caps/>
                <w:szCs w:val="24"/>
              </w:rPr>
            </w:pPr>
            <w:bookmarkStart w:id="13" w:name="Parties"/>
            <w:r>
              <w:rPr>
                <w:caps/>
                <w:szCs w:val="24"/>
              </w:rPr>
              <w:t>BETWEEN:</w:t>
            </w:r>
          </w:p>
        </w:tc>
        <w:tc>
          <w:tcPr>
            <w:tcW w:w="6866" w:type="dxa"/>
            <w:gridSpan w:val="2"/>
          </w:tcPr>
          <w:p w:rsidR="00E636DC" w:rsidRDefault="00E636DC" w:rsidP="00E636DC">
            <w:pPr>
              <w:pStyle w:val="NormalHeadings"/>
              <w:jc w:val="left"/>
            </w:pPr>
            <w:bookmarkStart w:id="14" w:name="Applicant"/>
            <w:r>
              <w:t>DAO16</w:t>
            </w:r>
          </w:p>
          <w:p w:rsidR="00E636DC" w:rsidRDefault="00E636DC" w:rsidP="00E636DC">
            <w:pPr>
              <w:pStyle w:val="PartyType"/>
            </w:pPr>
            <w:r>
              <w:t>Appellant</w:t>
            </w:r>
          </w:p>
          <w:bookmarkEnd w:id="14"/>
          <w:p w:rsidR="00A46CCC" w:rsidRPr="006555B4" w:rsidRDefault="00A46CCC" w:rsidP="00713C3D">
            <w:pPr>
              <w:pStyle w:val="NormalHeadings"/>
              <w:jc w:val="left"/>
            </w:pPr>
          </w:p>
        </w:tc>
      </w:tr>
      <w:tr w:rsidR="00A46CCC" w:rsidTr="00713C3D">
        <w:trPr>
          <w:trHeight w:val="386"/>
        </w:trPr>
        <w:tc>
          <w:tcPr>
            <w:tcW w:w="2376" w:type="dxa"/>
          </w:tcPr>
          <w:p w:rsidR="00A46CCC" w:rsidRDefault="00A46CCC" w:rsidP="00713C3D">
            <w:pPr>
              <w:pStyle w:val="NormalHeadings"/>
              <w:jc w:val="left"/>
              <w:rPr>
                <w:caps/>
                <w:szCs w:val="24"/>
              </w:rPr>
            </w:pPr>
            <w:r>
              <w:rPr>
                <w:caps/>
                <w:szCs w:val="24"/>
              </w:rPr>
              <w:t>AND:</w:t>
            </w:r>
          </w:p>
        </w:tc>
        <w:tc>
          <w:tcPr>
            <w:tcW w:w="6866" w:type="dxa"/>
            <w:gridSpan w:val="2"/>
          </w:tcPr>
          <w:p w:rsidR="00E636DC" w:rsidRDefault="00E636DC" w:rsidP="00E636DC">
            <w:pPr>
              <w:pStyle w:val="NormalHeadings"/>
              <w:jc w:val="left"/>
            </w:pPr>
            <w:bookmarkStart w:id="15" w:name="Respondent"/>
            <w:r>
              <w:t>MINISTER FOR IMMIGRATION AND BORDER PROTECTION</w:t>
            </w:r>
          </w:p>
          <w:p w:rsidR="00E636DC" w:rsidRDefault="00E636DC" w:rsidP="00E636DC">
            <w:pPr>
              <w:pStyle w:val="PartyType"/>
            </w:pPr>
            <w:r>
              <w:t>First Respondent</w:t>
            </w:r>
          </w:p>
          <w:p w:rsidR="00E636DC" w:rsidRDefault="00E636DC" w:rsidP="00713C3D">
            <w:pPr>
              <w:pStyle w:val="NormalHeadings"/>
              <w:jc w:val="left"/>
              <w:rPr>
                <w:szCs w:val="24"/>
              </w:rPr>
            </w:pPr>
          </w:p>
          <w:p w:rsidR="00E636DC" w:rsidRDefault="00E636DC" w:rsidP="00E636DC">
            <w:pPr>
              <w:pStyle w:val="NormalHeadings"/>
              <w:jc w:val="left"/>
            </w:pPr>
            <w:r>
              <w:t>ADMINISTRATIVE APPEALS TRIBUNAL</w:t>
            </w:r>
          </w:p>
          <w:p w:rsidR="00E636DC" w:rsidRDefault="00E636DC" w:rsidP="00E636DC">
            <w:pPr>
              <w:pStyle w:val="PartyType"/>
            </w:pPr>
            <w:r>
              <w:t>Second Respondent</w:t>
            </w:r>
          </w:p>
          <w:bookmarkEnd w:id="15"/>
          <w:p w:rsidR="00A46CCC" w:rsidRPr="006555B4" w:rsidRDefault="00A46CCC" w:rsidP="00713C3D">
            <w:pPr>
              <w:pStyle w:val="NormalHeadings"/>
              <w:jc w:val="left"/>
            </w:pPr>
          </w:p>
        </w:tc>
      </w:tr>
    </w:tbl>
    <w:p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E636DC">
            <w:pPr>
              <w:pStyle w:val="NormalHeadings"/>
              <w:spacing w:after="120"/>
              <w:jc w:val="left"/>
              <w:rPr>
                <w:caps/>
                <w:szCs w:val="24"/>
              </w:rPr>
            </w:pPr>
            <w:bookmarkStart w:id="17" w:name="JudgeText"/>
            <w:r>
              <w:rPr>
                <w:caps/>
                <w:szCs w:val="24"/>
              </w:rPr>
              <w:t>JUDGES</w:t>
            </w:r>
            <w:bookmarkEnd w:id="17"/>
            <w:r w:rsidR="002C7385">
              <w:rPr>
                <w:caps/>
                <w:szCs w:val="24"/>
              </w:rPr>
              <w:t>:</w:t>
            </w:r>
          </w:p>
        </w:tc>
        <w:tc>
          <w:tcPr>
            <w:tcW w:w="6866" w:type="dxa"/>
          </w:tcPr>
          <w:p w:rsidR="00395B24" w:rsidRDefault="00E636DC">
            <w:pPr>
              <w:pStyle w:val="NormalHeadings"/>
              <w:jc w:val="left"/>
              <w:rPr>
                <w:caps/>
                <w:szCs w:val="24"/>
              </w:rPr>
            </w:pPr>
            <w:bookmarkStart w:id="18" w:name="Judge"/>
            <w:r>
              <w:rPr>
                <w:caps/>
                <w:szCs w:val="24"/>
              </w:rPr>
              <w:t>KENNY, KERR AND PERRY JJ</w:t>
            </w:r>
            <w:bookmarkEnd w:id="18"/>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DE4CC4" w:rsidP="00A314DA">
            <w:pPr>
              <w:pStyle w:val="NormalHeadings"/>
              <w:jc w:val="left"/>
              <w:rPr>
                <w:caps/>
                <w:szCs w:val="24"/>
              </w:rPr>
            </w:pPr>
            <w:bookmarkStart w:id="19" w:name="Judgment_Dated"/>
            <w:r>
              <w:rPr>
                <w:caps/>
                <w:szCs w:val="24"/>
              </w:rPr>
              <w:t>15</w:t>
            </w:r>
            <w:r w:rsidR="00B51AFA">
              <w:rPr>
                <w:caps/>
                <w:szCs w:val="24"/>
              </w:rPr>
              <w:t xml:space="preserve"> January 2018</w:t>
            </w:r>
            <w:bookmarkEnd w:id="19"/>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FC416B" w:rsidRDefault="00FC416B" w:rsidP="00FC416B">
      <w:pPr>
        <w:pStyle w:val="Order1"/>
      </w:pPr>
      <w:bookmarkStart w:id="20" w:name="Order_Start_Text"/>
      <w:bookmarkEnd w:id="20"/>
      <w:r>
        <w:t>The appeal is allowed.</w:t>
      </w:r>
    </w:p>
    <w:p w:rsidR="00FB7E5F" w:rsidRDefault="00FB7E5F" w:rsidP="00FC416B">
      <w:pPr>
        <w:pStyle w:val="Order1"/>
      </w:pPr>
      <w:r>
        <w:t xml:space="preserve">The orders made by the Federal Circuit Court </w:t>
      </w:r>
      <w:r w:rsidR="00B06D6F">
        <w:t xml:space="preserve">of Australia </w:t>
      </w:r>
      <w:r>
        <w:t>on</w:t>
      </w:r>
      <w:r w:rsidR="00792FCE">
        <w:t xml:space="preserve"> 29 March 2017 </w:t>
      </w:r>
      <w:r>
        <w:t>are set aside</w:t>
      </w:r>
      <w:r w:rsidR="00B06D6F">
        <w:t xml:space="preserve"> and in place of those orders, order that:</w:t>
      </w:r>
    </w:p>
    <w:p w:rsidR="00B06D6F" w:rsidRDefault="00B06D6F" w:rsidP="00032117">
      <w:pPr>
        <w:pStyle w:val="Order2"/>
      </w:pPr>
      <w:r>
        <w:t xml:space="preserve">the decision of the Administrative Appeals Tribunal dated 20 September 2016 is </w:t>
      </w:r>
      <w:r w:rsidR="00FD2579">
        <w:t>set aside</w:t>
      </w:r>
      <w:r>
        <w:t>;</w:t>
      </w:r>
    </w:p>
    <w:p w:rsidR="00B06D6F" w:rsidRDefault="00B06D6F" w:rsidP="00032117">
      <w:pPr>
        <w:pStyle w:val="Order2"/>
      </w:pPr>
      <w:r>
        <w:t>the matter is remitted to the Administrative Appeals Tribunal</w:t>
      </w:r>
      <w:r w:rsidR="005C0883">
        <w:t>,</w:t>
      </w:r>
      <w:r>
        <w:t xml:space="preserve"> differently constituted</w:t>
      </w:r>
      <w:r w:rsidR="005C0883">
        <w:t>,</w:t>
      </w:r>
      <w:r>
        <w:t xml:space="preserve"> to be heard and determined according to law; and</w:t>
      </w:r>
    </w:p>
    <w:p w:rsidR="00B06D6F" w:rsidRDefault="00B06D6F" w:rsidP="00032117">
      <w:pPr>
        <w:pStyle w:val="Order2"/>
      </w:pPr>
      <w:proofErr w:type="gramStart"/>
      <w:r>
        <w:t>the</w:t>
      </w:r>
      <w:proofErr w:type="gramEnd"/>
      <w:r>
        <w:t xml:space="preserve"> first respondent is to pay the </w:t>
      </w:r>
      <w:r w:rsidR="004630B7">
        <w:t xml:space="preserve">applicant’s </w:t>
      </w:r>
      <w:r w:rsidR="00626D71">
        <w:t xml:space="preserve">costs of the proceeding, as </w:t>
      </w:r>
      <w:r w:rsidR="00B0714A">
        <w:t>agreed or taxed.</w:t>
      </w:r>
    </w:p>
    <w:p w:rsidR="00FC416B" w:rsidRDefault="00FC416B" w:rsidP="00FC416B">
      <w:pPr>
        <w:pStyle w:val="Order1"/>
      </w:pPr>
      <w:r>
        <w:t xml:space="preserve">The first respondent is to pay the appellant’s costs </w:t>
      </w:r>
      <w:r w:rsidR="00792FCE">
        <w:t>of the appeal</w:t>
      </w:r>
      <w:r w:rsidR="00B0714A">
        <w:t>,</w:t>
      </w:r>
      <w:r w:rsidR="005C0883">
        <w:t xml:space="preserve"> </w:t>
      </w:r>
      <w:r>
        <w:t>as agreed or taxed.</w:t>
      </w:r>
    </w:p>
    <w:p w:rsidR="00636871" w:rsidRDefault="00636871"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10"/>
          <w:headerReference w:type="first" r:id="rId11"/>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rsidR="00395B24" w:rsidRDefault="000E7B56" w:rsidP="005E0510">
      <w:pPr>
        <w:pStyle w:val="NormalHeadings"/>
        <w:spacing w:line="360" w:lineRule="auto"/>
        <w:jc w:val="left"/>
        <w:rPr>
          <w:sz w:val="26"/>
          <w:szCs w:val="26"/>
        </w:rPr>
      </w:pPr>
      <w:r>
        <w:rPr>
          <w:sz w:val="26"/>
          <w:szCs w:val="26"/>
        </w:rPr>
        <w:t>THE COURT</w:t>
      </w:r>
      <w:r w:rsidRPr="00EA03CE">
        <w:rPr>
          <w:sz w:val="26"/>
          <w:szCs w:val="26"/>
        </w:rPr>
        <w:t>:</w:t>
      </w:r>
    </w:p>
    <w:tbl>
      <w:tblPr>
        <w:tblW w:w="9627" w:type="dxa"/>
        <w:tblLook w:val="01E0" w:firstRow="1" w:lastRow="1" w:firstColumn="1" w:lastColumn="1" w:noHBand="0" w:noVBand="0"/>
      </w:tblPr>
      <w:tblGrid>
        <w:gridCol w:w="8627"/>
        <w:gridCol w:w="1000"/>
      </w:tblGrid>
      <w:tr w:rsidR="00384C47" w:rsidRPr="00D326DB" w:rsidTr="00384C47">
        <w:tc>
          <w:tcPr>
            <w:tcW w:w="8627" w:type="dxa"/>
            <w:shd w:val="clear" w:color="auto" w:fill="auto"/>
          </w:tcPr>
          <w:bookmarkStart w:id="22" w:name="PTOC"/>
          <w:p w:rsidR="00384C47" w:rsidRPr="00384C47" w:rsidRDefault="00384C47" w:rsidP="00384C47">
            <w:pPr>
              <w:pStyle w:val="FTOC5"/>
              <w:tabs>
                <w:tab w:val="clear" w:pos="9072"/>
              </w:tabs>
              <w:rPr>
                <w:lang w:eastAsia="en-AU"/>
              </w:rPr>
            </w:pPr>
            <w:r>
              <w:rPr>
                <w:lang w:eastAsia="en-AU"/>
              </w:rPr>
              <w:fldChar w:fldCharType="begin"/>
            </w:r>
            <w:r>
              <w:rPr>
                <w:lang w:eastAsia="en-AU"/>
              </w:rPr>
              <w:instrText xml:space="preserve"> REF _Ref499634436 \w \h </w:instrText>
            </w:r>
            <w:r>
              <w:rPr>
                <w:lang w:eastAsia="en-AU"/>
              </w:rPr>
            </w:r>
            <w:r>
              <w:rPr>
                <w:lang w:eastAsia="en-AU"/>
              </w:rPr>
              <w:fldChar w:fldCharType="separate"/>
            </w:r>
            <w:r w:rsidR="004639CA">
              <w:rPr>
                <w:lang w:eastAsia="en-AU"/>
              </w:rPr>
              <w:t>1</w:t>
            </w:r>
            <w:r>
              <w:rPr>
                <w:lang w:eastAsia="en-AU"/>
              </w:rPr>
              <w:fldChar w:fldCharType="end"/>
            </w:r>
            <w:r>
              <w:rPr>
                <w:lang w:eastAsia="en-AU"/>
              </w:rPr>
              <w:tab/>
            </w:r>
            <w:r>
              <w:rPr>
                <w:lang w:eastAsia="en-AU"/>
              </w:rPr>
              <w:fldChar w:fldCharType="begin"/>
            </w:r>
            <w:r>
              <w:rPr>
                <w:lang w:eastAsia="en-AU"/>
              </w:rPr>
              <w:instrText xml:space="preserve"> REF _Ref499634436 \h </w:instrText>
            </w:r>
            <w:r>
              <w:rPr>
                <w:lang w:eastAsia="en-AU"/>
              </w:rPr>
            </w:r>
            <w:r>
              <w:rPr>
                <w:lang w:eastAsia="en-AU"/>
              </w:rPr>
              <w:fldChar w:fldCharType="separate"/>
            </w:r>
            <w:r w:rsidR="004639CA">
              <w:t>INTRODUCTION</w:t>
            </w:r>
            <w:r>
              <w:rPr>
                <w:lang w:eastAsia="en-AU"/>
              </w:rPr>
              <w:fldChar w:fldCharType="end"/>
            </w:r>
          </w:p>
        </w:tc>
        <w:tc>
          <w:tcPr>
            <w:tcW w:w="1000" w:type="dxa"/>
            <w:shd w:val="clear" w:color="auto" w:fill="auto"/>
            <w:vAlign w:val="bottom"/>
          </w:tcPr>
          <w:p w:rsidR="00384C47" w:rsidRDefault="00384C47">
            <w:pPr>
              <w:jc w:val="right"/>
              <w:rPr>
                <w:szCs w:val="24"/>
              </w:rPr>
            </w:pPr>
            <w:r>
              <w:rPr>
                <w:szCs w:val="24"/>
              </w:rPr>
              <w:t>[1]</w:t>
            </w:r>
          </w:p>
        </w:tc>
      </w:tr>
      <w:tr w:rsidR="00384C47" w:rsidRPr="00D326DB" w:rsidTr="00384C47">
        <w:tc>
          <w:tcPr>
            <w:tcW w:w="8627" w:type="dxa"/>
            <w:shd w:val="clear" w:color="auto" w:fill="auto"/>
          </w:tcPr>
          <w:p w:rsidR="00384C47" w:rsidRPr="00384C47" w:rsidRDefault="00384C47" w:rsidP="00384C47">
            <w:pPr>
              <w:pStyle w:val="FTOC5"/>
              <w:tabs>
                <w:tab w:val="clear" w:pos="9072"/>
              </w:tabs>
              <w:rPr>
                <w:lang w:eastAsia="en-AU"/>
              </w:rPr>
            </w:pPr>
            <w:r>
              <w:rPr>
                <w:lang w:eastAsia="en-AU"/>
              </w:rPr>
              <w:fldChar w:fldCharType="begin"/>
            </w:r>
            <w:r>
              <w:rPr>
                <w:lang w:eastAsia="en-AU"/>
              </w:rPr>
              <w:instrText xml:space="preserve"> REF _Ref499634437 \w \h </w:instrText>
            </w:r>
            <w:r>
              <w:rPr>
                <w:lang w:eastAsia="en-AU"/>
              </w:rPr>
            </w:r>
            <w:r>
              <w:rPr>
                <w:lang w:eastAsia="en-AU"/>
              </w:rPr>
              <w:fldChar w:fldCharType="separate"/>
            </w:r>
            <w:r w:rsidR="004639CA">
              <w:rPr>
                <w:lang w:eastAsia="en-AU"/>
              </w:rPr>
              <w:t>2</w:t>
            </w:r>
            <w:r>
              <w:rPr>
                <w:lang w:eastAsia="en-AU"/>
              </w:rPr>
              <w:fldChar w:fldCharType="end"/>
            </w:r>
            <w:r>
              <w:rPr>
                <w:lang w:eastAsia="en-AU"/>
              </w:rPr>
              <w:tab/>
            </w:r>
            <w:r>
              <w:rPr>
                <w:lang w:eastAsia="en-AU"/>
              </w:rPr>
              <w:fldChar w:fldCharType="begin"/>
            </w:r>
            <w:r>
              <w:rPr>
                <w:lang w:eastAsia="en-AU"/>
              </w:rPr>
              <w:instrText xml:space="preserve"> REF _Ref499634437 \h </w:instrText>
            </w:r>
            <w:r>
              <w:rPr>
                <w:lang w:eastAsia="en-AU"/>
              </w:rPr>
            </w:r>
            <w:r>
              <w:rPr>
                <w:lang w:eastAsia="en-AU"/>
              </w:rPr>
              <w:fldChar w:fldCharType="separate"/>
            </w:r>
            <w:r w:rsidR="004639CA">
              <w:t>BACKGROUND</w:t>
            </w:r>
            <w:r>
              <w:rPr>
                <w:lang w:eastAsia="en-AU"/>
              </w:rPr>
              <w:fldChar w:fldCharType="end"/>
            </w:r>
          </w:p>
        </w:tc>
        <w:tc>
          <w:tcPr>
            <w:tcW w:w="1000" w:type="dxa"/>
            <w:shd w:val="clear" w:color="auto" w:fill="auto"/>
            <w:vAlign w:val="bottom"/>
          </w:tcPr>
          <w:p w:rsidR="00384C47" w:rsidRDefault="00384C47">
            <w:pPr>
              <w:jc w:val="right"/>
              <w:rPr>
                <w:szCs w:val="24"/>
              </w:rPr>
            </w:pPr>
            <w:r>
              <w:rPr>
                <w:szCs w:val="24"/>
              </w:rPr>
              <w:t>[5]</w:t>
            </w:r>
          </w:p>
        </w:tc>
      </w:tr>
      <w:tr w:rsidR="00384C47" w:rsidRPr="00D326DB" w:rsidTr="00384C47">
        <w:tc>
          <w:tcPr>
            <w:tcW w:w="8627" w:type="dxa"/>
            <w:shd w:val="clear" w:color="auto" w:fill="auto"/>
          </w:tcPr>
          <w:p w:rsidR="00384C47" w:rsidRPr="00384C47" w:rsidRDefault="00384C47" w:rsidP="00384C47">
            <w:pPr>
              <w:pStyle w:val="FTOC6"/>
              <w:tabs>
                <w:tab w:val="clear" w:pos="9072"/>
              </w:tabs>
              <w:rPr>
                <w:lang w:eastAsia="en-AU"/>
              </w:rPr>
            </w:pPr>
            <w:r>
              <w:rPr>
                <w:lang w:eastAsia="en-AU"/>
              </w:rPr>
              <w:fldChar w:fldCharType="begin"/>
            </w:r>
            <w:r>
              <w:rPr>
                <w:lang w:eastAsia="en-AU"/>
              </w:rPr>
              <w:instrText xml:space="preserve"> REF _Ref499634438 \w \h </w:instrText>
            </w:r>
            <w:r>
              <w:rPr>
                <w:lang w:eastAsia="en-AU"/>
              </w:rPr>
            </w:r>
            <w:r>
              <w:rPr>
                <w:lang w:eastAsia="en-AU"/>
              </w:rPr>
              <w:fldChar w:fldCharType="separate"/>
            </w:r>
            <w:r w:rsidR="004639CA">
              <w:rPr>
                <w:lang w:eastAsia="en-AU"/>
              </w:rPr>
              <w:t>2.1</w:t>
            </w:r>
            <w:r>
              <w:rPr>
                <w:lang w:eastAsia="en-AU"/>
              </w:rPr>
              <w:fldChar w:fldCharType="end"/>
            </w:r>
            <w:r>
              <w:rPr>
                <w:lang w:eastAsia="en-AU"/>
              </w:rPr>
              <w:tab/>
            </w:r>
            <w:r>
              <w:rPr>
                <w:lang w:eastAsia="en-AU"/>
              </w:rPr>
              <w:fldChar w:fldCharType="begin"/>
            </w:r>
            <w:r>
              <w:rPr>
                <w:lang w:eastAsia="en-AU"/>
              </w:rPr>
              <w:instrText xml:space="preserve"> REF _Ref499634438 \h </w:instrText>
            </w:r>
            <w:r>
              <w:rPr>
                <w:lang w:eastAsia="en-AU"/>
              </w:rPr>
            </w:r>
            <w:r>
              <w:rPr>
                <w:lang w:eastAsia="en-AU"/>
              </w:rPr>
              <w:fldChar w:fldCharType="separate"/>
            </w:r>
            <w:r w:rsidR="004639CA">
              <w:t>The first application for a protection visa</w:t>
            </w:r>
            <w:r>
              <w:rPr>
                <w:lang w:eastAsia="en-AU"/>
              </w:rPr>
              <w:fldChar w:fldCharType="end"/>
            </w:r>
          </w:p>
        </w:tc>
        <w:tc>
          <w:tcPr>
            <w:tcW w:w="1000" w:type="dxa"/>
            <w:shd w:val="clear" w:color="auto" w:fill="auto"/>
            <w:vAlign w:val="bottom"/>
          </w:tcPr>
          <w:p w:rsidR="00384C47" w:rsidRDefault="00384C47">
            <w:pPr>
              <w:jc w:val="right"/>
              <w:rPr>
                <w:szCs w:val="24"/>
              </w:rPr>
            </w:pPr>
            <w:r>
              <w:rPr>
                <w:szCs w:val="24"/>
              </w:rPr>
              <w:t>[5]</w:t>
            </w:r>
          </w:p>
        </w:tc>
      </w:tr>
      <w:tr w:rsidR="00384C47" w:rsidRPr="00D326DB" w:rsidTr="00384C47">
        <w:tc>
          <w:tcPr>
            <w:tcW w:w="8627" w:type="dxa"/>
            <w:shd w:val="clear" w:color="auto" w:fill="auto"/>
          </w:tcPr>
          <w:p w:rsidR="00384C47" w:rsidRPr="00384C47" w:rsidRDefault="00384C47" w:rsidP="00384C47">
            <w:pPr>
              <w:pStyle w:val="FTOC6"/>
              <w:tabs>
                <w:tab w:val="clear" w:pos="9072"/>
              </w:tabs>
              <w:rPr>
                <w:lang w:eastAsia="en-AU"/>
              </w:rPr>
            </w:pPr>
            <w:r>
              <w:rPr>
                <w:lang w:eastAsia="en-AU"/>
              </w:rPr>
              <w:fldChar w:fldCharType="begin"/>
            </w:r>
            <w:r>
              <w:rPr>
                <w:lang w:eastAsia="en-AU"/>
              </w:rPr>
              <w:instrText xml:space="preserve"> REF _Ref499634439 \w \h </w:instrText>
            </w:r>
            <w:r>
              <w:rPr>
                <w:lang w:eastAsia="en-AU"/>
              </w:rPr>
            </w:r>
            <w:r>
              <w:rPr>
                <w:lang w:eastAsia="en-AU"/>
              </w:rPr>
              <w:fldChar w:fldCharType="separate"/>
            </w:r>
            <w:r w:rsidR="004639CA">
              <w:rPr>
                <w:lang w:eastAsia="en-AU"/>
              </w:rPr>
              <w:t>2.2</w:t>
            </w:r>
            <w:r>
              <w:rPr>
                <w:lang w:eastAsia="en-AU"/>
              </w:rPr>
              <w:fldChar w:fldCharType="end"/>
            </w:r>
            <w:r>
              <w:rPr>
                <w:lang w:eastAsia="en-AU"/>
              </w:rPr>
              <w:tab/>
            </w:r>
            <w:r>
              <w:rPr>
                <w:lang w:eastAsia="en-AU"/>
              </w:rPr>
              <w:fldChar w:fldCharType="begin"/>
            </w:r>
            <w:r>
              <w:rPr>
                <w:lang w:eastAsia="en-AU"/>
              </w:rPr>
              <w:instrText xml:space="preserve"> REF _Ref499634439 \h </w:instrText>
            </w:r>
            <w:r>
              <w:rPr>
                <w:lang w:eastAsia="en-AU"/>
              </w:rPr>
            </w:r>
            <w:r>
              <w:rPr>
                <w:lang w:eastAsia="en-AU"/>
              </w:rPr>
              <w:fldChar w:fldCharType="separate"/>
            </w:r>
            <w:r w:rsidR="004639CA">
              <w:t>The second application for a protection visa</w:t>
            </w:r>
            <w:r>
              <w:rPr>
                <w:lang w:eastAsia="en-AU"/>
              </w:rPr>
              <w:fldChar w:fldCharType="end"/>
            </w:r>
          </w:p>
        </w:tc>
        <w:tc>
          <w:tcPr>
            <w:tcW w:w="1000" w:type="dxa"/>
            <w:shd w:val="clear" w:color="auto" w:fill="auto"/>
            <w:vAlign w:val="bottom"/>
          </w:tcPr>
          <w:p w:rsidR="00384C47" w:rsidRDefault="00384C47">
            <w:pPr>
              <w:jc w:val="right"/>
              <w:rPr>
                <w:szCs w:val="24"/>
              </w:rPr>
            </w:pPr>
            <w:r>
              <w:rPr>
                <w:szCs w:val="24"/>
              </w:rPr>
              <w:t>[</w:t>
            </w:r>
            <w:r w:rsidR="00481571">
              <w:rPr>
                <w:szCs w:val="24"/>
              </w:rPr>
              <w:t>9</w:t>
            </w:r>
            <w:r>
              <w:rPr>
                <w:szCs w:val="24"/>
              </w:rPr>
              <w:t>]</w:t>
            </w:r>
          </w:p>
        </w:tc>
      </w:tr>
      <w:tr w:rsidR="00384C47" w:rsidRPr="00D326DB" w:rsidTr="00384C47">
        <w:tc>
          <w:tcPr>
            <w:tcW w:w="8627" w:type="dxa"/>
            <w:shd w:val="clear" w:color="auto" w:fill="auto"/>
          </w:tcPr>
          <w:p w:rsidR="00384C47" w:rsidRPr="00384C47" w:rsidRDefault="00384C47" w:rsidP="00384C47">
            <w:pPr>
              <w:pStyle w:val="FTOC6"/>
              <w:tabs>
                <w:tab w:val="clear" w:pos="9072"/>
              </w:tabs>
              <w:rPr>
                <w:lang w:eastAsia="en-AU"/>
              </w:rPr>
            </w:pPr>
            <w:r>
              <w:rPr>
                <w:lang w:eastAsia="en-AU"/>
              </w:rPr>
              <w:fldChar w:fldCharType="begin"/>
            </w:r>
            <w:r>
              <w:rPr>
                <w:lang w:eastAsia="en-AU"/>
              </w:rPr>
              <w:instrText xml:space="preserve"> REF _Ref499634440 \w \h </w:instrText>
            </w:r>
            <w:r>
              <w:rPr>
                <w:lang w:eastAsia="en-AU"/>
              </w:rPr>
            </w:r>
            <w:r>
              <w:rPr>
                <w:lang w:eastAsia="en-AU"/>
              </w:rPr>
              <w:fldChar w:fldCharType="separate"/>
            </w:r>
            <w:r w:rsidR="004639CA">
              <w:rPr>
                <w:lang w:eastAsia="en-AU"/>
              </w:rPr>
              <w:t>2.3</w:t>
            </w:r>
            <w:r>
              <w:rPr>
                <w:lang w:eastAsia="en-AU"/>
              </w:rPr>
              <w:fldChar w:fldCharType="end"/>
            </w:r>
            <w:r>
              <w:rPr>
                <w:lang w:eastAsia="en-AU"/>
              </w:rPr>
              <w:tab/>
            </w:r>
            <w:r>
              <w:rPr>
                <w:lang w:eastAsia="en-AU"/>
              </w:rPr>
              <w:fldChar w:fldCharType="begin"/>
            </w:r>
            <w:r>
              <w:rPr>
                <w:lang w:eastAsia="en-AU"/>
              </w:rPr>
              <w:instrText xml:space="preserve"> REF _Ref499634440 \h </w:instrText>
            </w:r>
            <w:r>
              <w:rPr>
                <w:lang w:eastAsia="en-AU"/>
              </w:rPr>
            </w:r>
            <w:r>
              <w:rPr>
                <w:lang w:eastAsia="en-AU"/>
              </w:rPr>
              <w:fldChar w:fldCharType="separate"/>
            </w:r>
            <w:r w:rsidR="004639CA">
              <w:t>The decision of the Federal Circuit Court</w:t>
            </w:r>
            <w:r>
              <w:rPr>
                <w:lang w:eastAsia="en-AU"/>
              </w:rPr>
              <w:fldChar w:fldCharType="end"/>
            </w:r>
          </w:p>
        </w:tc>
        <w:tc>
          <w:tcPr>
            <w:tcW w:w="1000" w:type="dxa"/>
            <w:shd w:val="clear" w:color="auto" w:fill="auto"/>
            <w:vAlign w:val="bottom"/>
          </w:tcPr>
          <w:p w:rsidR="00384C47" w:rsidRDefault="00384C47">
            <w:pPr>
              <w:jc w:val="right"/>
              <w:rPr>
                <w:szCs w:val="24"/>
              </w:rPr>
            </w:pPr>
            <w:r>
              <w:rPr>
                <w:szCs w:val="24"/>
              </w:rPr>
              <w:t>[2</w:t>
            </w:r>
            <w:r w:rsidR="00481571">
              <w:rPr>
                <w:szCs w:val="24"/>
              </w:rPr>
              <w:t>3</w:t>
            </w:r>
            <w:r>
              <w:rPr>
                <w:szCs w:val="24"/>
              </w:rPr>
              <w:t>]</w:t>
            </w:r>
          </w:p>
        </w:tc>
      </w:tr>
      <w:tr w:rsidR="00384C47" w:rsidRPr="00D326DB" w:rsidTr="00384C47">
        <w:tc>
          <w:tcPr>
            <w:tcW w:w="8627" w:type="dxa"/>
            <w:shd w:val="clear" w:color="auto" w:fill="auto"/>
          </w:tcPr>
          <w:p w:rsidR="00384C47" w:rsidRPr="00384C47" w:rsidRDefault="00384C47" w:rsidP="00714118">
            <w:pPr>
              <w:pStyle w:val="FTOC5"/>
              <w:tabs>
                <w:tab w:val="clear" w:pos="9072"/>
              </w:tabs>
              <w:rPr>
                <w:lang w:eastAsia="en-AU"/>
              </w:rPr>
            </w:pPr>
            <w:r>
              <w:rPr>
                <w:lang w:eastAsia="en-AU"/>
              </w:rPr>
              <w:fldChar w:fldCharType="begin"/>
            </w:r>
            <w:r>
              <w:rPr>
                <w:lang w:eastAsia="en-AU"/>
              </w:rPr>
              <w:instrText xml:space="preserve"> REF _Ref499634441 \w \h </w:instrText>
            </w:r>
            <w:r>
              <w:rPr>
                <w:lang w:eastAsia="en-AU"/>
              </w:rPr>
            </w:r>
            <w:r>
              <w:rPr>
                <w:lang w:eastAsia="en-AU"/>
              </w:rPr>
              <w:fldChar w:fldCharType="separate"/>
            </w:r>
            <w:r w:rsidR="004639CA">
              <w:rPr>
                <w:lang w:eastAsia="en-AU"/>
              </w:rPr>
              <w:t>3</w:t>
            </w:r>
            <w:r>
              <w:rPr>
                <w:lang w:eastAsia="en-AU"/>
              </w:rPr>
              <w:fldChar w:fldCharType="end"/>
            </w:r>
            <w:r>
              <w:rPr>
                <w:lang w:eastAsia="en-AU"/>
              </w:rPr>
              <w:tab/>
            </w:r>
            <w:r>
              <w:rPr>
                <w:lang w:eastAsia="en-AU"/>
              </w:rPr>
              <w:fldChar w:fldCharType="begin"/>
            </w:r>
            <w:r>
              <w:rPr>
                <w:lang w:eastAsia="en-AU"/>
              </w:rPr>
              <w:instrText xml:space="preserve"> REF _Ref499634441 \h </w:instrText>
            </w:r>
            <w:r>
              <w:rPr>
                <w:lang w:eastAsia="en-AU"/>
              </w:rPr>
            </w:r>
            <w:r>
              <w:rPr>
                <w:lang w:eastAsia="en-AU"/>
              </w:rPr>
              <w:fldChar w:fldCharType="separate"/>
            </w:r>
            <w:r w:rsidR="004639CA">
              <w:t>RELEVANT PRINCIPLE</w:t>
            </w:r>
            <w:r w:rsidR="00714118">
              <w:t>S: LEGAL UNREA</w:t>
            </w:r>
            <w:r w:rsidR="00714118">
              <w:t>S</w:t>
            </w:r>
            <w:r w:rsidR="00714118">
              <w:t>ONABLENES</w:t>
            </w:r>
            <w:r w:rsidR="004639CA">
              <w:t>S</w:t>
            </w:r>
            <w:r>
              <w:rPr>
                <w:lang w:eastAsia="en-AU"/>
              </w:rPr>
              <w:fldChar w:fldCharType="end"/>
            </w:r>
          </w:p>
        </w:tc>
        <w:tc>
          <w:tcPr>
            <w:tcW w:w="1000" w:type="dxa"/>
            <w:shd w:val="clear" w:color="auto" w:fill="auto"/>
            <w:vAlign w:val="bottom"/>
          </w:tcPr>
          <w:p w:rsidR="00384C47" w:rsidRDefault="00384C47">
            <w:pPr>
              <w:jc w:val="right"/>
              <w:rPr>
                <w:szCs w:val="24"/>
              </w:rPr>
            </w:pPr>
            <w:r>
              <w:rPr>
                <w:szCs w:val="24"/>
              </w:rPr>
              <w:t>[</w:t>
            </w:r>
            <w:r w:rsidR="00481571">
              <w:rPr>
                <w:szCs w:val="24"/>
              </w:rPr>
              <w:t>30</w:t>
            </w:r>
            <w:r>
              <w:rPr>
                <w:szCs w:val="24"/>
              </w:rPr>
              <w:t>]</w:t>
            </w:r>
          </w:p>
        </w:tc>
      </w:tr>
      <w:tr w:rsidR="00384C47" w:rsidRPr="00D326DB" w:rsidTr="00384C47">
        <w:tc>
          <w:tcPr>
            <w:tcW w:w="8627" w:type="dxa"/>
            <w:shd w:val="clear" w:color="auto" w:fill="auto"/>
          </w:tcPr>
          <w:p w:rsidR="00384C47" w:rsidRPr="00384C47" w:rsidRDefault="00384C47" w:rsidP="00384C47">
            <w:pPr>
              <w:pStyle w:val="FTOC5"/>
              <w:tabs>
                <w:tab w:val="clear" w:pos="9072"/>
              </w:tabs>
              <w:rPr>
                <w:lang w:eastAsia="en-AU"/>
              </w:rPr>
            </w:pPr>
            <w:r>
              <w:rPr>
                <w:lang w:eastAsia="en-AU"/>
              </w:rPr>
              <w:fldChar w:fldCharType="begin"/>
            </w:r>
            <w:r>
              <w:rPr>
                <w:lang w:eastAsia="en-AU"/>
              </w:rPr>
              <w:instrText xml:space="preserve"> REF _Ref499634442 \w \h </w:instrText>
            </w:r>
            <w:r>
              <w:rPr>
                <w:lang w:eastAsia="en-AU"/>
              </w:rPr>
            </w:r>
            <w:r>
              <w:rPr>
                <w:lang w:eastAsia="en-AU"/>
              </w:rPr>
              <w:fldChar w:fldCharType="separate"/>
            </w:r>
            <w:r w:rsidR="004639CA">
              <w:rPr>
                <w:lang w:eastAsia="en-AU"/>
              </w:rPr>
              <w:t>4</w:t>
            </w:r>
            <w:r>
              <w:rPr>
                <w:lang w:eastAsia="en-AU"/>
              </w:rPr>
              <w:fldChar w:fldCharType="end"/>
            </w:r>
            <w:r>
              <w:rPr>
                <w:lang w:eastAsia="en-AU"/>
              </w:rPr>
              <w:tab/>
            </w:r>
            <w:r>
              <w:rPr>
                <w:lang w:eastAsia="en-AU"/>
              </w:rPr>
              <w:fldChar w:fldCharType="begin"/>
            </w:r>
            <w:r>
              <w:rPr>
                <w:lang w:eastAsia="en-AU"/>
              </w:rPr>
              <w:instrText xml:space="preserve"> REF _Ref499634442 \h </w:instrText>
            </w:r>
            <w:r>
              <w:rPr>
                <w:lang w:eastAsia="en-AU"/>
              </w:rPr>
            </w:r>
            <w:r>
              <w:rPr>
                <w:lang w:eastAsia="en-AU"/>
              </w:rPr>
              <w:fldChar w:fldCharType="separate"/>
            </w:r>
            <w:r w:rsidR="004639CA">
              <w:t>IS THE AAT’S DECISION LEGALLY UNREASONABLE?</w:t>
            </w:r>
            <w:r>
              <w:rPr>
                <w:lang w:eastAsia="en-AU"/>
              </w:rPr>
              <w:fldChar w:fldCharType="end"/>
            </w:r>
          </w:p>
        </w:tc>
        <w:tc>
          <w:tcPr>
            <w:tcW w:w="1000" w:type="dxa"/>
            <w:shd w:val="clear" w:color="auto" w:fill="auto"/>
            <w:vAlign w:val="bottom"/>
          </w:tcPr>
          <w:p w:rsidR="00384C47" w:rsidRDefault="00384C47">
            <w:pPr>
              <w:jc w:val="right"/>
              <w:rPr>
                <w:szCs w:val="24"/>
              </w:rPr>
            </w:pPr>
            <w:r>
              <w:rPr>
                <w:szCs w:val="24"/>
              </w:rPr>
              <w:t>[</w:t>
            </w:r>
            <w:r w:rsidR="00481571">
              <w:rPr>
                <w:szCs w:val="24"/>
              </w:rPr>
              <w:t>31</w:t>
            </w:r>
            <w:r>
              <w:rPr>
                <w:szCs w:val="24"/>
              </w:rPr>
              <w:t>]</w:t>
            </w:r>
          </w:p>
        </w:tc>
      </w:tr>
      <w:tr w:rsidR="00384C47" w:rsidRPr="00D326DB" w:rsidTr="00384C47">
        <w:tc>
          <w:tcPr>
            <w:tcW w:w="8627" w:type="dxa"/>
            <w:shd w:val="clear" w:color="auto" w:fill="auto"/>
          </w:tcPr>
          <w:p w:rsidR="00384C47" w:rsidRPr="00384C47" w:rsidRDefault="00384C47" w:rsidP="00384C47">
            <w:pPr>
              <w:pStyle w:val="FTOC6"/>
              <w:tabs>
                <w:tab w:val="clear" w:pos="9072"/>
              </w:tabs>
              <w:rPr>
                <w:lang w:eastAsia="en-AU"/>
              </w:rPr>
            </w:pPr>
            <w:r>
              <w:rPr>
                <w:lang w:eastAsia="en-AU"/>
              </w:rPr>
              <w:fldChar w:fldCharType="begin"/>
            </w:r>
            <w:r>
              <w:rPr>
                <w:lang w:eastAsia="en-AU"/>
              </w:rPr>
              <w:instrText xml:space="preserve"> REF _Ref499634443 \w \h </w:instrText>
            </w:r>
            <w:r>
              <w:rPr>
                <w:lang w:eastAsia="en-AU"/>
              </w:rPr>
            </w:r>
            <w:r>
              <w:rPr>
                <w:lang w:eastAsia="en-AU"/>
              </w:rPr>
              <w:fldChar w:fldCharType="separate"/>
            </w:r>
            <w:r w:rsidR="004639CA">
              <w:rPr>
                <w:lang w:eastAsia="en-AU"/>
              </w:rPr>
              <w:t>4.1</w:t>
            </w:r>
            <w:r>
              <w:rPr>
                <w:lang w:eastAsia="en-AU"/>
              </w:rPr>
              <w:fldChar w:fldCharType="end"/>
            </w:r>
            <w:r>
              <w:rPr>
                <w:lang w:eastAsia="en-AU"/>
              </w:rPr>
              <w:tab/>
            </w:r>
            <w:r>
              <w:rPr>
                <w:lang w:eastAsia="en-AU"/>
              </w:rPr>
              <w:fldChar w:fldCharType="begin"/>
            </w:r>
            <w:r>
              <w:rPr>
                <w:lang w:eastAsia="en-AU"/>
              </w:rPr>
              <w:instrText xml:space="preserve"> REF _Ref499634443 \h </w:instrText>
            </w:r>
            <w:r>
              <w:rPr>
                <w:lang w:eastAsia="en-AU"/>
              </w:rPr>
            </w:r>
            <w:r>
              <w:rPr>
                <w:lang w:eastAsia="en-AU"/>
              </w:rPr>
              <w:fldChar w:fldCharType="separate"/>
            </w:r>
            <w:r w:rsidR="004639CA">
              <w:t>The issues</w:t>
            </w:r>
            <w:r>
              <w:rPr>
                <w:lang w:eastAsia="en-AU"/>
              </w:rPr>
              <w:fldChar w:fldCharType="end"/>
            </w:r>
          </w:p>
        </w:tc>
        <w:tc>
          <w:tcPr>
            <w:tcW w:w="1000" w:type="dxa"/>
            <w:shd w:val="clear" w:color="auto" w:fill="auto"/>
            <w:vAlign w:val="bottom"/>
          </w:tcPr>
          <w:p w:rsidR="00384C47" w:rsidRDefault="00384C47">
            <w:pPr>
              <w:jc w:val="right"/>
              <w:rPr>
                <w:szCs w:val="24"/>
              </w:rPr>
            </w:pPr>
            <w:r>
              <w:rPr>
                <w:szCs w:val="24"/>
              </w:rPr>
              <w:t>[</w:t>
            </w:r>
            <w:r w:rsidR="00481571">
              <w:rPr>
                <w:szCs w:val="24"/>
              </w:rPr>
              <w:t>31</w:t>
            </w:r>
            <w:r>
              <w:rPr>
                <w:szCs w:val="24"/>
              </w:rPr>
              <w:t>]</w:t>
            </w:r>
          </w:p>
        </w:tc>
      </w:tr>
      <w:tr w:rsidR="00384C47" w:rsidRPr="00D326DB" w:rsidTr="00384C47">
        <w:tc>
          <w:tcPr>
            <w:tcW w:w="8627" w:type="dxa"/>
            <w:shd w:val="clear" w:color="auto" w:fill="auto"/>
          </w:tcPr>
          <w:p w:rsidR="00384C47" w:rsidRPr="00384C47" w:rsidRDefault="00384C47" w:rsidP="00384C47">
            <w:pPr>
              <w:pStyle w:val="FTOC6"/>
              <w:tabs>
                <w:tab w:val="clear" w:pos="9072"/>
              </w:tabs>
              <w:rPr>
                <w:lang w:eastAsia="en-AU"/>
              </w:rPr>
            </w:pPr>
            <w:r>
              <w:rPr>
                <w:lang w:eastAsia="en-AU"/>
              </w:rPr>
              <w:fldChar w:fldCharType="begin"/>
            </w:r>
            <w:r>
              <w:rPr>
                <w:lang w:eastAsia="en-AU"/>
              </w:rPr>
              <w:instrText xml:space="preserve"> REF _Ref499634444 \w \h </w:instrText>
            </w:r>
            <w:r>
              <w:rPr>
                <w:lang w:eastAsia="en-AU"/>
              </w:rPr>
            </w:r>
            <w:r>
              <w:rPr>
                <w:lang w:eastAsia="en-AU"/>
              </w:rPr>
              <w:fldChar w:fldCharType="separate"/>
            </w:r>
            <w:r w:rsidR="004639CA">
              <w:rPr>
                <w:lang w:eastAsia="en-AU"/>
              </w:rPr>
              <w:t>4.2</w:t>
            </w:r>
            <w:r>
              <w:rPr>
                <w:lang w:eastAsia="en-AU"/>
              </w:rPr>
              <w:fldChar w:fldCharType="end"/>
            </w:r>
            <w:r>
              <w:rPr>
                <w:lang w:eastAsia="en-AU"/>
              </w:rPr>
              <w:tab/>
            </w:r>
            <w:r>
              <w:rPr>
                <w:lang w:eastAsia="en-AU"/>
              </w:rPr>
              <w:fldChar w:fldCharType="begin"/>
            </w:r>
            <w:r>
              <w:rPr>
                <w:lang w:eastAsia="en-AU"/>
              </w:rPr>
              <w:instrText xml:space="preserve"> REF _Ref499634444 \h </w:instrText>
            </w:r>
            <w:r>
              <w:rPr>
                <w:lang w:eastAsia="en-AU"/>
              </w:rPr>
            </w:r>
            <w:r>
              <w:rPr>
                <w:lang w:eastAsia="en-AU"/>
              </w:rPr>
              <w:fldChar w:fldCharType="separate"/>
            </w:r>
            <w:r w:rsidR="004639CA">
              <w:t>The decision is legally unreasonable</w:t>
            </w:r>
            <w:r>
              <w:rPr>
                <w:lang w:eastAsia="en-AU"/>
              </w:rPr>
              <w:fldChar w:fldCharType="end"/>
            </w:r>
          </w:p>
        </w:tc>
        <w:tc>
          <w:tcPr>
            <w:tcW w:w="1000" w:type="dxa"/>
            <w:shd w:val="clear" w:color="auto" w:fill="auto"/>
            <w:vAlign w:val="bottom"/>
          </w:tcPr>
          <w:p w:rsidR="00384C47" w:rsidRDefault="00384C47">
            <w:pPr>
              <w:jc w:val="right"/>
              <w:rPr>
                <w:szCs w:val="24"/>
              </w:rPr>
            </w:pPr>
            <w:r>
              <w:rPr>
                <w:szCs w:val="24"/>
              </w:rPr>
              <w:t>[</w:t>
            </w:r>
            <w:r w:rsidR="00481571">
              <w:rPr>
                <w:szCs w:val="24"/>
              </w:rPr>
              <w:t>35</w:t>
            </w:r>
            <w:r>
              <w:rPr>
                <w:szCs w:val="24"/>
              </w:rPr>
              <w:t>]</w:t>
            </w:r>
          </w:p>
        </w:tc>
      </w:tr>
      <w:tr w:rsidR="00384C47" w:rsidRPr="00D326DB" w:rsidTr="00384C47">
        <w:tc>
          <w:tcPr>
            <w:tcW w:w="8627" w:type="dxa"/>
            <w:shd w:val="clear" w:color="auto" w:fill="auto"/>
          </w:tcPr>
          <w:p w:rsidR="00384C47" w:rsidRPr="00384C47" w:rsidRDefault="00384C47" w:rsidP="00384C47">
            <w:pPr>
              <w:pStyle w:val="FTOC5"/>
              <w:tabs>
                <w:tab w:val="clear" w:pos="9072"/>
              </w:tabs>
              <w:rPr>
                <w:lang w:eastAsia="en-AU"/>
              </w:rPr>
            </w:pPr>
            <w:r>
              <w:rPr>
                <w:lang w:eastAsia="en-AU"/>
              </w:rPr>
              <w:fldChar w:fldCharType="begin"/>
            </w:r>
            <w:r>
              <w:rPr>
                <w:lang w:eastAsia="en-AU"/>
              </w:rPr>
              <w:instrText xml:space="preserve"> REF _Ref499634445 \w \h </w:instrText>
            </w:r>
            <w:r>
              <w:rPr>
                <w:lang w:eastAsia="en-AU"/>
              </w:rPr>
            </w:r>
            <w:r>
              <w:rPr>
                <w:lang w:eastAsia="en-AU"/>
              </w:rPr>
              <w:fldChar w:fldCharType="separate"/>
            </w:r>
            <w:r w:rsidR="004639CA">
              <w:rPr>
                <w:lang w:eastAsia="en-AU"/>
              </w:rPr>
              <w:t>5</w:t>
            </w:r>
            <w:r>
              <w:rPr>
                <w:lang w:eastAsia="en-AU"/>
              </w:rPr>
              <w:fldChar w:fldCharType="end"/>
            </w:r>
            <w:r>
              <w:rPr>
                <w:lang w:eastAsia="en-AU"/>
              </w:rPr>
              <w:tab/>
            </w:r>
            <w:r>
              <w:rPr>
                <w:lang w:eastAsia="en-AU"/>
              </w:rPr>
              <w:fldChar w:fldCharType="begin"/>
            </w:r>
            <w:r>
              <w:rPr>
                <w:lang w:eastAsia="en-AU"/>
              </w:rPr>
              <w:instrText xml:space="preserve"> REF _Ref499634445 \h </w:instrText>
            </w:r>
            <w:r>
              <w:rPr>
                <w:lang w:eastAsia="en-AU"/>
              </w:rPr>
            </w:r>
            <w:r>
              <w:rPr>
                <w:lang w:eastAsia="en-AU"/>
              </w:rPr>
              <w:fldChar w:fldCharType="separate"/>
            </w:r>
            <w:r w:rsidR="004639CA">
              <w:t xml:space="preserve">ALLEGED INADEQUACY OF REASONS BELOW </w:t>
            </w:r>
            <w:r>
              <w:rPr>
                <w:lang w:eastAsia="en-AU"/>
              </w:rPr>
              <w:fldChar w:fldCharType="end"/>
            </w:r>
          </w:p>
        </w:tc>
        <w:tc>
          <w:tcPr>
            <w:tcW w:w="1000" w:type="dxa"/>
            <w:shd w:val="clear" w:color="auto" w:fill="auto"/>
            <w:vAlign w:val="bottom"/>
          </w:tcPr>
          <w:p w:rsidR="00384C47" w:rsidRDefault="00384C47">
            <w:pPr>
              <w:jc w:val="right"/>
              <w:rPr>
                <w:szCs w:val="24"/>
              </w:rPr>
            </w:pPr>
            <w:r>
              <w:rPr>
                <w:szCs w:val="24"/>
              </w:rPr>
              <w:t>[4</w:t>
            </w:r>
            <w:r w:rsidR="00481571">
              <w:rPr>
                <w:szCs w:val="24"/>
              </w:rPr>
              <w:t>6</w:t>
            </w:r>
            <w:r>
              <w:rPr>
                <w:szCs w:val="24"/>
              </w:rPr>
              <w:t>]</w:t>
            </w:r>
          </w:p>
        </w:tc>
      </w:tr>
      <w:tr w:rsidR="00384C47" w:rsidRPr="00D326DB" w:rsidTr="00384C47">
        <w:tc>
          <w:tcPr>
            <w:tcW w:w="8627" w:type="dxa"/>
            <w:shd w:val="clear" w:color="auto" w:fill="auto"/>
          </w:tcPr>
          <w:p w:rsidR="00384C47" w:rsidRPr="00384C47" w:rsidRDefault="00384C47" w:rsidP="00384C47">
            <w:pPr>
              <w:pStyle w:val="FTOC5"/>
              <w:tabs>
                <w:tab w:val="clear" w:pos="9072"/>
              </w:tabs>
              <w:rPr>
                <w:lang w:eastAsia="en-AU"/>
              </w:rPr>
            </w:pPr>
            <w:r>
              <w:rPr>
                <w:lang w:eastAsia="en-AU"/>
              </w:rPr>
              <w:fldChar w:fldCharType="begin"/>
            </w:r>
            <w:r>
              <w:rPr>
                <w:lang w:eastAsia="en-AU"/>
              </w:rPr>
              <w:instrText xml:space="preserve"> REF _Ref499634446 \w \h </w:instrText>
            </w:r>
            <w:r>
              <w:rPr>
                <w:lang w:eastAsia="en-AU"/>
              </w:rPr>
            </w:r>
            <w:r>
              <w:rPr>
                <w:lang w:eastAsia="en-AU"/>
              </w:rPr>
              <w:fldChar w:fldCharType="separate"/>
            </w:r>
            <w:r w:rsidR="004639CA">
              <w:rPr>
                <w:lang w:eastAsia="en-AU"/>
              </w:rPr>
              <w:t>6</w:t>
            </w:r>
            <w:r>
              <w:rPr>
                <w:lang w:eastAsia="en-AU"/>
              </w:rPr>
              <w:fldChar w:fldCharType="end"/>
            </w:r>
            <w:r>
              <w:rPr>
                <w:lang w:eastAsia="en-AU"/>
              </w:rPr>
              <w:tab/>
            </w:r>
            <w:r>
              <w:rPr>
                <w:lang w:eastAsia="en-AU"/>
              </w:rPr>
              <w:fldChar w:fldCharType="begin"/>
            </w:r>
            <w:r>
              <w:rPr>
                <w:lang w:eastAsia="en-AU"/>
              </w:rPr>
              <w:instrText xml:space="preserve"> REF _Ref499634446 \h </w:instrText>
            </w:r>
            <w:r>
              <w:rPr>
                <w:lang w:eastAsia="en-AU"/>
              </w:rPr>
            </w:r>
            <w:r>
              <w:rPr>
                <w:lang w:eastAsia="en-AU"/>
              </w:rPr>
              <w:fldChar w:fldCharType="separate"/>
            </w:r>
            <w:r w:rsidR="004639CA">
              <w:t>CONCLUSION</w:t>
            </w:r>
            <w:r>
              <w:rPr>
                <w:lang w:eastAsia="en-AU"/>
              </w:rPr>
              <w:fldChar w:fldCharType="end"/>
            </w:r>
          </w:p>
        </w:tc>
        <w:tc>
          <w:tcPr>
            <w:tcW w:w="1000" w:type="dxa"/>
            <w:shd w:val="clear" w:color="auto" w:fill="auto"/>
            <w:vAlign w:val="bottom"/>
          </w:tcPr>
          <w:p w:rsidR="00384C47" w:rsidRDefault="00384C47">
            <w:pPr>
              <w:jc w:val="right"/>
              <w:rPr>
                <w:szCs w:val="24"/>
              </w:rPr>
            </w:pPr>
            <w:r>
              <w:rPr>
                <w:szCs w:val="24"/>
              </w:rPr>
              <w:t>[4</w:t>
            </w:r>
            <w:r w:rsidR="00481571">
              <w:rPr>
                <w:szCs w:val="24"/>
              </w:rPr>
              <w:t>9</w:t>
            </w:r>
            <w:r>
              <w:rPr>
                <w:szCs w:val="24"/>
              </w:rPr>
              <w:t>]</w:t>
            </w:r>
          </w:p>
        </w:tc>
      </w:tr>
      <w:bookmarkEnd w:id="22"/>
    </w:tbl>
    <w:p w:rsidR="00384C47" w:rsidRPr="00EA03CE" w:rsidRDefault="00384C47" w:rsidP="005E0510">
      <w:pPr>
        <w:pStyle w:val="NormalHeadings"/>
        <w:spacing w:line="360" w:lineRule="auto"/>
        <w:jc w:val="left"/>
        <w:rPr>
          <w:sz w:val="26"/>
          <w:szCs w:val="26"/>
        </w:rPr>
      </w:pPr>
    </w:p>
    <w:p w:rsidR="00484F6D" w:rsidRDefault="00E636DC" w:rsidP="00E636DC">
      <w:pPr>
        <w:pStyle w:val="Heading5"/>
      </w:pPr>
      <w:bookmarkStart w:id="23" w:name="_Ref499634436"/>
      <w:r>
        <w:t>INTRODUCTION</w:t>
      </w:r>
      <w:bookmarkEnd w:id="23"/>
    </w:p>
    <w:p w:rsidR="00C45131" w:rsidRDefault="00C45131" w:rsidP="00E636DC">
      <w:pPr>
        <w:pStyle w:val="ParaNumbering"/>
      </w:pPr>
      <w:r>
        <w:t>T</w:t>
      </w:r>
      <w:r w:rsidR="00E636DC">
        <w:t>his is an appeal from a decision of the Federal Circuit</w:t>
      </w:r>
      <w:r w:rsidR="009F3F9B">
        <w:t xml:space="preserve"> Court </w:t>
      </w:r>
      <w:r w:rsidR="00E636DC">
        <w:t xml:space="preserve">given on 29 March 2017. </w:t>
      </w:r>
      <w:r>
        <w:t xml:space="preserve"> </w:t>
      </w:r>
      <w:r w:rsidR="00E636DC">
        <w:t xml:space="preserve">By that decision, the </w:t>
      </w:r>
      <w:r w:rsidR="007817DB">
        <w:t>primary judge</w:t>
      </w:r>
      <w:r w:rsidR="00E636DC">
        <w:t xml:space="preserve"> dismissed the appellant’s application for judicial review of a decision by the Administrative Appeals Tribunal (the </w:t>
      </w:r>
      <w:r w:rsidR="006446D4">
        <w:rPr>
          <w:b/>
        </w:rPr>
        <w:t>AAT</w:t>
      </w:r>
      <w:r w:rsidR="00E636DC">
        <w:t>) on 20 September</w:t>
      </w:r>
      <w:r w:rsidR="009F3F9B">
        <w:t xml:space="preserve"> 2016.  The </w:t>
      </w:r>
      <w:r w:rsidR="00C50D18">
        <w:t>AAT</w:t>
      </w:r>
      <w:r w:rsidR="00E636DC">
        <w:t xml:space="preserve"> had affirmed a decision by the delegate </w:t>
      </w:r>
      <w:r w:rsidR="009F3F9B">
        <w:t xml:space="preserve">of the first respondent, the Minister for Immigration and Border Protection (the </w:t>
      </w:r>
      <w:r w:rsidR="009F3F9B">
        <w:rPr>
          <w:b/>
        </w:rPr>
        <w:t>Minister</w:t>
      </w:r>
      <w:r w:rsidR="009F3F9B">
        <w:t xml:space="preserve">), </w:t>
      </w:r>
      <w:r w:rsidR="00E636DC">
        <w:t>not to grant the appellant a Protection (Class XA) visa</w:t>
      </w:r>
      <w:r w:rsidR="009F3F9B">
        <w:t xml:space="preserve"> (the </w:t>
      </w:r>
      <w:r w:rsidR="009F3F9B" w:rsidRPr="009F3F9B">
        <w:rPr>
          <w:b/>
        </w:rPr>
        <w:t>visa</w:t>
      </w:r>
      <w:r w:rsidR="009F3F9B">
        <w:t>)</w:t>
      </w:r>
      <w:r w:rsidR="00E636DC">
        <w:t xml:space="preserve"> under s 65 of the </w:t>
      </w:r>
      <w:r w:rsidR="00E636DC" w:rsidRPr="009F3F9B">
        <w:rPr>
          <w:i/>
        </w:rPr>
        <w:t>Migration Act 1958</w:t>
      </w:r>
      <w:r w:rsidR="00E636DC">
        <w:t xml:space="preserve"> (Cth)</w:t>
      </w:r>
      <w:r>
        <w:t xml:space="preserve"> (the </w:t>
      </w:r>
      <w:r w:rsidRPr="00C45131">
        <w:rPr>
          <w:b/>
        </w:rPr>
        <w:t>Act</w:t>
      </w:r>
      <w:r w:rsidR="007817DB">
        <w:t xml:space="preserve">).  The decisions of the delegate and the AAT </w:t>
      </w:r>
      <w:r>
        <w:t xml:space="preserve">addressed only the question of whether the </w:t>
      </w:r>
      <w:r w:rsidR="00FC416B">
        <w:t>appellant</w:t>
      </w:r>
      <w:r>
        <w:t xml:space="preserve"> should be granted a protection visa on the ground that he was a person to whom Australia owed complementary protection obligations so as to satisfy the criteria under s 36(2</w:t>
      </w:r>
      <w:r w:rsidR="009F3F9B">
        <w:t>)(aa)</w:t>
      </w:r>
      <w:r>
        <w:t xml:space="preserve"> of the Act.  </w:t>
      </w:r>
    </w:p>
    <w:p w:rsidR="00C45131" w:rsidRDefault="00C45131" w:rsidP="00E636DC">
      <w:pPr>
        <w:pStyle w:val="ParaNumbering"/>
      </w:pPr>
      <w:r>
        <w:t xml:space="preserve">The </w:t>
      </w:r>
      <w:r w:rsidR="00446CDE">
        <w:t>appellant</w:t>
      </w:r>
      <w:r>
        <w:t xml:space="preserve"> claimed </w:t>
      </w:r>
      <w:r w:rsidR="00D97581">
        <w:t>that</w:t>
      </w:r>
      <w:r>
        <w:t xml:space="preserve">, by reason of his homosexuality, </w:t>
      </w:r>
      <w:r w:rsidR="00EE3839">
        <w:t xml:space="preserve">he would be </w:t>
      </w:r>
      <w:r>
        <w:t>at risk of harm in India if he were required to return (</w:t>
      </w:r>
      <w:r w:rsidR="00C50D18">
        <w:t>AAT</w:t>
      </w:r>
      <w:r>
        <w:t xml:space="preserve">’s reasons at [74]). </w:t>
      </w:r>
      <w:r w:rsidR="00EE3839">
        <w:t xml:space="preserve"> </w:t>
      </w:r>
      <w:r>
        <w:t xml:space="preserve">The </w:t>
      </w:r>
      <w:r w:rsidR="00C50D18">
        <w:t>AAT</w:t>
      </w:r>
      <w:r>
        <w:t xml:space="preserve"> did not accept that the </w:t>
      </w:r>
      <w:r>
        <w:lastRenderedPageBreak/>
        <w:t>appellant was homosexual and, on that basis, rejected his claim to fear a real risk of significant harm.</w:t>
      </w:r>
    </w:p>
    <w:p w:rsidR="00D97581" w:rsidRDefault="00C45131" w:rsidP="00E636DC">
      <w:pPr>
        <w:pStyle w:val="ParaNumbering"/>
      </w:pPr>
      <w:r>
        <w:t xml:space="preserve">The notice of appeal </w:t>
      </w:r>
      <w:r w:rsidR="00D97581">
        <w:t>contends that:</w:t>
      </w:r>
    </w:p>
    <w:p w:rsidR="00D97581" w:rsidRDefault="00D97581" w:rsidP="00C45131">
      <w:pPr>
        <w:pStyle w:val="ListNo1"/>
      </w:pPr>
      <w:r>
        <w:t xml:space="preserve">the Court below erred in failing to find that the </w:t>
      </w:r>
      <w:r w:rsidR="00C50D18">
        <w:t>AAT</w:t>
      </w:r>
      <w:r>
        <w:t>’s decision was tainted by jurisdictional error:</w:t>
      </w:r>
    </w:p>
    <w:p w:rsidR="00C45131" w:rsidRDefault="00D97581" w:rsidP="00D97581">
      <w:pPr>
        <w:pStyle w:val="ListNo2"/>
      </w:pPr>
      <w:r>
        <w:t>by reason of</w:t>
      </w:r>
      <w:r w:rsidR="00C45131">
        <w:t xml:space="preserve"> the </w:t>
      </w:r>
      <w:r w:rsidR="00C50D18">
        <w:t>AAT</w:t>
      </w:r>
      <w:r>
        <w:t>’s</w:t>
      </w:r>
      <w:r w:rsidR="00C45131">
        <w:t xml:space="preserve"> dismissal of the evidence of the appellant’s </w:t>
      </w:r>
      <w:r w:rsidR="00242D76">
        <w:t>16</w:t>
      </w:r>
      <w:r>
        <w:t xml:space="preserve"> </w:t>
      </w:r>
      <w:r w:rsidR="00C45131">
        <w:t xml:space="preserve">witnesses </w:t>
      </w:r>
      <w:r>
        <w:t xml:space="preserve">without any logical, rational or probative basis </w:t>
      </w:r>
      <w:r w:rsidR="00C45131">
        <w:t>(Grounds 1, 2 and 5, notice of appeal);</w:t>
      </w:r>
    </w:p>
    <w:p w:rsidR="00C76FF8" w:rsidRDefault="00D97581" w:rsidP="00D97581">
      <w:pPr>
        <w:pStyle w:val="ListNo2"/>
      </w:pPr>
      <w:r>
        <w:t xml:space="preserve">in </w:t>
      </w:r>
      <w:r w:rsidR="00C45131">
        <w:t>taking into account irrelevant considerations, including illogical assumptions and opinions about</w:t>
      </w:r>
      <w:r w:rsidR="00EE3839">
        <w:t>,</w:t>
      </w:r>
      <w:r w:rsidR="00C45131">
        <w:t xml:space="preserve"> among other things</w:t>
      </w:r>
      <w:r w:rsidR="00EE3839">
        <w:t>,</w:t>
      </w:r>
      <w:r w:rsidR="00C45131">
        <w:t xml:space="preserve"> homosexual relationships and the appellant’s relationship with his family (Grounds 3, 4, and 5)</w:t>
      </w:r>
      <w:r w:rsidR="00C76FF8">
        <w:t>;</w:t>
      </w:r>
    </w:p>
    <w:p w:rsidR="00C45131" w:rsidRDefault="007E6285" w:rsidP="00C76FF8">
      <w:pPr>
        <w:pStyle w:val="ListNo2"/>
        <w:numPr>
          <w:ilvl w:val="0"/>
          <w:numId w:val="0"/>
        </w:numPr>
        <w:ind w:left="720"/>
      </w:pPr>
      <w:r>
        <w:t>(</w:t>
      </w:r>
      <w:proofErr w:type="gramStart"/>
      <w:r>
        <w:t>the</w:t>
      </w:r>
      <w:proofErr w:type="gramEnd"/>
      <w:r>
        <w:t xml:space="preserve"> </w:t>
      </w:r>
      <w:r>
        <w:rPr>
          <w:b/>
        </w:rPr>
        <w:t>legally unreasonable grounds</w:t>
      </w:r>
      <w:r>
        <w:t>)</w:t>
      </w:r>
    </w:p>
    <w:p w:rsidR="00C45131" w:rsidRDefault="00C45131" w:rsidP="00C45131">
      <w:pPr>
        <w:pStyle w:val="ListNo1"/>
      </w:pPr>
      <w:proofErr w:type="gramStart"/>
      <w:r>
        <w:t>the</w:t>
      </w:r>
      <w:proofErr w:type="gramEnd"/>
      <w:r>
        <w:t xml:space="preserve"> Court below </w:t>
      </w:r>
      <w:r w:rsidR="00D97581">
        <w:t xml:space="preserve">erred in failing </w:t>
      </w:r>
      <w:r>
        <w:t>to provide adequate reasons for the dismissal of the appellant’s application for judicial review (</w:t>
      </w:r>
      <w:r w:rsidR="00BA0300">
        <w:t xml:space="preserve">Ground </w:t>
      </w:r>
      <w:r>
        <w:t>6).</w:t>
      </w:r>
      <w:r w:rsidR="0084182A">
        <w:t xml:space="preserve">  </w:t>
      </w:r>
    </w:p>
    <w:p w:rsidR="00E636DC" w:rsidRDefault="009F3F9B" w:rsidP="00E636DC">
      <w:pPr>
        <w:pStyle w:val="ParaNumbering"/>
      </w:pPr>
      <w:r>
        <w:t>The</w:t>
      </w:r>
      <w:r w:rsidR="00FC416B">
        <w:t xml:space="preserve"> appeal is allowed </w:t>
      </w:r>
      <w:r w:rsidR="007817DB">
        <w:t>for the reason that the</w:t>
      </w:r>
      <w:r w:rsidR="00FC416B">
        <w:t xml:space="preserve"> </w:t>
      </w:r>
      <w:r w:rsidR="00B51101">
        <w:t>AAT’s decision demonstrates</w:t>
      </w:r>
      <w:r w:rsidR="007817DB">
        <w:t xml:space="preserve"> extreme illogicality and </w:t>
      </w:r>
      <w:r w:rsidR="00B51101">
        <w:t>lack</w:t>
      </w:r>
      <w:r w:rsidR="007817DB">
        <w:t>s</w:t>
      </w:r>
      <w:r w:rsidR="00B51101">
        <w:t xml:space="preserve"> an intelligible foundation</w:t>
      </w:r>
      <w:r w:rsidR="00FC416B">
        <w:t xml:space="preserve">.  The matter must be remitted to the </w:t>
      </w:r>
      <w:r w:rsidR="00C50D18">
        <w:t>AAT</w:t>
      </w:r>
      <w:r w:rsidR="00FC416B">
        <w:t xml:space="preserve"> differently constituted to determine according to law. </w:t>
      </w:r>
    </w:p>
    <w:p w:rsidR="00E636DC" w:rsidRDefault="00E636DC" w:rsidP="00E636DC">
      <w:pPr>
        <w:pStyle w:val="Heading5"/>
      </w:pPr>
      <w:bookmarkStart w:id="24" w:name="_Ref499634437"/>
      <w:r>
        <w:t>BACKGROUND</w:t>
      </w:r>
      <w:bookmarkEnd w:id="24"/>
    </w:p>
    <w:p w:rsidR="00E636DC" w:rsidRDefault="00E269C4" w:rsidP="00E636DC">
      <w:pPr>
        <w:pStyle w:val="Heading6"/>
      </w:pPr>
      <w:bookmarkStart w:id="25" w:name="_Ref499634438"/>
      <w:r>
        <w:t>The first application for a protection visa</w:t>
      </w:r>
      <w:bookmarkEnd w:id="25"/>
    </w:p>
    <w:p w:rsidR="00E269C4" w:rsidRDefault="00E269C4" w:rsidP="00C45131">
      <w:pPr>
        <w:pStyle w:val="ParaNumbering"/>
      </w:pPr>
      <w:r>
        <w:t xml:space="preserve">The </w:t>
      </w:r>
      <w:r w:rsidR="00446CDE">
        <w:t>appellant</w:t>
      </w:r>
      <w:r>
        <w:t xml:space="preserve"> is a citizen of India </w:t>
      </w:r>
      <w:r w:rsidR="00574453">
        <w:t xml:space="preserve">who was </w:t>
      </w:r>
      <w:r>
        <w:t>aged in his late 20s</w:t>
      </w:r>
      <w:r w:rsidR="00BA0300">
        <w:t xml:space="preserve"> at the time of the AAT’s decision</w:t>
      </w:r>
      <w:r>
        <w:t xml:space="preserve">. </w:t>
      </w:r>
      <w:r w:rsidR="00446CDE">
        <w:t xml:space="preserve"> </w:t>
      </w:r>
      <w:r w:rsidR="00332265">
        <w:t xml:space="preserve">He is </w:t>
      </w:r>
      <w:r w:rsidR="00BA0300">
        <w:t xml:space="preserve">a </w:t>
      </w:r>
      <w:r w:rsidR="00332265">
        <w:t>Sik</w:t>
      </w:r>
      <w:r w:rsidR="00BA0300">
        <w:t>h</w:t>
      </w:r>
      <w:r w:rsidR="00332265">
        <w:t xml:space="preserve"> and his parents are religious Sikhs.  </w:t>
      </w:r>
      <w:r>
        <w:t xml:space="preserve">He arrived in Australia on a subclass 573 (student) visa on 30 December 2007. </w:t>
      </w:r>
      <w:r w:rsidR="00573ABE">
        <w:t xml:space="preserve"> </w:t>
      </w:r>
      <w:r>
        <w:t>He was granted a further student visa which ceased on 9 March 2012.</w:t>
      </w:r>
    </w:p>
    <w:p w:rsidR="00332265" w:rsidRDefault="00E269C4" w:rsidP="00C45131">
      <w:pPr>
        <w:pStyle w:val="ParaNumbering"/>
      </w:pPr>
      <w:r>
        <w:t>The appellant applied to the Department of Immigration</w:t>
      </w:r>
      <w:r w:rsidR="00CD3324">
        <w:t xml:space="preserve"> and Citizenship</w:t>
      </w:r>
      <w:r>
        <w:t xml:space="preserve"> for a protection visa</w:t>
      </w:r>
      <w:r w:rsidR="00B75576">
        <w:t xml:space="preserve"> under s 36(2)(a) of the Act</w:t>
      </w:r>
      <w:r>
        <w:t xml:space="preserve"> on 26 August 2011 claiming that he was homosexual and will be </w:t>
      </w:r>
      <w:r w:rsidR="00573ABE">
        <w:t>subject to persecution</w:t>
      </w:r>
      <w:r>
        <w:t xml:space="preserve"> in India </w:t>
      </w:r>
      <w:r w:rsidR="00573ABE">
        <w:t xml:space="preserve">by reason of his sexuality. </w:t>
      </w:r>
      <w:r w:rsidR="00332265">
        <w:t xml:space="preserve"> </w:t>
      </w:r>
    </w:p>
    <w:p w:rsidR="009B1D7E" w:rsidRDefault="00E269C4" w:rsidP="00C45131">
      <w:pPr>
        <w:pStyle w:val="ParaNumbering"/>
      </w:pPr>
      <w:r>
        <w:t>The delegate refused to grant the visa on 16 November 2011 on the ground that</w:t>
      </w:r>
      <w:r w:rsidR="00573ABE">
        <w:t xml:space="preserve"> </w:t>
      </w:r>
      <w:r w:rsidR="00CF3530">
        <w:t>he</w:t>
      </w:r>
      <w:r>
        <w:t xml:space="preserve"> did not accept </w:t>
      </w:r>
      <w:r w:rsidR="00573ABE">
        <w:t xml:space="preserve">that </w:t>
      </w:r>
      <w:r>
        <w:t xml:space="preserve">the independent evidence supported the appellant’s claims that he would experience persecution </w:t>
      </w:r>
      <w:r w:rsidR="00573ABE">
        <w:t xml:space="preserve">in </w:t>
      </w:r>
      <w:r>
        <w:t>India as a homosexual</w:t>
      </w:r>
      <w:r w:rsidR="00175EAA">
        <w:t xml:space="preserve"> and was not </w:t>
      </w:r>
      <w:r w:rsidR="00446CDE">
        <w:t xml:space="preserve">therefore </w:t>
      </w:r>
      <w:r w:rsidR="00175EAA">
        <w:t xml:space="preserve">satisfied that he was a </w:t>
      </w:r>
      <w:r w:rsidR="00175EAA">
        <w:lastRenderedPageBreak/>
        <w:t>refugee</w:t>
      </w:r>
      <w:r>
        <w:t xml:space="preserve">. </w:t>
      </w:r>
      <w:r w:rsidR="00573ABE">
        <w:t xml:space="preserve"> </w:t>
      </w:r>
      <w:r>
        <w:t>That decision was affirmed by the then Refugee Review Tribunal (</w:t>
      </w:r>
      <w:r w:rsidRPr="00E269C4">
        <w:rPr>
          <w:b/>
        </w:rPr>
        <w:t>RRT</w:t>
      </w:r>
      <w:r>
        <w:t>) on 23 April 2013</w:t>
      </w:r>
      <w:r w:rsidR="00BA0300">
        <w:t>,</w:t>
      </w:r>
      <w:r w:rsidR="00FB63DC">
        <w:t xml:space="preserve"> which</w:t>
      </w:r>
      <w:r>
        <w:t xml:space="preserve"> did not believe the appellant’s claim to be homosexual.</w:t>
      </w:r>
      <w:r w:rsidR="0036352C">
        <w:t xml:space="preserve"> </w:t>
      </w:r>
      <w:r w:rsidR="009249B0">
        <w:t xml:space="preserve"> </w:t>
      </w:r>
    </w:p>
    <w:p w:rsidR="0036352C" w:rsidRDefault="0036352C" w:rsidP="00C45131">
      <w:pPr>
        <w:pStyle w:val="ParaNumbering"/>
      </w:pPr>
      <w:r>
        <w:t xml:space="preserve">While the first decision of the RRT was not included in the appeal book, it was summarised in the reasons of the delegate on the second </w:t>
      </w:r>
      <w:r w:rsidR="003359D1">
        <w:t>application for a protection v</w:t>
      </w:r>
      <w:r>
        <w:t xml:space="preserve">isa as follows: </w:t>
      </w:r>
    </w:p>
    <w:p w:rsidR="00E269C4" w:rsidRPr="00CF3530" w:rsidRDefault="0036352C" w:rsidP="00F304AF">
      <w:pPr>
        <w:pStyle w:val="Quote1"/>
      </w:pPr>
      <w:r w:rsidRPr="00CF3530">
        <w:t xml:space="preserve">The Refugee Review Tribunal found that the applicant had not presented any credible or trustworthy evidence that he is gay and did not accept that he is.  The person who claimed to be his gay partner </w:t>
      </w:r>
      <w:r w:rsidR="00C14A64" w:rsidRPr="00CF3530">
        <w:t xml:space="preserve">[Mr R] </w:t>
      </w:r>
      <w:r w:rsidRPr="00CF3530">
        <w:t>was found to have provided false and misleading evidence.  In sum the Tribunal found that the applicant was willing to do and say anything to achieve his desired migration outcome.</w:t>
      </w:r>
    </w:p>
    <w:p w:rsidR="00E636DC" w:rsidRDefault="00E636DC" w:rsidP="00E636DC">
      <w:pPr>
        <w:pStyle w:val="Heading6"/>
      </w:pPr>
      <w:bookmarkStart w:id="26" w:name="_Ref499634439"/>
      <w:r>
        <w:t xml:space="preserve">The </w:t>
      </w:r>
      <w:r w:rsidR="00E269C4">
        <w:t>second application for a protection visa</w:t>
      </w:r>
      <w:bookmarkEnd w:id="26"/>
      <w:r w:rsidR="00E269C4">
        <w:t xml:space="preserve"> </w:t>
      </w:r>
    </w:p>
    <w:p w:rsidR="00243947" w:rsidRDefault="00243947" w:rsidP="00573ABE">
      <w:pPr>
        <w:pStyle w:val="ParaNumbering"/>
      </w:pPr>
      <w:r w:rsidRPr="00B831DE">
        <w:t xml:space="preserve">With effect </w:t>
      </w:r>
      <w:r w:rsidR="00CF3530">
        <w:t>as and from</w:t>
      </w:r>
      <w:r w:rsidRPr="00B831DE">
        <w:t xml:space="preserve"> 24 March 2012, the Act was amended by the </w:t>
      </w:r>
      <w:r w:rsidRPr="00B831DE">
        <w:rPr>
          <w:i/>
        </w:rPr>
        <w:t>Migration Amendment (Complementary Protection) Act</w:t>
      </w:r>
      <w:r w:rsidRPr="00B831DE">
        <w:t xml:space="preserve"> </w:t>
      </w:r>
      <w:r w:rsidRPr="00B831DE">
        <w:rPr>
          <w:i/>
        </w:rPr>
        <w:t>2011</w:t>
      </w:r>
      <w:r w:rsidRPr="00B831DE">
        <w:t xml:space="preserve"> (Cth).  Those amendments enacted the complementary protection regime.  In particular, under s 36(2</w:t>
      </w:r>
      <w:proofErr w:type="gramStart"/>
      <w:r w:rsidRPr="00B831DE">
        <w:t>)(</w:t>
      </w:r>
      <w:proofErr w:type="gramEnd"/>
      <w:r w:rsidRPr="00B831DE">
        <w:t>aa) the Minister may grant a protection visa to a non-citizen on the ground that the Minister is satisfied that Australia has protection obligations “</w:t>
      </w:r>
      <w:r w:rsidRPr="00B831DE">
        <w:rPr>
          <w:i/>
        </w:rPr>
        <w:t>because the Minister has substantial grounds for believing that, as a necessary and foreseeable consequence of the non-citizen being removed from Australia to a receiving country, there is a real risk that the non-citizen will suffer significant harm</w:t>
      </w:r>
      <w:r w:rsidRPr="00B831DE">
        <w:t xml:space="preserve">”.  It is a criterion </w:t>
      </w:r>
      <w:r w:rsidR="00C962DE">
        <w:t>for</w:t>
      </w:r>
      <w:r w:rsidRPr="00B831DE">
        <w:t xml:space="preserve"> the grant of a protection visa under the complementary protection regime enacted by s 36(2</w:t>
      </w:r>
      <w:proofErr w:type="gramStart"/>
      <w:r w:rsidRPr="00B831DE">
        <w:t>)(</w:t>
      </w:r>
      <w:proofErr w:type="gramEnd"/>
      <w:r w:rsidRPr="00B831DE">
        <w:t>aa) that the Minister is not satisfied that the person is entitled to a protection visa under s 36(2)(a), i.e., that Australia has protection obligations because the non-citizen is a refugee.  Section 36(2</w:t>
      </w:r>
      <w:proofErr w:type="gramStart"/>
      <w:r w:rsidRPr="00B831DE">
        <w:t>)(</w:t>
      </w:r>
      <w:proofErr w:type="gramEnd"/>
      <w:r w:rsidRPr="00B831DE">
        <w:t>aa), in other words, creates an alternative basis for the grant of a protection visa where the Minister is not satisfied that the person is a refugee.</w:t>
      </w:r>
    </w:p>
    <w:p w:rsidR="00573ABE" w:rsidRDefault="00573ABE" w:rsidP="00573ABE">
      <w:pPr>
        <w:pStyle w:val="ParaNumbering"/>
      </w:pPr>
      <w:r>
        <w:t xml:space="preserve">Subsequently in </w:t>
      </w:r>
      <w:r w:rsidRPr="00573ABE">
        <w:rPr>
          <w:i/>
        </w:rPr>
        <w:t>SZGIZ v Minister for Immigration and Citizenship</w:t>
      </w:r>
      <w:r w:rsidR="00B75576">
        <w:rPr>
          <w:i/>
        </w:rPr>
        <w:t xml:space="preserve"> </w:t>
      </w:r>
      <w:r w:rsidR="00B75576">
        <w:t>[2013] FCAFC 71;</w:t>
      </w:r>
      <w:r w:rsidRPr="00573ABE">
        <w:rPr>
          <w:i/>
        </w:rPr>
        <w:t xml:space="preserve"> </w:t>
      </w:r>
      <w:r>
        <w:t>(2013) 212 FCR 235 (</w:t>
      </w:r>
      <w:r>
        <w:rPr>
          <w:b/>
          <w:i/>
        </w:rPr>
        <w:t>SZGIZ</w:t>
      </w:r>
      <w:r>
        <w:t>), the Full Court held that s 48A of the Act did not prevent a non</w:t>
      </w:r>
      <w:r w:rsidR="004A66C8">
        <w:t>-</w:t>
      </w:r>
      <w:r>
        <w:t>citizen who had made a valid application on the basis of the refugee criterion in s 36(2</w:t>
      </w:r>
      <w:proofErr w:type="gramStart"/>
      <w:r>
        <w:t>)(</w:t>
      </w:r>
      <w:proofErr w:type="gramEnd"/>
      <w:r>
        <w:t xml:space="preserve">a) from making a further application on the basis of the complementary protection provision in s 36(2)(aa) whilst she or he remained in the migration zone. </w:t>
      </w:r>
    </w:p>
    <w:p w:rsidR="001E5346" w:rsidRDefault="00E269C4" w:rsidP="00B101B0">
      <w:pPr>
        <w:pStyle w:val="ParaNumbering"/>
      </w:pPr>
      <w:r>
        <w:t>Following the decision in</w:t>
      </w:r>
      <w:r w:rsidR="00573ABE" w:rsidRPr="00573ABE">
        <w:rPr>
          <w:i/>
        </w:rPr>
        <w:t xml:space="preserve"> </w:t>
      </w:r>
      <w:r w:rsidR="00573ABE">
        <w:rPr>
          <w:i/>
        </w:rPr>
        <w:t>SZGIZ</w:t>
      </w:r>
      <w:r>
        <w:t>, the</w:t>
      </w:r>
      <w:r w:rsidR="00FB63DC">
        <w:t xml:space="preserve"> appellant </w:t>
      </w:r>
      <w:r>
        <w:t>made a second application for a protection visa on 19 May 2014</w:t>
      </w:r>
      <w:r w:rsidR="008B38D8">
        <w:t xml:space="preserve"> under s 36(2</w:t>
      </w:r>
      <w:proofErr w:type="gramStart"/>
      <w:r w:rsidR="008B38D8">
        <w:t>)(</w:t>
      </w:r>
      <w:proofErr w:type="gramEnd"/>
      <w:r w:rsidR="008B38D8">
        <w:t>aa) of the Act</w:t>
      </w:r>
      <w:r>
        <w:t xml:space="preserve">. </w:t>
      </w:r>
      <w:r w:rsidR="00B101B0">
        <w:t xml:space="preserve"> </w:t>
      </w:r>
      <w:r>
        <w:t>The delegate refused to grant the visa on 26 February 2015</w:t>
      </w:r>
      <w:r w:rsidR="00103015">
        <w:t xml:space="preserve"> (the </w:t>
      </w:r>
      <w:r w:rsidR="00103015">
        <w:rPr>
          <w:b/>
        </w:rPr>
        <w:t xml:space="preserve">second </w:t>
      </w:r>
      <w:r w:rsidR="00103148">
        <w:rPr>
          <w:b/>
        </w:rPr>
        <w:t xml:space="preserve">delegate </w:t>
      </w:r>
      <w:r w:rsidR="00103015">
        <w:rPr>
          <w:b/>
        </w:rPr>
        <w:t>decision</w:t>
      </w:r>
      <w:r w:rsidR="00103015">
        <w:t>)</w:t>
      </w:r>
      <w:r>
        <w:t xml:space="preserve">.  </w:t>
      </w:r>
      <w:r w:rsidR="008B38D8">
        <w:t xml:space="preserve">The delegate found that no evidence </w:t>
      </w:r>
      <w:r w:rsidR="00BA0300">
        <w:t xml:space="preserve">had </w:t>
      </w:r>
      <w:r w:rsidR="008B38D8">
        <w:t xml:space="preserve">been presented by the </w:t>
      </w:r>
      <w:r w:rsidR="00D72650">
        <w:t xml:space="preserve">appellant </w:t>
      </w:r>
      <w:r w:rsidR="008B38D8">
        <w:t xml:space="preserve">which led him to disagree with the findings of the previous Tribunal that he is not gay.  The delegate further found that the evidence presented by a </w:t>
      </w:r>
      <w:r w:rsidR="008B38D8">
        <w:lastRenderedPageBreak/>
        <w:t xml:space="preserve">witness, Mr JT, that he has had and continues to have sex with the appellant was contrived for the purpose of supporting the </w:t>
      </w:r>
      <w:r w:rsidR="00D72650">
        <w:t xml:space="preserve">appellant’s </w:t>
      </w:r>
      <w:r w:rsidR="008B38D8">
        <w:t xml:space="preserve">claims.  </w:t>
      </w:r>
    </w:p>
    <w:p w:rsidR="002E459A" w:rsidRDefault="00B101B0" w:rsidP="002E459A">
      <w:pPr>
        <w:pStyle w:val="ParaNumbering"/>
      </w:pPr>
      <w:r>
        <w:t xml:space="preserve">The appellant applied for review of the second </w:t>
      </w:r>
      <w:r w:rsidR="00520A46">
        <w:t xml:space="preserve">delegate </w:t>
      </w:r>
      <w:r>
        <w:t>decision by the AAT</w:t>
      </w:r>
      <w:r w:rsidR="008B38D8">
        <w:t xml:space="preserve"> on 26 March 2015</w:t>
      </w:r>
      <w:r>
        <w:t xml:space="preserve">.  </w:t>
      </w:r>
      <w:r w:rsidR="008B38D8">
        <w:t xml:space="preserve">The appellant </w:t>
      </w:r>
      <w:r w:rsidR="00932BA9">
        <w:t>said</w:t>
      </w:r>
      <w:r w:rsidR="008B38D8">
        <w:t xml:space="preserve"> that he had realised he was sexually attracted to boys whilst he was in India and </w:t>
      </w:r>
      <w:r w:rsidR="00932BA9">
        <w:t xml:space="preserve">he </w:t>
      </w:r>
      <w:r w:rsidR="008B38D8">
        <w:t xml:space="preserve">had a relationship with his neighbour who was a close friend. </w:t>
      </w:r>
      <w:r w:rsidR="00932BA9">
        <w:t xml:space="preserve"> </w:t>
      </w:r>
      <w:r w:rsidR="00D74A5D">
        <w:t>However, he said that</w:t>
      </w:r>
      <w:r w:rsidR="008B38D8">
        <w:t xml:space="preserve"> when his parents found out, his father was upset and angry and decided to send him to Australia to “</w:t>
      </w:r>
      <w:r w:rsidR="008B38D8" w:rsidRPr="00332265">
        <w:rPr>
          <w:i/>
        </w:rPr>
        <w:t>make me normal</w:t>
      </w:r>
      <w:r w:rsidR="008B38D8">
        <w:t>”.</w:t>
      </w:r>
      <w:r w:rsidR="00932BA9">
        <w:t xml:space="preserve"> </w:t>
      </w:r>
      <w:r w:rsidR="008B38D8">
        <w:rPr>
          <w:i/>
        </w:rPr>
        <w:t xml:space="preserve"> </w:t>
      </w:r>
      <w:r w:rsidR="008B38D8">
        <w:t>He pursued studies in Australia and frequented the gay scene in Sydney.  He said that he met Mr R during the Queen’s Birthday weekend in June 2011 and commenced a relationship with him soon thereafter.  It was the appellant’s evidence that he and Mr R had lived together in Mr R’s house and had a relationship until they broke up in mid-2014. The appellant gave evidence of casual relationships with a number of</w:t>
      </w:r>
      <w:r w:rsidR="00932BA9">
        <w:t xml:space="preserve"> other </w:t>
      </w:r>
      <w:r w:rsidR="008B38D8">
        <w:t>men.</w:t>
      </w:r>
      <w:r w:rsidR="002E459A">
        <w:t xml:space="preserve">  </w:t>
      </w:r>
    </w:p>
    <w:p w:rsidR="002E459A" w:rsidRDefault="002E459A" w:rsidP="002E459A">
      <w:pPr>
        <w:pStyle w:val="ParaNumbering"/>
      </w:pPr>
      <w:r>
        <w:t>On 19 August 2016, the AAT wrote to the appellant inviting him to comment on adverse information which the AAT explained may lead it, among other things, to find that Mr R is an unreliable witness and that his claims were not credible.</w:t>
      </w:r>
    </w:p>
    <w:p w:rsidR="002E459A" w:rsidRDefault="002E459A" w:rsidP="002E459A">
      <w:pPr>
        <w:pStyle w:val="ParaNumbering"/>
      </w:pPr>
      <w:r>
        <w:t>In support of his claim to fear significant harm by reason of his sexuality the appellant relied among other things upon:</w:t>
      </w:r>
    </w:p>
    <w:p w:rsidR="002E459A" w:rsidRDefault="002E459A" w:rsidP="002E459A">
      <w:pPr>
        <w:pStyle w:val="ListNo1"/>
        <w:numPr>
          <w:ilvl w:val="0"/>
          <w:numId w:val="29"/>
        </w:numPr>
      </w:pPr>
      <w:r>
        <w:t>evidence from 16 witnesses including Mr R, Mr R’s wife, and Mr R’s neighbour;</w:t>
      </w:r>
    </w:p>
    <w:p w:rsidR="002E459A" w:rsidRDefault="002E459A" w:rsidP="002E459A">
      <w:pPr>
        <w:pStyle w:val="ListNo1"/>
        <w:numPr>
          <w:ilvl w:val="0"/>
          <w:numId w:val="29"/>
        </w:numPr>
      </w:pPr>
      <w:r>
        <w:t>email confirmation of the appellant</w:t>
      </w:r>
      <w:r w:rsidR="00BA0300">
        <w:t>’s</w:t>
      </w:r>
      <w:r>
        <w:t xml:space="preserve"> subscription with </w:t>
      </w:r>
      <w:proofErr w:type="spellStart"/>
      <w:r>
        <w:t>AussieMen</w:t>
      </w:r>
      <w:proofErr w:type="spellEnd"/>
      <w:r>
        <w:t xml:space="preserve"> Team dated 12 November 2009 (AAT reasons at [40]);</w:t>
      </w:r>
    </w:p>
    <w:p w:rsidR="002E459A" w:rsidRDefault="002E459A" w:rsidP="002E459A">
      <w:pPr>
        <w:pStyle w:val="ListNo1"/>
        <w:numPr>
          <w:ilvl w:val="0"/>
          <w:numId w:val="29"/>
        </w:numPr>
      </w:pPr>
      <w:r>
        <w:t xml:space="preserve">membership cards for the Colombian Hotel and the Taxi Club dated 2010 (AAT reasons at [20], [37]); </w:t>
      </w:r>
    </w:p>
    <w:p w:rsidR="002E459A" w:rsidRDefault="002E459A" w:rsidP="002E459A">
      <w:pPr>
        <w:pStyle w:val="ListNo1"/>
        <w:numPr>
          <w:ilvl w:val="0"/>
          <w:numId w:val="29"/>
        </w:numPr>
      </w:pPr>
      <w:r>
        <w:t xml:space="preserve">copies of text messages between the </w:t>
      </w:r>
      <w:r w:rsidR="00FE6940">
        <w:t xml:space="preserve">appellant </w:t>
      </w:r>
      <w:r>
        <w:t>and others dating from June 2011 (AAT reasons at [20]</w:t>
      </w:r>
      <w:r w:rsidR="00FE6940">
        <w:t>,</w:t>
      </w:r>
      <w:r>
        <w:t xml:space="preserve"> [43]);</w:t>
      </w:r>
    </w:p>
    <w:p w:rsidR="002E459A" w:rsidRDefault="002E459A" w:rsidP="002E459A">
      <w:pPr>
        <w:pStyle w:val="ListNo1"/>
        <w:numPr>
          <w:ilvl w:val="0"/>
          <w:numId w:val="29"/>
        </w:numPr>
      </w:pPr>
      <w:r>
        <w:t>copies of drivers licenses showing the appellant’s previous addresses depicting that at times the appellant was recorded as residing at Mr R’s address (AAT reasons at [43])</w:t>
      </w:r>
      <w:r w:rsidR="00B205E0">
        <w:t>;</w:t>
      </w:r>
    </w:p>
    <w:p w:rsidR="00B205E0" w:rsidRDefault="00B205E0" w:rsidP="002E459A">
      <w:pPr>
        <w:pStyle w:val="ListNo1"/>
        <w:numPr>
          <w:ilvl w:val="0"/>
          <w:numId w:val="29"/>
        </w:numPr>
      </w:pPr>
      <w:r>
        <w:t xml:space="preserve">evidence that the appellant had provided Mr R’s address for a bank account (AAT reasons at </w:t>
      </w:r>
      <w:r w:rsidR="00BA0300">
        <w:t xml:space="preserve">[43], </w:t>
      </w:r>
      <w:r>
        <w:t>[65]);</w:t>
      </w:r>
    </w:p>
    <w:p w:rsidR="002E459A" w:rsidRDefault="002E459A" w:rsidP="002E459A">
      <w:pPr>
        <w:pStyle w:val="ListNo1"/>
        <w:numPr>
          <w:ilvl w:val="0"/>
          <w:numId w:val="29"/>
        </w:numPr>
      </w:pPr>
      <w:r>
        <w:t xml:space="preserve">a message on the </w:t>
      </w:r>
      <w:r w:rsidR="00FE6940">
        <w:t xml:space="preserve">appellant’s </w:t>
      </w:r>
      <w:r>
        <w:t xml:space="preserve">Facebook page (AAT reasons at [20]); </w:t>
      </w:r>
    </w:p>
    <w:p w:rsidR="002E459A" w:rsidRDefault="002E459A" w:rsidP="002E459A">
      <w:pPr>
        <w:pStyle w:val="ListNo1"/>
        <w:numPr>
          <w:ilvl w:val="0"/>
          <w:numId w:val="29"/>
        </w:numPr>
      </w:pPr>
      <w:r>
        <w:t>a printout dated 18 October 2011 of his profile on a gay website, Aussiemen.com, (AAT reasons at [20]);</w:t>
      </w:r>
    </w:p>
    <w:p w:rsidR="002E459A" w:rsidRDefault="002E459A" w:rsidP="002E459A">
      <w:pPr>
        <w:pStyle w:val="ListNo1"/>
        <w:numPr>
          <w:ilvl w:val="0"/>
          <w:numId w:val="29"/>
        </w:numPr>
      </w:pPr>
      <w:r>
        <w:lastRenderedPageBreak/>
        <w:t xml:space="preserve">invitations to the </w:t>
      </w:r>
      <w:r w:rsidR="00121D60">
        <w:t xml:space="preserve">appellant </w:t>
      </w:r>
      <w:r>
        <w:t xml:space="preserve">on his email address from Manhunt </w:t>
      </w:r>
      <w:r w:rsidR="00121D60">
        <w:t xml:space="preserve">Exclusives </w:t>
      </w:r>
      <w:r>
        <w:t xml:space="preserve">and from Midnight Shift Promotions (with no year noted on the documents) (AAT reasons at [37]); and </w:t>
      </w:r>
    </w:p>
    <w:p w:rsidR="002E459A" w:rsidRDefault="002E459A" w:rsidP="002E459A">
      <w:pPr>
        <w:pStyle w:val="ListNo1"/>
        <w:numPr>
          <w:ilvl w:val="0"/>
          <w:numId w:val="29"/>
        </w:numPr>
      </w:pPr>
      <w:proofErr w:type="gramStart"/>
      <w:r>
        <w:t>copies</w:t>
      </w:r>
      <w:proofErr w:type="gramEnd"/>
      <w:r>
        <w:t xml:space="preserve"> of “</w:t>
      </w:r>
      <w:r>
        <w:rPr>
          <w:i/>
        </w:rPr>
        <w:t xml:space="preserve">Grindr </w:t>
      </w:r>
      <w:r w:rsidRPr="00BB728A">
        <w:t>chat history</w:t>
      </w:r>
      <w:r>
        <w:t xml:space="preserve">” for July (effectively undated) (AAT reasons at [38]). </w:t>
      </w:r>
    </w:p>
    <w:p w:rsidR="002E459A" w:rsidRDefault="00E269C4" w:rsidP="00E269C4">
      <w:pPr>
        <w:pStyle w:val="ParaNumbering"/>
      </w:pPr>
      <w:r>
        <w:t xml:space="preserve">The decision of the </w:t>
      </w:r>
      <w:r w:rsidR="00C50D18">
        <w:t>AAT</w:t>
      </w:r>
      <w:r w:rsidR="00BA0300">
        <w:t>,</w:t>
      </w:r>
      <w:r>
        <w:t xml:space="preserve"> with which the application for judicial review below was concerned, was given on 20 September 2016 and affirmed the </w:t>
      </w:r>
      <w:r w:rsidR="00103015">
        <w:t xml:space="preserve">second </w:t>
      </w:r>
      <w:r w:rsidR="00103148">
        <w:t xml:space="preserve">delegate </w:t>
      </w:r>
      <w:r>
        <w:t>decision.</w:t>
      </w:r>
      <w:r w:rsidR="008B38D8">
        <w:t xml:space="preserve"> </w:t>
      </w:r>
      <w:r w:rsidR="002E459A">
        <w:t xml:space="preserve"> </w:t>
      </w:r>
    </w:p>
    <w:p w:rsidR="00E269C4" w:rsidRDefault="00E63BDA" w:rsidP="00E269C4">
      <w:pPr>
        <w:pStyle w:val="ParaNumbering"/>
      </w:pPr>
      <w:r>
        <w:t xml:space="preserve">The </w:t>
      </w:r>
      <w:r w:rsidR="00C50D18">
        <w:t>AAT</w:t>
      </w:r>
      <w:r>
        <w:t xml:space="preserve"> summarised its </w:t>
      </w:r>
      <w:r w:rsidR="00573ABE">
        <w:t>reasons</w:t>
      </w:r>
      <w:r>
        <w:t xml:space="preserve"> for affirming the </w:t>
      </w:r>
      <w:r w:rsidR="008069A8">
        <w:t>second</w:t>
      </w:r>
      <w:r>
        <w:t xml:space="preserve"> decision as follows:</w:t>
      </w:r>
    </w:p>
    <w:p w:rsidR="0069319B" w:rsidRPr="00CF3530" w:rsidRDefault="0069319B" w:rsidP="00F304AF">
      <w:pPr>
        <w:pStyle w:val="Quote1"/>
        <w:ind w:left="1440" w:hanging="703"/>
      </w:pPr>
      <w:r>
        <w:t>45.</w:t>
      </w:r>
      <w:r>
        <w:tab/>
        <w:t>As stated above, the applicant has claimed to be a homosexual man who was effectively banished from India by his father due the shame and stigma he would bring to his family.</w:t>
      </w:r>
      <w:r w:rsidR="00A7091E">
        <w:t xml:space="preserve"> </w:t>
      </w:r>
      <w:r>
        <w:t xml:space="preserve"> Having considered all of the evidence, the Tribunal does not accept that the applicant was homosexual in India, or that he has since become homosexual in Australia or that he has participated in a homo</w:t>
      </w:r>
      <w:r w:rsidR="0060636E">
        <w:t xml:space="preserve">sexual lifestyle in Australia. </w:t>
      </w:r>
      <w:r w:rsidR="00A7091E">
        <w:t xml:space="preserve"> </w:t>
      </w:r>
      <w:r>
        <w:t xml:space="preserve">The Tribunal considers that the circumstance surrounding the lodgement of the application, and the evidence provided to support his claims to be homosexual, are indicative of the fact that he has contrived evidence in an attempt to establish that he is </w:t>
      </w:r>
      <w:r w:rsidRPr="00CF3530">
        <w:t xml:space="preserve">homosexual.  The Tribunal accepts that the applicant may have attended gay clubs and parties and a dinner party in June 2011 with homosexual men and to have had some sexual experiences with men.  The Tribunal does not accept that the applicant’s preparedness to engage in some sexual experiences with men establishes that he is homosexual or that he will pursue a homosexual lifestyle upon his return to India.  In the Tribunal’s view it establishes only his preparedness to do anything he considers necessary in order to achieve a favourable immigration outcome.  </w:t>
      </w:r>
    </w:p>
    <w:p w:rsidR="006F40C7" w:rsidRDefault="00D50230" w:rsidP="006F40C7">
      <w:pPr>
        <w:pStyle w:val="ParaNumbering"/>
      </w:pPr>
      <w:r>
        <w:t>Specifically</w:t>
      </w:r>
      <w:r w:rsidR="006F40C7">
        <w:t xml:space="preserve"> the AAT rejected the </w:t>
      </w:r>
      <w:r w:rsidR="0060636E">
        <w:t xml:space="preserve">appellant’s </w:t>
      </w:r>
      <w:r w:rsidR="006F40C7">
        <w:t>claimed relationship with Mr R</w:t>
      </w:r>
      <w:r>
        <w:t xml:space="preserve">.  Rather, the AAT </w:t>
      </w:r>
      <w:r w:rsidR="006F40C7">
        <w:t>considered that the evidence raised serious concerns that Mr R was involved in assisting the appellant to fabricate evidence to establish that he is homosexual.  In so finding the AAT:</w:t>
      </w:r>
    </w:p>
    <w:p w:rsidR="006F40C7" w:rsidRDefault="006F40C7" w:rsidP="00F304AF">
      <w:pPr>
        <w:pStyle w:val="Quote1"/>
        <w:ind w:left="1440" w:hanging="703"/>
      </w:pPr>
      <w:r>
        <w:t xml:space="preserve">64. </w:t>
      </w:r>
      <w:r w:rsidR="00F304AF">
        <w:tab/>
      </w:r>
      <w:r>
        <w:t>… considers it to be beyond coincidence that Mr [R] would have homosexual relationships almost simultaneously with</w:t>
      </w:r>
      <w:r w:rsidR="00CF3530">
        <w:t xml:space="preserve"> both the applicant and [Mr R</w:t>
      </w:r>
      <w:r>
        <w:t>K], who were both applicants for Protection visas.</w:t>
      </w:r>
      <w:r w:rsidR="008063FF">
        <w:t xml:space="preserve"> </w:t>
      </w:r>
      <w:r>
        <w:t xml:space="preserve"> The Tribunal accepts that the applicant attended a dinner party with a number of homosexual men, including [Mr R], but has serious concerns that the purpose of the dinner party </w:t>
      </w:r>
      <w:r w:rsidR="0060636E">
        <w:t>and</w:t>
      </w:r>
      <w:r>
        <w:t xml:space="preserve"> any subsequent contact between [Mr R] and the applicant was to fabricate evidence to establish that the applicant is homosexual and he and [Mr R] had a homosexual relationship. </w:t>
      </w:r>
      <w:r w:rsidR="008063FF">
        <w:t xml:space="preserve"> </w:t>
      </w:r>
      <w:r>
        <w:t>The Tribunal accepts that the applicant lived in Mr [R’s] ho</w:t>
      </w:r>
      <w:r w:rsidR="00BA0300">
        <w:t>me</w:t>
      </w:r>
      <w:r w:rsidR="008B2C29">
        <w:t xml:space="preserve"> </w:t>
      </w:r>
      <w:r>
        <w:t xml:space="preserve">… which has been described by the applicant </w:t>
      </w:r>
      <w:r w:rsidR="00BA0300">
        <w:t>a</w:t>
      </w:r>
      <w:r>
        <w:t>s a large home w</w:t>
      </w:r>
      <w:r w:rsidR="00BA0300">
        <w:t>here</w:t>
      </w:r>
      <w:r>
        <w:t xml:space="preserve"> other men had lived from time to time, but does not accept that this establishes that he and Mr </w:t>
      </w:r>
      <w:r w:rsidR="005D7DEA">
        <w:t>[R</w:t>
      </w:r>
      <w:r w:rsidR="00BA0300">
        <w:t>]</w:t>
      </w:r>
      <w:r w:rsidR="005D7DEA">
        <w:t xml:space="preserve"> </w:t>
      </w:r>
      <w:r>
        <w:t>were at any time in a genuine homosexual relationship.</w:t>
      </w:r>
    </w:p>
    <w:p w:rsidR="006F40C7" w:rsidRDefault="008063FF" w:rsidP="006F40C7">
      <w:pPr>
        <w:pStyle w:val="ParaNumbering"/>
      </w:pPr>
      <w:r>
        <w:t>That notwithstanding, the</w:t>
      </w:r>
      <w:r w:rsidR="006F40C7">
        <w:t xml:space="preserve"> AAT considered it unnecessary to speculate on Mr R’s motivation </w:t>
      </w:r>
      <w:r>
        <w:t>for assisting</w:t>
      </w:r>
      <w:r w:rsidR="006F40C7">
        <w:t xml:space="preserve"> the </w:t>
      </w:r>
      <w:r w:rsidR="0092568A">
        <w:t>appellant</w:t>
      </w:r>
      <w:r w:rsidR="006F40C7">
        <w:t xml:space="preserve"> </w:t>
      </w:r>
      <w:r w:rsidR="00CF3530">
        <w:t xml:space="preserve">and found that </w:t>
      </w:r>
      <w:r w:rsidR="00A7091E">
        <w:t>its</w:t>
      </w:r>
      <w:r w:rsidR="00CF3530">
        <w:t xml:space="preserve"> concerns that Mr R had </w:t>
      </w:r>
      <w:r w:rsidR="00DC08EB">
        <w:t>fabricated the relationship</w:t>
      </w:r>
      <w:r w:rsidR="00CF3530">
        <w:t xml:space="preserve">:  </w:t>
      </w:r>
    </w:p>
    <w:p w:rsidR="006F40C7" w:rsidRDefault="006F40C7" w:rsidP="0092568A">
      <w:pPr>
        <w:pStyle w:val="Quote1"/>
        <w:ind w:left="1440" w:hanging="703"/>
      </w:pPr>
      <w:r>
        <w:lastRenderedPageBreak/>
        <w:t xml:space="preserve">65. </w:t>
      </w:r>
      <w:r w:rsidR="00CF3530">
        <w:tab/>
      </w:r>
      <w:r>
        <w:t>…</w:t>
      </w:r>
      <w:r w:rsidR="00F304AF">
        <w:t xml:space="preserve"> </w:t>
      </w:r>
      <w:r>
        <w:t>are strengthened by the dearth of evidence supporting the applicant’s claims to have been in a relationship with Mr [R] from 2011 until 2014.</w:t>
      </w:r>
      <w:r w:rsidR="008B2C29">
        <w:t xml:space="preserve"> </w:t>
      </w:r>
      <w:r>
        <w:t>…  The evidence provided following the hearing shows only that the applicant at some point provided Mr [R’s] address for a bank account and had it recorded on drivers licenses.  The applicant has not provided any other evidence to establish th</w:t>
      </w:r>
      <w:r w:rsidR="008B2C29">
        <w:t xml:space="preserve">at he and Mr [R] were in a long </w:t>
      </w:r>
      <w:r>
        <w:t>term relationship.  The Tribunal considers it is reasonable to expect that the applicant would have had photographs, text messages, social media entries or other documentation, even allowing for th</w:t>
      </w:r>
      <w:r w:rsidR="008B2C29">
        <w:t>e fact that the relationship has</w:t>
      </w:r>
      <w:r>
        <w:t xml:space="preserve"> since ceased. </w:t>
      </w:r>
      <w:r w:rsidR="0092568A">
        <w:t xml:space="preserve"> </w:t>
      </w:r>
      <w:r>
        <w:t xml:space="preserve">The Tribunal does not accept the applicant’s explanation for his failure to have any documentation of this kind and as discussed below he </w:t>
      </w:r>
      <w:r w:rsidRPr="00CF3530">
        <w:t>has sought to rely instead on statutory declarations and statements from persons who have connections to Mr [R] or have been directly or ind</w:t>
      </w:r>
      <w:r w:rsidR="0092568A" w:rsidRPr="00CF3530">
        <w:t>irectly involved in Protection v</w:t>
      </w:r>
      <w:r w:rsidRPr="00CF3530">
        <w:t xml:space="preserve">isa applications. </w:t>
      </w:r>
      <w:r w:rsidR="00A7091E">
        <w:t xml:space="preserve"> </w:t>
      </w:r>
      <w:r w:rsidRPr="00CF3530">
        <w:t>In the Tribunal’s view, the evidence he has provided to support his claim</w:t>
      </w:r>
      <w:r w:rsidR="008B2C29">
        <w:t>ed</w:t>
      </w:r>
      <w:r w:rsidR="005D7DEA">
        <w:t xml:space="preserve"> </w:t>
      </w:r>
      <w:r w:rsidRPr="00CF3530">
        <w:t xml:space="preserve">homosexuality is indicative of the fact that it has been fabricated following his inability to obtain permanent residence by other means and that he sought to rely on his </w:t>
      </w:r>
      <w:r w:rsidR="0092568A" w:rsidRPr="00CF3530">
        <w:t>fabricated relationship with Mr</w:t>
      </w:r>
      <w:r w:rsidRPr="00CF3530">
        <w:t xml:space="preserve"> [R] to establish his homosexuality.</w:t>
      </w:r>
      <w:r>
        <w:t xml:space="preserve"> </w:t>
      </w:r>
    </w:p>
    <w:p w:rsidR="0092568A" w:rsidRDefault="0092568A" w:rsidP="0092568A">
      <w:pPr>
        <w:pStyle w:val="ParaNumbering"/>
      </w:pPr>
      <w:r>
        <w:t>A</w:t>
      </w:r>
      <w:r w:rsidR="00325224">
        <w:t>s</w:t>
      </w:r>
      <w:r>
        <w:t xml:space="preserve"> indicated in the passage quoted above, it was central to the AAT’s rejection of the evidence from the other witnesses relied upon by the </w:t>
      </w:r>
      <w:r w:rsidR="008B2C29">
        <w:t xml:space="preserve">appellant </w:t>
      </w:r>
      <w:r>
        <w:t>that those witnesses included persons connected to Mr R including Mr R’s former wife, his business associate, his off</w:t>
      </w:r>
      <w:r w:rsidR="00A53C8E">
        <w:t xml:space="preserve">ice assistant, </w:t>
      </w:r>
      <w:r w:rsidR="00325224">
        <w:t>and his neighbour and/or had some connection with applicants for protection visas.  While the AAT accepted at [70] that “</w:t>
      </w:r>
      <w:r w:rsidR="00325224">
        <w:rPr>
          <w:i/>
        </w:rPr>
        <w:t>various persons have provided statutory declarations in previous and past applications and that there is no evidence that those persons have any contact with applications for Protection visas</w:t>
      </w:r>
      <w:r w:rsidR="00325224">
        <w:t>”</w:t>
      </w:r>
      <w:r w:rsidR="00325224" w:rsidRPr="008B2C29">
        <w:t>,</w:t>
      </w:r>
      <w:r w:rsidR="00325224">
        <w:rPr>
          <w:i/>
        </w:rPr>
        <w:t xml:space="preserve"> </w:t>
      </w:r>
      <w:r w:rsidR="00325224" w:rsidRPr="00325224">
        <w:t xml:space="preserve">the </w:t>
      </w:r>
      <w:r w:rsidR="00325224">
        <w:t>AAT found that:</w:t>
      </w:r>
    </w:p>
    <w:p w:rsidR="00325224" w:rsidRDefault="00325224" w:rsidP="005D7DEA">
      <w:pPr>
        <w:pStyle w:val="Quote1"/>
        <w:ind w:left="1440" w:hanging="703"/>
      </w:pPr>
      <w:r>
        <w:t xml:space="preserve">70. </w:t>
      </w:r>
      <w:r w:rsidR="00F304AF">
        <w:tab/>
      </w:r>
      <w:r>
        <w:t>… However, until recently when some statutory declarations were provided to this Tribunal, the witnesses who had made statements or given oral evidence were almost all associated with Protection visa applicants, and many appear to be associated with [Mr R], including [Mr JT] with whom the applicant claims to have had a sexual relationship with following his break</w:t>
      </w:r>
      <w:r w:rsidR="008B2C29">
        <w:t xml:space="preserve"> </w:t>
      </w:r>
      <w:r>
        <w:t xml:space="preserve">up with [Mr R].  </w:t>
      </w:r>
      <w:r w:rsidRPr="00A53C8E">
        <w:t>The Tribunal acknowledges that the gay Indian community in Australia may be relatively small and close knit and that the evidence in relation to the connections between persons who have been willing to provide statements for the applicant or oral evidence is not in itself adverse.  However, combined with the number of concerns in relation to this application and the circumstances surrounding the lodgement of the application, the Tribunal considers that the connections between the witnesses with applications for Protection visas or with [Mr R]</w:t>
      </w:r>
      <w:r w:rsidR="00E521FC">
        <w:t>,</w:t>
      </w:r>
      <w:r w:rsidRPr="00A53C8E">
        <w:t xml:space="preserve"> to be beyond coincidence.  In the Tribunal’s view, there are numerous other homosexual men in Sydney with whom the applicant could have had relationships if he were genuinely a homosexual man, and considers that the connection between various witnesses is not coincidental.  The</w:t>
      </w:r>
      <w:r>
        <w:t xml:space="preserve"> Tribunal considers it is instead indicative of the fact that the applicant has had difficulty obtaining witnesses who are truly independent to support his c</w:t>
      </w:r>
      <w:r w:rsidR="005D7DEA">
        <w:t xml:space="preserve">laims to be homosexual. </w:t>
      </w:r>
      <w:r w:rsidR="00A7091E">
        <w:t xml:space="preserve"> </w:t>
      </w:r>
      <w:r w:rsidR="005D7DEA">
        <w:t>In the T</w:t>
      </w:r>
      <w:r>
        <w:t xml:space="preserve">ribunal’s view this is because he is not homosexual. </w:t>
      </w:r>
    </w:p>
    <w:p w:rsidR="007D3314" w:rsidRDefault="0069319B" w:rsidP="00E63BDA">
      <w:pPr>
        <w:pStyle w:val="ParaNumbering"/>
      </w:pPr>
      <w:r>
        <w:t xml:space="preserve">The </w:t>
      </w:r>
      <w:r w:rsidR="00C50D18">
        <w:t>AAT</w:t>
      </w:r>
      <w:r>
        <w:t xml:space="preserve"> concluded that:</w:t>
      </w:r>
    </w:p>
    <w:p w:rsidR="0069319B" w:rsidRDefault="0069319B" w:rsidP="0069319B">
      <w:pPr>
        <w:pStyle w:val="Quote1"/>
        <w:ind w:left="1440" w:hanging="703"/>
      </w:pPr>
      <w:r>
        <w:t>73.</w:t>
      </w:r>
      <w:r>
        <w:tab/>
        <w:t xml:space="preserve">The Tribunal is drawn to the conclusion, having found that several aspects of </w:t>
      </w:r>
      <w:r>
        <w:lastRenderedPageBreak/>
        <w:t xml:space="preserve">the applicant’s claims and evidence have been fabricated, that the applicant acquired some membership cards and subscribed to a gay newsletter because he had become aware that the Skilled visa pathway was fraught with difficulties and the likelihood that he would obtain a visa through that means was becoming “impossible”.  </w:t>
      </w:r>
      <w:r w:rsidRPr="00A53C8E">
        <w:t>In the Tribunal’s view, the applicant at that time began fabricating some initial evidence with a view to lodging a Protection visa application on the basis of his homosexuality</w:t>
      </w:r>
      <w:r>
        <w:t xml:space="preserve">.  The Tribunal is also drawn to the conclusion, having regard to all of the evidence and findings, including </w:t>
      </w:r>
      <w:r w:rsidRPr="00C8417E">
        <w:rPr>
          <w:b/>
          <w:i/>
        </w:rPr>
        <w:t>the lengthy delay in the lodgement of the application,</w:t>
      </w:r>
      <w:r>
        <w:t xml:space="preserve"> </w:t>
      </w:r>
      <w:r w:rsidRPr="00A53C8E">
        <w:t xml:space="preserve">the lack of independent witnesses until recently, </w:t>
      </w:r>
      <w:r w:rsidRPr="00A53C8E">
        <w:rPr>
          <w:b/>
          <w:i/>
        </w:rPr>
        <w:t>despite the fact that the applicant lives in a city which has a sizeable and visible homosexual population</w:t>
      </w:r>
      <w:r w:rsidRPr="00A53C8E">
        <w:t>, and the applicant’s inability to achieve permanent residence by alternative means, that the witnesses who have provided statutory declarations and oral evidence to support the applicant’s applications for Protection visas have been willing to provide false evidence to support the applicant’s claims.  As stated above,</w:t>
      </w:r>
      <w:r w:rsidRPr="00A53C8E">
        <w:rPr>
          <w:b/>
          <w:i/>
        </w:rPr>
        <w:t xml:space="preserve"> the Tribunal has accepted, as stated above, that the applicant may have been prepared to participate in homosexual relations of some kind to support his applications for Protection. </w:t>
      </w:r>
      <w:r w:rsidRPr="00A53C8E">
        <w:t xml:space="preserve"> </w:t>
      </w:r>
      <w:r w:rsidRPr="00A53C8E">
        <w:rPr>
          <w:b/>
          <w:i/>
        </w:rPr>
        <w:t>The Tribunal has not accepted that this establishes that the applicant is homosexual.</w:t>
      </w:r>
      <w:r w:rsidRPr="00A53C8E">
        <w:t xml:space="preserve">  The Tribunal considers, in light of all of the numerous adverse findings made above, that </w:t>
      </w:r>
      <w:r w:rsidRPr="00A53C8E">
        <w:rPr>
          <w:b/>
          <w:i/>
        </w:rPr>
        <w:t>it establishes only that the applicant is prepared to do whatever he considers necessary to assist him to obtain a permanent visa to remain in Australia.</w:t>
      </w:r>
      <w:r w:rsidRPr="00A53C8E">
        <w:t xml:space="preserve">  The Tribunal does not, therefore, accept that statutory declarations from</w:t>
      </w:r>
      <w:r>
        <w:t xml:space="preserve"> persons claiming to have had homosexual experiences with the applicant establish that he is homosexual or will be homosexual upon his return to India.  The Tribunal also does not accept that due to his contact with homosexual </w:t>
      </w:r>
      <w:proofErr w:type="gramStart"/>
      <w:r>
        <w:t>men,</w:t>
      </w:r>
      <w:proofErr w:type="gramEnd"/>
      <w:r>
        <w:t xml:space="preserve"> or as a result of any involvement in the homosexual community for the purposes of fabricating claims to be homosexual, that the applicant will be perceived to be homosexual upon his return to India.</w:t>
      </w:r>
    </w:p>
    <w:p w:rsidR="0069319B" w:rsidRDefault="0069319B" w:rsidP="00F304AF">
      <w:pPr>
        <w:pStyle w:val="Quote1"/>
        <w:ind w:left="1440" w:hanging="703"/>
      </w:pPr>
      <w:r>
        <w:t>74.</w:t>
      </w:r>
      <w:r>
        <w:tab/>
        <w:t xml:space="preserve">The Tribunal does not accept that the applicant is homosexual, that he has ever been homosexual or that he had a boyfriend in India called </w:t>
      </w:r>
      <w:r w:rsidR="00DC08EB">
        <w:t>[H]</w:t>
      </w:r>
      <w:r>
        <w:t xml:space="preserve"> or that he left India for these reasons.  The Tribunal does not accept that the applicant’s father has any intention of harming the applicant because he is homosexual or forcing him to marry a woman against his will.  The Tribunal is not satisfied that there is a real risk that the applicant will be subject to significant harm upon his return to India.  Accordingly, the Tribunal finds that there are not substantial grounds for believing that as a necessary and foreseeable consequence of the applicant being removed from Australia to India that there is a real risk that he will suffer significant harm, which includes arbitrary deprivation of life, torture, the death penalty, cruel or inhuman treatment or punishment or degrading treatment or punishment.</w:t>
      </w:r>
    </w:p>
    <w:p w:rsidR="00C8417E" w:rsidRPr="005240AB" w:rsidRDefault="00C8417E" w:rsidP="0069319B">
      <w:pPr>
        <w:pStyle w:val="Quote1"/>
        <w:ind w:left="1440" w:hanging="703"/>
      </w:pPr>
      <w:r>
        <w:t>(</w:t>
      </w:r>
      <w:proofErr w:type="gramStart"/>
      <w:r>
        <w:t>emphasis</w:t>
      </w:r>
      <w:proofErr w:type="gramEnd"/>
      <w:r>
        <w:t xml:space="preserve"> added)</w:t>
      </w:r>
    </w:p>
    <w:p w:rsidR="00C8417E" w:rsidRDefault="00C8417E" w:rsidP="00C8417E">
      <w:pPr>
        <w:pStyle w:val="ParaNumbering"/>
      </w:pPr>
      <w:r>
        <w:t>The words emphasised in the passages quoted above were the subject of</w:t>
      </w:r>
      <w:r w:rsidR="00AC690B">
        <w:t xml:space="preserve"> particular focus in </w:t>
      </w:r>
      <w:r w:rsidR="00FB63DC">
        <w:t>the</w:t>
      </w:r>
      <w:r>
        <w:t xml:space="preserve"> challenge by the appellant </w:t>
      </w:r>
      <w:r w:rsidR="00FB63DC">
        <w:t xml:space="preserve">to the </w:t>
      </w:r>
      <w:r w:rsidR="00C50D18">
        <w:t>AAT</w:t>
      </w:r>
      <w:r w:rsidR="00FB63DC">
        <w:t xml:space="preserve">’s decision </w:t>
      </w:r>
      <w:r>
        <w:t xml:space="preserve">in the Court below and on the appeal. </w:t>
      </w:r>
    </w:p>
    <w:p w:rsidR="003065E2" w:rsidRDefault="00665954" w:rsidP="003065E2">
      <w:pPr>
        <w:pStyle w:val="ParaNumbering"/>
      </w:pPr>
      <w:r>
        <w:t>We</w:t>
      </w:r>
      <w:r w:rsidR="003065E2">
        <w:t xml:space="preserve"> interpolate to note how closely the conclusion reached by the AAT as to the appellant’s alleged preparedness to do anything necessary to obtain a protection visa mirrors the finding made by the RRT in its earlier decision, despite the significant </w:t>
      </w:r>
      <w:r w:rsidR="00DC08EB">
        <w:t xml:space="preserve">volume of corroborating material relied upon by the appellant </w:t>
      </w:r>
      <w:r w:rsidR="000245A3">
        <w:t>by the time that his application was before</w:t>
      </w:r>
      <w:r w:rsidR="003065E2">
        <w:t xml:space="preserve"> the AAT.  </w:t>
      </w:r>
    </w:p>
    <w:p w:rsidR="00E636DC" w:rsidRDefault="00E636DC" w:rsidP="00E636DC">
      <w:pPr>
        <w:pStyle w:val="Heading6"/>
      </w:pPr>
      <w:bookmarkStart w:id="27" w:name="_Ref499634440"/>
      <w:r>
        <w:lastRenderedPageBreak/>
        <w:t>The decision of the Federal Circuit Court</w:t>
      </w:r>
      <w:bookmarkEnd w:id="27"/>
    </w:p>
    <w:p w:rsidR="00E63BDA" w:rsidRDefault="00E63BDA" w:rsidP="00E63BDA">
      <w:pPr>
        <w:pStyle w:val="ParaNumbering"/>
      </w:pPr>
      <w:r>
        <w:t xml:space="preserve">The appellant had legal representation in the Court below. </w:t>
      </w:r>
      <w:r w:rsidR="00EF16F8">
        <w:t xml:space="preserve"> </w:t>
      </w:r>
      <w:r>
        <w:t xml:space="preserve">The primary judge gave </w:t>
      </w:r>
      <w:r w:rsidRPr="00EF16F8">
        <w:rPr>
          <w:i/>
        </w:rPr>
        <w:t>ex tempore</w:t>
      </w:r>
      <w:r>
        <w:t xml:space="preserve"> reasons for dismissing the application for judicial review. </w:t>
      </w:r>
    </w:p>
    <w:p w:rsidR="00EF16F8" w:rsidRDefault="00E63BDA" w:rsidP="00E63BDA">
      <w:pPr>
        <w:pStyle w:val="ParaNumbering"/>
      </w:pPr>
      <w:r>
        <w:t xml:space="preserve">In his reasons, the primary judge summarised the reasons of the delegate and the </w:t>
      </w:r>
      <w:r w:rsidR="00C50D18">
        <w:t>AAT</w:t>
      </w:r>
      <w:r>
        <w:t xml:space="preserve"> in detail at paragraphs [4]-[41]. </w:t>
      </w:r>
      <w:r w:rsidR="00EF16F8">
        <w:t xml:space="preserve"> His Honour then considered the</w:t>
      </w:r>
      <w:r>
        <w:t xml:space="preserve"> grounds of review raised </w:t>
      </w:r>
      <w:r w:rsidR="00EF16F8">
        <w:t>by the appellant</w:t>
      </w:r>
      <w:r>
        <w:t xml:space="preserve">. </w:t>
      </w:r>
      <w:r w:rsidR="00EF16F8">
        <w:t xml:space="preserve"> </w:t>
      </w:r>
    </w:p>
    <w:p w:rsidR="00E63BDA" w:rsidRDefault="00E63BDA" w:rsidP="00E63BDA">
      <w:pPr>
        <w:pStyle w:val="ParaNumbering"/>
      </w:pPr>
      <w:bookmarkStart w:id="28" w:name="_Ref499652236"/>
      <w:r>
        <w:t xml:space="preserve">The first ground alleged that the </w:t>
      </w:r>
      <w:r w:rsidR="00C50D18">
        <w:t>AAT</w:t>
      </w:r>
      <w:r>
        <w:t xml:space="preserve"> failed to take into account relevant considerations and took into account irrelevant considerations, being the evidence provided by various witnesses to the effect that the appellant was engaged in active homosexual life. </w:t>
      </w:r>
      <w:r w:rsidR="00EF16F8">
        <w:t xml:space="preserve"> </w:t>
      </w:r>
      <w:r>
        <w:t>In relation to this ground, the Court below found</w:t>
      </w:r>
      <w:r w:rsidR="005229E0">
        <w:t xml:space="preserve"> that:</w:t>
      </w:r>
      <w:bookmarkEnd w:id="28"/>
    </w:p>
    <w:p w:rsidR="005229E0" w:rsidRDefault="005229E0" w:rsidP="00F304AF">
      <w:pPr>
        <w:pStyle w:val="Quote1"/>
        <w:ind w:left="1440" w:hanging="703"/>
      </w:pPr>
      <w:r>
        <w:t xml:space="preserve">43.  </w:t>
      </w:r>
      <w:r w:rsidR="00F304AF">
        <w:tab/>
      </w:r>
      <w:r>
        <w:t xml:space="preserve">In relation to ground 1, it is apparent from the </w:t>
      </w:r>
      <w:r w:rsidR="00BA0300">
        <w:t>T</w:t>
      </w:r>
      <w:r>
        <w:t>ribunal’s reasons that the Tribunal referred to the respective witnesses who provided statements purportedly in support of the applicant</w:t>
      </w:r>
      <w:r w:rsidR="00BA0300">
        <w:t>’</w:t>
      </w:r>
      <w:r w:rsidR="00F152DC">
        <w:t xml:space="preserve">s homosexual life. </w:t>
      </w:r>
      <w:r w:rsidR="005302BA">
        <w:t xml:space="preserve"> </w:t>
      </w:r>
      <w:r>
        <w:t>There is no basis to support the proposition that the Tribunal failed to take into account that evidence.  The adverse findings made by the Tribunal in relation to the evidence provided by the applicant were open and cannot be said to lack an evident and intelligible justification.  Ground 1 fails to make out any jurisdictional error.</w:t>
      </w:r>
    </w:p>
    <w:p w:rsidR="007D3314" w:rsidRDefault="00E63BDA" w:rsidP="00E63BDA">
      <w:pPr>
        <w:pStyle w:val="ParaNumbering"/>
      </w:pPr>
      <w:r>
        <w:t xml:space="preserve">The </w:t>
      </w:r>
      <w:r w:rsidR="007D3314">
        <w:t>second</w:t>
      </w:r>
      <w:r w:rsidR="00C24B1A">
        <w:t xml:space="preserve"> ground </w:t>
      </w:r>
      <w:r w:rsidR="005229E0">
        <w:t>alleged</w:t>
      </w:r>
      <w:r w:rsidR="00C24B1A">
        <w:t xml:space="preserve"> that the </w:t>
      </w:r>
      <w:r w:rsidR="00C50D18">
        <w:t>AAT</w:t>
      </w:r>
      <w:r>
        <w:t xml:space="preserve"> acted beyond its power by taking into account irrelevant considerations</w:t>
      </w:r>
      <w:r w:rsidR="00EF16F8">
        <w:t>,</w:t>
      </w:r>
      <w:r>
        <w:t xml:space="preserve"> being unsubstantiated conclusions, assertions and assumptions as to various matters</w:t>
      </w:r>
      <w:r w:rsidR="005229E0">
        <w:t xml:space="preserve">. Specifically, the appellant argued below that the </w:t>
      </w:r>
      <w:r w:rsidR="00C50D18">
        <w:t>AAT</w:t>
      </w:r>
      <w:r w:rsidR="005229E0">
        <w:t xml:space="preserve"> had made a number of assumptions as to the nature of the gay community, in relation to Sikhs and the connections that there may be in that community, and that the homosexual relationship allegedly between Mr R and the appellant would be monogamous.  The primary judge however </w:t>
      </w:r>
      <w:r>
        <w:t xml:space="preserve">found </w:t>
      </w:r>
      <w:r w:rsidR="005229E0">
        <w:t>without elaboration at [</w:t>
      </w:r>
      <w:r w:rsidR="00BA0300">
        <w:t>44</w:t>
      </w:r>
      <w:r w:rsidR="005229E0">
        <w:t>] that “</w:t>
      </w:r>
      <w:r w:rsidR="005229E0">
        <w:rPr>
          <w:i/>
        </w:rPr>
        <w:t xml:space="preserve">[n]o such assumption in relation to the relationship being </w:t>
      </w:r>
      <w:r w:rsidR="005229E0" w:rsidRPr="005229E0">
        <w:rPr>
          <w:i/>
        </w:rPr>
        <w:t xml:space="preserve">monogamous was made by the Tribunal. </w:t>
      </w:r>
      <w:r w:rsidR="005229E0">
        <w:rPr>
          <w:i/>
        </w:rPr>
        <w:t xml:space="preserve"> </w:t>
      </w:r>
      <w:r w:rsidR="005229E0" w:rsidRPr="005229E0">
        <w:rPr>
          <w:i/>
        </w:rPr>
        <w:t>The reasoning in relation to the homosexual community was open.</w:t>
      </w:r>
      <w:r w:rsidR="005229E0" w:rsidRPr="0000100C">
        <w:t xml:space="preserve">” </w:t>
      </w:r>
      <w:r w:rsidR="005229E0">
        <w:t xml:space="preserve"> </w:t>
      </w:r>
      <w:r w:rsidR="007D3314">
        <w:t>The</w:t>
      </w:r>
      <w:r w:rsidR="005229E0">
        <w:t xml:space="preserve"> primary judge </w:t>
      </w:r>
      <w:r w:rsidR="007D3314">
        <w:t>also found</w:t>
      </w:r>
      <w:r w:rsidR="005229E0">
        <w:t>, again without elaboration,</w:t>
      </w:r>
      <w:r w:rsidR="007D3314">
        <w:t xml:space="preserve"> that the</w:t>
      </w:r>
      <w:r w:rsidR="00C24B1A">
        <w:t xml:space="preserve"> </w:t>
      </w:r>
      <w:r w:rsidR="00C50D18">
        <w:t>AAT</w:t>
      </w:r>
      <w:r w:rsidR="007D3314">
        <w:t xml:space="preserve">’s </w:t>
      </w:r>
      <w:r w:rsidR="00FB7623">
        <w:t xml:space="preserve">reasons </w:t>
      </w:r>
      <w:r w:rsidR="007D3314">
        <w:t>in relation to the</w:t>
      </w:r>
      <w:r w:rsidR="005229E0">
        <w:t xml:space="preserve"> appellant’s </w:t>
      </w:r>
      <w:r w:rsidR="007D3314">
        <w:t>evidence</w:t>
      </w:r>
      <w:r w:rsidR="005229E0">
        <w:t xml:space="preserve"> and the </w:t>
      </w:r>
      <w:r w:rsidR="007D3314">
        <w:t>lack of independent evidence “</w:t>
      </w:r>
      <w:r w:rsidR="007D3314">
        <w:rPr>
          <w:i/>
        </w:rPr>
        <w:t>were logical and rational and do not identify an impermissible assumption or stereotyping in relation to homosexual persons.</w:t>
      </w:r>
      <w:r w:rsidR="007D3314">
        <w:t xml:space="preserve">” </w:t>
      </w:r>
    </w:p>
    <w:p w:rsidR="00A2098E" w:rsidRDefault="007D3314" w:rsidP="00E63BDA">
      <w:pPr>
        <w:pStyle w:val="ParaNumbering"/>
      </w:pPr>
      <w:r>
        <w:t>By</w:t>
      </w:r>
      <w:r w:rsidR="00EF16F8">
        <w:t xml:space="preserve"> ground 3, the appellant alleged</w:t>
      </w:r>
      <w:r>
        <w:t xml:space="preserve"> that</w:t>
      </w:r>
      <w:r w:rsidR="00C24B1A">
        <w:t xml:space="preserve"> the </w:t>
      </w:r>
      <w:r w:rsidR="00C50D18">
        <w:t>AAT</w:t>
      </w:r>
      <w:r>
        <w:t xml:space="preserve"> made findings of fact without any</w:t>
      </w:r>
      <w:r w:rsidR="005229E0">
        <w:t xml:space="preserve"> supporting </w:t>
      </w:r>
      <w:r>
        <w:t>probative evidence that</w:t>
      </w:r>
      <w:r w:rsidR="00A2098E">
        <w:t>:</w:t>
      </w:r>
    </w:p>
    <w:p w:rsidR="00A2098E" w:rsidRDefault="007D3314" w:rsidP="00A2098E">
      <w:pPr>
        <w:pStyle w:val="ListNo1"/>
        <w:numPr>
          <w:ilvl w:val="0"/>
          <w:numId w:val="26"/>
        </w:numPr>
      </w:pPr>
      <w:r>
        <w:lastRenderedPageBreak/>
        <w:t xml:space="preserve">he </w:t>
      </w:r>
      <w:r w:rsidR="00A2098E">
        <w:t>is</w:t>
      </w:r>
      <w:r>
        <w:t xml:space="preserve"> not homosexual</w:t>
      </w:r>
      <w:r w:rsidR="00A2098E">
        <w:t xml:space="preserve"> </w:t>
      </w:r>
      <w:r w:rsidR="003065E2">
        <w:t xml:space="preserve">and </w:t>
      </w:r>
      <w:r w:rsidR="00A2098E">
        <w:t>would not engage in a homosexual lifestyle if returned to India</w:t>
      </w:r>
      <w:r w:rsidR="00EF16F8">
        <w:t>,</w:t>
      </w:r>
      <w:r>
        <w:t xml:space="preserve"> despite accepting that he may have engaged in homosexual sexual experiences</w:t>
      </w:r>
      <w:r w:rsidR="00A2098E">
        <w:t xml:space="preserve"> and </w:t>
      </w:r>
      <w:r w:rsidR="00BA0300">
        <w:t xml:space="preserve">have </w:t>
      </w:r>
      <w:r w:rsidR="00A2098E">
        <w:t xml:space="preserve">attended homosexual events and venues; </w:t>
      </w:r>
    </w:p>
    <w:p w:rsidR="00A2098E" w:rsidRDefault="007D3314" w:rsidP="00A2098E">
      <w:pPr>
        <w:pStyle w:val="ListNo1"/>
        <w:numPr>
          <w:ilvl w:val="0"/>
          <w:numId w:val="26"/>
        </w:numPr>
      </w:pPr>
      <w:r>
        <w:t xml:space="preserve">he engaged in homosexual sexual </w:t>
      </w:r>
      <w:r w:rsidR="00A2098E">
        <w:t xml:space="preserve">activity as a contrivance </w:t>
      </w:r>
      <w:r>
        <w:t>incl</w:t>
      </w:r>
      <w:r w:rsidR="00A2098E">
        <w:t>uding while he held a student visa (and therefore before he applied for a protection visa);</w:t>
      </w:r>
      <w:r>
        <w:t xml:space="preserve"> and </w:t>
      </w:r>
    </w:p>
    <w:p w:rsidR="00A2098E" w:rsidRDefault="00A2098E" w:rsidP="00A2098E">
      <w:pPr>
        <w:pStyle w:val="ListNo1"/>
        <w:numPr>
          <w:ilvl w:val="0"/>
          <w:numId w:val="26"/>
        </w:numPr>
      </w:pPr>
      <w:proofErr w:type="gramStart"/>
      <w:r>
        <w:t>if</w:t>
      </w:r>
      <w:proofErr w:type="gramEnd"/>
      <w:r>
        <w:t xml:space="preserve"> </w:t>
      </w:r>
      <w:r w:rsidR="007D3314">
        <w:t xml:space="preserve">he genuinely feared harm in India by reason of his homosexuality, he would have </w:t>
      </w:r>
      <w:r w:rsidR="00EF16F8">
        <w:t>applied</w:t>
      </w:r>
      <w:r w:rsidR="007D3314">
        <w:t xml:space="preserve"> for a protection visa on arriving in Australia </w:t>
      </w:r>
      <w:r w:rsidR="00EF16F8">
        <w:t>and</w:t>
      </w:r>
      <w:r w:rsidR="007D3314">
        <w:t xml:space="preserve"> not relied on a student visa.</w:t>
      </w:r>
      <w:r w:rsidR="00C24B1A">
        <w:t xml:space="preserve"> </w:t>
      </w:r>
    </w:p>
    <w:p w:rsidR="00A2098E" w:rsidRDefault="007D3314" w:rsidP="00E63BDA">
      <w:pPr>
        <w:pStyle w:val="ParaNumbering"/>
      </w:pPr>
      <w:r>
        <w:t>The primary judge however found</w:t>
      </w:r>
      <w:r w:rsidR="00A2098E">
        <w:t xml:space="preserve"> at [47]</w:t>
      </w:r>
      <w:r>
        <w:t xml:space="preserve"> that this</w:t>
      </w:r>
      <w:r w:rsidR="00EF16F8">
        <w:t xml:space="preserve"> ground</w:t>
      </w:r>
      <w:r w:rsidR="00A2098E">
        <w:t>:</w:t>
      </w:r>
    </w:p>
    <w:p w:rsidR="007D3314" w:rsidRDefault="00A2098E" w:rsidP="00F304AF">
      <w:pPr>
        <w:pStyle w:val="Quote1"/>
      </w:pPr>
      <w:r>
        <w:t>…</w:t>
      </w:r>
      <w:r w:rsidR="00F304AF">
        <w:t xml:space="preserve"> </w:t>
      </w:r>
      <w:proofErr w:type="gramStart"/>
      <w:r w:rsidRPr="00A2098E">
        <w:t>is</w:t>
      </w:r>
      <w:proofErr w:type="gramEnd"/>
      <w:r w:rsidRPr="00A2098E">
        <w:t xml:space="preserve"> in substance</w:t>
      </w:r>
      <w:r>
        <w:rPr>
          <w:i/>
        </w:rPr>
        <w:t xml:space="preserve"> </w:t>
      </w:r>
      <w:r>
        <w:t>an impermissible challenge to the adverse findings of credit made by the Tribunal.  In the present case, the Tribunal gave logical and rational reasons in support of the adverse credit findings.  The adverse findings in relation to the applicant’s credit in respect of being a homosexual cannot be said to lack an evident and intelligible justification.  The adverse finding was open to the Tribunal.</w:t>
      </w:r>
    </w:p>
    <w:p w:rsidR="00E63BDA" w:rsidRDefault="007D3314" w:rsidP="00E63BDA">
      <w:pPr>
        <w:pStyle w:val="ParaNumbering"/>
      </w:pPr>
      <w:r>
        <w:t xml:space="preserve">Finally in relation to ground 4 which sought to challenge the </w:t>
      </w:r>
      <w:r w:rsidR="00C50D18">
        <w:t>AAT</w:t>
      </w:r>
      <w:r w:rsidR="00FB7623">
        <w:t>’</w:t>
      </w:r>
      <w:r>
        <w:t xml:space="preserve">s decision on the ground that it </w:t>
      </w:r>
      <w:r w:rsidR="002E193A">
        <w:t>had</w:t>
      </w:r>
      <w:r w:rsidR="00A2098E">
        <w:t xml:space="preserve"> applied an illogical process of </w:t>
      </w:r>
      <w:r w:rsidR="002E193A">
        <w:t>reasoning to probative evidence</w:t>
      </w:r>
      <w:r>
        <w:t xml:space="preserve"> </w:t>
      </w:r>
      <w:r w:rsidR="002E193A">
        <w:t>(relying upon</w:t>
      </w:r>
      <w:r>
        <w:t xml:space="preserve"> the particulars for grounds 2 and 3</w:t>
      </w:r>
      <w:r w:rsidR="002E193A">
        <w:t>)</w:t>
      </w:r>
      <w:r>
        <w:t xml:space="preserve">, the Court below found </w:t>
      </w:r>
      <w:r w:rsidR="00A2098E">
        <w:t xml:space="preserve">simply </w:t>
      </w:r>
      <w:r>
        <w:t>that:</w:t>
      </w:r>
    </w:p>
    <w:p w:rsidR="00A2098E" w:rsidRPr="00E63BDA" w:rsidRDefault="007D3314" w:rsidP="00F304AF">
      <w:pPr>
        <w:pStyle w:val="Quote1"/>
        <w:ind w:left="1440" w:hanging="703"/>
      </w:pPr>
      <w:r>
        <w:t xml:space="preserve">48. </w:t>
      </w:r>
      <w:r w:rsidR="00F304AF">
        <w:tab/>
        <w:t>…</w:t>
      </w:r>
      <w:r>
        <w:t>The Tribunal</w:t>
      </w:r>
      <w:r w:rsidR="002E193A">
        <w:t>’</w:t>
      </w:r>
      <w:r>
        <w:t xml:space="preserve">s adverse findings were open on the material before the Tribunal. </w:t>
      </w:r>
      <w:r w:rsidR="002E193A">
        <w:t xml:space="preserve"> </w:t>
      </w:r>
      <w:r>
        <w:t xml:space="preserve">This is not a case where the Tribunal engaged in any </w:t>
      </w:r>
      <w:r w:rsidR="00FB7623">
        <w:t>il</w:t>
      </w:r>
      <w:r>
        <w:t>logical process of reasoning or made findin</w:t>
      </w:r>
      <w:r w:rsidR="00A2098E">
        <w:t>gs unsupported by the evidence.</w:t>
      </w:r>
    </w:p>
    <w:p w:rsidR="00E636DC" w:rsidRDefault="007B5CE7" w:rsidP="00E636DC">
      <w:pPr>
        <w:pStyle w:val="Heading5"/>
      </w:pPr>
      <w:bookmarkStart w:id="29" w:name="_Ref499634441"/>
      <w:r>
        <w:t>RELEVANT PRINCIPLES</w:t>
      </w:r>
      <w:bookmarkEnd w:id="29"/>
      <w:r w:rsidR="00E5189D">
        <w:t xml:space="preserve">: </w:t>
      </w:r>
      <w:r w:rsidR="00995CB2">
        <w:t xml:space="preserve"> LEGAL</w:t>
      </w:r>
      <w:r w:rsidR="00E5189D">
        <w:t xml:space="preserve"> UNREASONABLENESS</w:t>
      </w:r>
    </w:p>
    <w:p w:rsidR="00DB2C36" w:rsidRPr="00DB2C36" w:rsidRDefault="00DB2C36" w:rsidP="00DB2C36">
      <w:pPr>
        <w:pStyle w:val="ParaNumbering"/>
      </w:pPr>
      <w:r>
        <w:t>The relevant principles can be summarised as follows.</w:t>
      </w:r>
    </w:p>
    <w:p w:rsidR="00AA6D03" w:rsidRDefault="00AA6D03" w:rsidP="00AA6D03">
      <w:pPr>
        <w:pStyle w:val="ListNo1"/>
        <w:numPr>
          <w:ilvl w:val="0"/>
          <w:numId w:val="27"/>
        </w:numPr>
      </w:pPr>
      <w:r>
        <w:t xml:space="preserve">While findings as to credit are generally matters for the administrative decision maker, this does not mean that such findings as to credit are beyond scrutiny on judicial review:  </w:t>
      </w:r>
      <w:r w:rsidRPr="00564E16">
        <w:rPr>
          <w:i/>
        </w:rPr>
        <w:t xml:space="preserve">CQG15 v Minister for Immigration and Border Protection </w:t>
      </w:r>
      <w:r w:rsidRPr="00564E16">
        <w:t>[2016] FCAFC 146 (</w:t>
      </w:r>
      <w:r w:rsidRPr="00564E16">
        <w:rPr>
          <w:b/>
          <w:i/>
        </w:rPr>
        <w:t>CQG15</w:t>
      </w:r>
      <w:r w:rsidRPr="00564E16">
        <w:t xml:space="preserve">) </w:t>
      </w:r>
      <w:r>
        <w:t xml:space="preserve">at [37]-[38] (the Court).  </w:t>
      </w:r>
      <w:r w:rsidR="00B90AE1" w:rsidRPr="00564E16">
        <w:t>The question of whether a credibility finding is tainted by jurisdictional error is a case specific inquiry, and is not assessed by reference to fixed categories or formulae (</w:t>
      </w:r>
      <w:r w:rsidR="00DB2C36" w:rsidRPr="00DB2C36">
        <w:rPr>
          <w:i/>
        </w:rPr>
        <w:t>ARG15</w:t>
      </w:r>
      <w:r w:rsidR="00DB2C36" w:rsidRPr="00564E16">
        <w:t xml:space="preserve"> </w:t>
      </w:r>
      <w:r w:rsidR="00DB2C36" w:rsidRPr="00DB2C36">
        <w:rPr>
          <w:i/>
        </w:rPr>
        <w:t xml:space="preserve">v Minister for Immigration and Border Protection </w:t>
      </w:r>
      <w:r w:rsidR="00DB2C36" w:rsidRPr="00564E16">
        <w:t>[2016] FCAFC 174</w:t>
      </w:r>
      <w:r w:rsidR="00724051">
        <w:t>; (2016) 250 FCR 109</w:t>
      </w:r>
      <w:r w:rsidR="00DB2C36" w:rsidRPr="00564E16">
        <w:t xml:space="preserve"> (</w:t>
      </w:r>
      <w:r w:rsidR="00DB2C36" w:rsidRPr="00DB2C36">
        <w:rPr>
          <w:b/>
          <w:i/>
        </w:rPr>
        <w:t>ARG15</w:t>
      </w:r>
      <w:r w:rsidR="00DB2C36" w:rsidRPr="00DB2C36">
        <w:rPr>
          <w:b/>
        </w:rPr>
        <w:t>)</w:t>
      </w:r>
      <w:r w:rsidR="00B90AE1" w:rsidRPr="00DB2C36">
        <w:rPr>
          <w:i/>
        </w:rPr>
        <w:t xml:space="preserve"> </w:t>
      </w:r>
      <w:r w:rsidR="00B90AE1" w:rsidRPr="00564E16">
        <w:t>at [83</w:t>
      </w:r>
      <w:proofErr w:type="gramStart"/>
      <w:r w:rsidR="00B90AE1" w:rsidRPr="00564E16">
        <w:t>](</w:t>
      </w:r>
      <w:proofErr w:type="gramEnd"/>
      <w:r w:rsidR="00B90AE1" w:rsidRPr="00564E16">
        <w:t>b)).</w:t>
      </w:r>
      <w:r w:rsidR="00C86756">
        <w:t xml:space="preserve"> </w:t>
      </w:r>
      <w:r>
        <w:t xml:space="preserve"> </w:t>
      </w:r>
      <w:r w:rsidR="00C86756" w:rsidRPr="00A53C8E">
        <w:t>In each case it is necessary to analyse in detail what the decision-maker has decided</w:t>
      </w:r>
      <w:r w:rsidR="00C86756">
        <w:t xml:space="preserve">:  </w:t>
      </w:r>
      <w:r w:rsidR="00C86756" w:rsidRPr="003C1CA8">
        <w:rPr>
          <w:i/>
        </w:rPr>
        <w:t>Minister for Immigration and Citizenship v SZRKT</w:t>
      </w:r>
      <w:r w:rsidR="00C86756">
        <w:rPr>
          <w:i/>
        </w:rPr>
        <w:t xml:space="preserve"> </w:t>
      </w:r>
      <w:r w:rsidR="00C86756">
        <w:t>[2013] FCA 317;</w:t>
      </w:r>
      <w:r w:rsidR="00C86756" w:rsidRPr="003C1CA8">
        <w:rPr>
          <w:i/>
        </w:rPr>
        <w:t xml:space="preserve"> </w:t>
      </w:r>
      <w:r w:rsidR="00C86756" w:rsidRPr="00871942">
        <w:t>(2013) 212 FCR 99</w:t>
      </w:r>
      <w:r>
        <w:t xml:space="preserve"> (</w:t>
      </w:r>
      <w:r w:rsidRPr="00AA6D03">
        <w:rPr>
          <w:b/>
          <w:i/>
        </w:rPr>
        <w:t>SZRKT</w:t>
      </w:r>
      <w:r>
        <w:t>)</w:t>
      </w:r>
      <w:r w:rsidR="00E97504">
        <w:t xml:space="preserve"> at [77] (Robertson J). </w:t>
      </w:r>
    </w:p>
    <w:p w:rsidR="00686756" w:rsidRDefault="00B90AE1" w:rsidP="00066FF2">
      <w:pPr>
        <w:pStyle w:val="ListNo1"/>
        <w:numPr>
          <w:ilvl w:val="0"/>
          <w:numId w:val="27"/>
        </w:numPr>
      </w:pPr>
      <w:r w:rsidRPr="00564E16">
        <w:t xml:space="preserve">Without derogating from the case specific nature of the inquiry, adverse credibility findings may involve jurisdictional error on recognised grounds such as legal </w:t>
      </w:r>
      <w:r w:rsidRPr="00564E16">
        <w:lastRenderedPageBreak/>
        <w:t>unreasonableness or reaching a finding without a logical, rational or probative basis (</w:t>
      </w:r>
      <w:r w:rsidRPr="00066FF2">
        <w:rPr>
          <w:i/>
        </w:rPr>
        <w:t xml:space="preserve">ARG15 </w:t>
      </w:r>
      <w:r w:rsidRPr="00564E16">
        <w:t xml:space="preserve">at [83](d)). </w:t>
      </w:r>
      <w:r w:rsidR="006C42D1">
        <w:t xml:space="preserve"> In this regard,</w:t>
      </w:r>
      <w:r w:rsidR="00686756">
        <w:t xml:space="preserve"> </w:t>
      </w:r>
      <w:proofErr w:type="spellStart"/>
      <w:r w:rsidR="00686756">
        <w:t>Crennan</w:t>
      </w:r>
      <w:proofErr w:type="spellEnd"/>
      <w:r w:rsidR="00686756">
        <w:t xml:space="preserve"> and Bell JJ explained in </w:t>
      </w:r>
      <w:r w:rsidR="00686756" w:rsidRPr="00066FF2">
        <w:rPr>
          <w:i/>
        </w:rPr>
        <w:t>Minister for Immigration and Citizenship v SZMDS</w:t>
      </w:r>
      <w:r w:rsidR="00686756">
        <w:t xml:space="preserve"> </w:t>
      </w:r>
      <w:r w:rsidR="00066FF2" w:rsidRPr="00066FF2">
        <w:t>[2010] HCA 16</w:t>
      </w:r>
      <w:r w:rsidR="00066FF2">
        <w:t xml:space="preserve">; </w:t>
      </w:r>
      <w:r w:rsidR="00686756">
        <w:t>(2010) 240 CLR 611 (</w:t>
      </w:r>
      <w:r w:rsidR="00686756" w:rsidRPr="00066FF2">
        <w:rPr>
          <w:b/>
          <w:i/>
        </w:rPr>
        <w:t>SZMDS</w:t>
      </w:r>
      <w:r w:rsidR="006C42D1">
        <w:t>) that:</w:t>
      </w:r>
    </w:p>
    <w:p w:rsidR="00686756" w:rsidRDefault="0075481F" w:rsidP="00F304AF">
      <w:pPr>
        <w:pStyle w:val="Quote2"/>
        <w:ind w:left="2160" w:hanging="720"/>
      </w:pPr>
      <w:r>
        <w:t xml:space="preserve">135. </w:t>
      </w:r>
      <w:r w:rsidR="00F304AF">
        <w:tab/>
        <w:t xml:space="preserve">… </w:t>
      </w:r>
      <w:r w:rsidR="00686756">
        <w:t>A decision</w:t>
      </w:r>
      <w:r w:rsidR="000876A0">
        <w:t xml:space="preserve"> </w:t>
      </w:r>
      <w:r w:rsidR="00686756">
        <w:t>might be said to be illogical or irrational if only one conclusion is open on</w:t>
      </w:r>
      <w:r w:rsidR="00D95CFD">
        <w:t xml:space="preserve"> the evidence, and the decision </w:t>
      </w:r>
      <w:r w:rsidR="00686756">
        <w:t xml:space="preserve">maker does not come to that conclusion, or </w:t>
      </w:r>
      <w:r w:rsidR="00871942">
        <w:t>if</w:t>
      </w:r>
      <w:r w:rsidR="00686756">
        <w:t xml:space="preserve"> </w:t>
      </w:r>
      <w:r w:rsidR="00D95CFD">
        <w:t xml:space="preserve">the decision to which the decision </w:t>
      </w:r>
      <w:r w:rsidR="00686756">
        <w:t xml:space="preserve">maker came was simply not open on the </w:t>
      </w:r>
      <w:r w:rsidR="00686756" w:rsidRPr="00A53C8E">
        <w:t xml:space="preserve">evidence </w:t>
      </w:r>
      <w:r w:rsidR="00686756" w:rsidRPr="00A53C8E">
        <w:rPr>
          <w:b/>
          <w:i/>
        </w:rPr>
        <w:t>or if there is no logical connection between the evidence and the inferences or conclusions drawn</w:t>
      </w:r>
      <w:r w:rsidR="00686756">
        <w:t>.</w:t>
      </w:r>
    </w:p>
    <w:p w:rsidR="00871942" w:rsidRDefault="00871942" w:rsidP="00686756">
      <w:pPr>
        <w:pStyle w:val="Quote2"/>
      </w:pPr>
      <w:r>
        <w:t>(Emphasis added)</w:t>
      </w:r>
    </w:p>
    <w:p w:rsidR="000876A0" w:rsidRDefault="00B41507" w:rsidP="00B41507">
      <w:pPr>
        <w:pStyle w:val="ListNo1"/>
        <w:numPr>
          <w:ilvl w:val="0"/>
          <w:numId w:val="0"/>
        </w:numPr>
        <w:ind w:left="720" w:hanging="720"/>
      </w:pPr>
      <w:r>
        <w:t>(3)</w:t>
      </w:r>
      <w:r>
        <w:tab/>
      </w:r>
      <w:r w:rsidR="003C1CA8">
        <w:t xml:space="preserve">By way of example, in </w:t>
      </w:r>
      <w:r w:rsidR="003C1CA8" w:rsidRPr="003C1CA8">
        <w:rPr>
          <w:i/>
        </w:rPr>
        <w:t>SZRKT</w:t>
      </w:r>
      <w:r w:rsidR="00871942">
        <w:rPr>
          <w:i/>
        </w:rPr>
        <w:t xml:space="preserve"> </w:t>
      </w:r>
      <w:r w:rsidR="003C1CA8">
        <w:t xml:space="preserve">at [78], Robertson J </w:t>
      </w:r>
      <w:r w:rsidR="004E6263">
        <w:t>considered</w:t>
      </w:r>
      <w:r w:rsidR="006B670D">
        <w:t xml:space="preserve"> that </w:t>
      </w:r>
      <w:r w:rsidR="003C1CA8">
        <w:t xml:space="preserve">jurisdictional error </w:t>
      </w:r>
      <w:r w:rsidR="006B670D">
        <w:t>may be established where a</w:t>
      </w:r>
      <w:r w:rsidR="003C1CA8">
        <w:t xml:space="preserve"> finding on credit </w:t>
      </w:r>
      <w:r w:rsidR="006B670D">
        <w:t>on</w:t>
      </w:r>
      <w:r w:rsidR="003C1CA8">
        <w:t xml:space="preserve"> an objectively minor matter of fact </w:t>
      </w:r>
      <w:r w:rsidR="006B670D">
        <w:t>constitutes</w:t>
      </w:r>
      <w:r w:rsidR="004E6263">
        <w:t xml:space="preserve"> the basis on which the </w:t>
      </w:r>
      <w:r w:rsidR="006B670D">
        <w:t xml:space="preserve">decision-maker </w:t>
      </w:r>
      <w:r w:rsidR="003C1CA8">
        <w:t xml:space="preserve">rejects the entirety of an applicant’s evidence and claims. </w:t>
      </w:r>
      <w:r w:rsidR="00713C87">
        <w:t xml:space="preserve"> </w:t>
      </w:r>
      <w:r w:rsidR="00CB0B3E">
        <w:t xml:space="preserve">Furthermore, as Flick J explained in </w:t>
      </w:r>
      <w:r w:rsidR="00CB0B3E" w:rsidRPr="00CB0B3E">
        <w:rPr>
          <w:i/>
        </w:rPr>
        <w:t>SZVAP</w:t>
      </w:r>
      <w:r w:rsidR="00CB0B3E">
        <w:rPr>
          <w:i/>
        </w:rPr>
        <w:t xml:space="preserve"> </w:t>
      </w:r>
      <w:r w:rsidR="00AA6D03">
        <w:rPr>
          <w:i/>
        </w:rPr>
        <w:t xml:space="preserve">v Minister </w:t>
      </w:r>
      <w:r w:rsidR="00066FF2">
        <w:rPr>
          <w:i/>
        </w:rPr>
        <w:t>f</w:t>
      </w:r>
      <w:r w:rsidR="00AA6D03">
        <w:rPr>
          <w:i/>
        </w:rPr>
        <w:t>or Immigration and Border Protection</w:t>
      </w:r>
      <w:r w:rsidR="00AA6D03">
        <w:t xml:space="preserve"> [2015] FCA 1089; (2015</w:t>
      </w:r>
      <w:r w:rsidR="00BA0300">
        <w:t>)</w:t>
      </w:r>
      <w:r w:rsidR="00AA6D03">
        <w:t xml:space="preserve"> 233 FCR 451 (</w:t>
      </w:r>
      <w:r w:rsidR="00AA6D03">
        <w:rPr>
          <w:b/>
          <w:i/>
        </w:rPr>
        <w:t>SZVAP</w:t>
      </w:r>
      <w:r w:rsidR="00AA6D03">
        <w:t>)</w:t>
      </w:r>
      <w:r w:rsidR="00AA6D03">
        <w:rPr>
          <w:i/>
        </w:rPr>
        <w:t xml:space="preserve"> </w:t>
      </w:r>
      <w:r w:rsidR="00CB0B3E">
        <w:t>at [22]</w:t>
      </w:r>
      <w:r w:rsidR="006928FE">
        <w:t xml:space="preserve"> (in a passage on which the </w:t>
      </w:r>
      <w:r w:rsidR="00D72650">
        <w:t xml:space="preserve">appellant </w:t>
      </w:r>
      <w:r w:rsidR="006928FE">
        <w:t>particularly relied)</w:t>
      </w:r>
      <w:r w:rsidR="00CB0B3E">
        <w:t>, “</w:t>
      </w:r>
      <w:r w:rsidR="00BA0300">
        <w:t>[</w:t>
      </w:r>
      <w:r w:rsidR="00CB0B3E" w:rsidRPr="00BA0300">
        <w:rPr>
          <w:i/>
        </w:rPr>
        <w:t>u</w:t>
      </w:r>
      <w:r w:rsidR="00BA0300">
        <w:t>]</w:t>
      </w:r>
      <w:proofErr w:type="spellStart"/>
      <w:r w:rsidR="00CB0B3E" w:rsidRPr="00BA0300">
        <w:rPr>
          <w:i/>
        </w:rPr>
        <w:t>nwarranted</w:t>
      </w:r>
      <w:proofErr w:type="spellEnd"/>
      <w:r w:rsidR="00CB0B3E" w:rsidRPr="00BA0300">
        <w:rPr>
          <w:i/>
        </w:rPr>
        <w:t xml:space="preserve"> </w:t>
      </w:r>
      <w:r w:rsidR="00CB0B3E" w:rsidRPr="00A53C8E">
        <w:rPr>
          <w:i/>
        </w:rPr>
        <w:t>assumptions by a Tribunal as to matters relevant to the formation of a view on the credibility of a corroborative witness</w:t>
      </w:r>
      <w:r w:rsidR="00CB0B3E">
        <w:rPr>
          <w:i/>
        </w:rPr>
        <w:t xml:space="preserve"> may cause the Tribunal to disbelieve and disregard that evidence and may constitute a failure</w:t>
      </w:r>
      <w:r w:rsidR="00D95CFD">
        <w:rPr>
          <w:i/>
        </w:rPr>
        <w:t xml:space="preserve"> duly</w:t>
      </w:r>
      <w:r w:rsidR="00CB0B3E">
        <w:rPr>
          <w:i/>
        </w:rPr>
        <w:t xml:space="preserve"> to consider the question raised by the material put before it: W</w:t>
      </w:r>
      <w:r w:rsidR="004E6263">
        <w:rPr>
          <w:i/>
        </w:rPr>
        <w:t>AGO</w:t>
      </w:r>
      <w:r w:rsidR="00CB0B3E">
        <w:rPr>
          <w:i/>
        </w:rPr>
        <w:t xml:space="preserve"> of 2002 v Minister for Immigration and Multicultural and Indigenous Affairs</w:t>
      </w:r>
      <w:r w:rsidR="00507541">
        <w:rPr>
          <w:i/>
        </w:rPr>
        <w:t xml:space="preserve"> </w:t>
      </w:r>
      <w:r w:rsidR="00CB0B3E">
        <w:rPr>
          <w:i/>
        </w:rPr>
        <w:t>(2002) 194 ALR 674 at [54].</w:t>
      </w:r>
      <w:r w:rsidR="00CB0B3E" w:rsidRPr="00507541">
        <w:t>”</w:t>
      </w:r>
      <w:r w:rsidR="00CB0B3E" w:rsidRPr="00CB0B3E">
        <w:rPr>
          <w:i/>
        </w:rPr>
        <w:t xml:space="preserve"> </w:t>
      </w:r>
      <w:r w:rsidR="005E6689">
        <w:rPr>
          <w:i/>
        </w:rPr>
        <w:t xml:space="preserve"> </w:t>
      </w:r>
      <w:r w:rsidR="005E6689">
        <w:t>Equally jurisdictional error may be established by “</w:t>
      </w:r>
      <w:r w:rsidR="005E6689" w:rsidRPr="005E6689">
        <w:rPr>
          <w:i/>
        </w:rPr>
        <w:t>a process of reasoning</w:t>
      </w:r>
      <w:r w:rsidR="005E6689">
        <w:t xml:space="preserve"> </w:t>
      </w:r>
      <w:r w:rsidR="005E6689">
        <w:rPr>
          <w:i/>
        </w:rPr>
        <w:t>which damns a man’s credibility by reference, materially, to a false factual premise concerning a critical document”</w:t>
      </w:r>
      <w:r w:rsidR="005E6689">
        <w:t xml:space="preserve">:  </w:t>
      </w:r>
      <w:r w:rsidR="005E6689">
        <w:rPr>
          <w:i/>
        </w:rPr>
        <w:t xml:space="preserve">SZLGP v Minister for Immigration and Citizenship </w:t>
      </w:r>
      <w:r w:rsidR="005E6689">
        <w:t xml:space="preserve">[2009] FCA 1470; (2009) 181 FCR 113 at [37].  </w:t>
      </w:r>
    </w:p>
    <w:p w:rsidR="00B90AE1" w:rsidRPr="00564E16" w:rsidRDefault="00B41507" w:rsidP="00B41507">
      <w:pPr>
        <w:pStyle w:val="ListNo1"/>
        <w:numPr>
          <w:ilvl w:val="0"/>
          <w:numId w:val="0"/>
        </w:numPr>
        <w:ind w:left="720" w:hanging="720"/>
      </w:pPr>
      <w:r>
        <w:t>(4)</w:t>
      </w:r>
      <w:r>
        <w:tab/>
      </w:r>
      <w:r w:rsidR="00B90AE1" w:rsidRPr="00A53C8E">
        <w:t>Findings or reasoning along the way to reaching a conclusion</w:t>
      </w:r>
      <w:r w:rsidR="00B90AE1" w:rsidRPr="00564E16">
        <w:t xml:space="preserve"> by the decision-maker that are illogical or irrational may establish jurisdictional error (</w:t>
      </w:r>
      <w:r w:rsidR="00B90AE1" w:rsidRPr="00507541">
        <w:rPr>
          <w:i/>
        </w:rPr>
        <w:t>SZMDS</w:t>
      </w:r>
      <w:r w:rsidR="00B90AE1" w:rsidRPr="00564E16">
        <w:rPr>
          <w:i/>
        </w:rPr>
        <w:t xml:space="preserve"> </w:t>
      </w:r>
      <w:r w:rsidR="00B90AE1" w:rsidRPr="00564E16">
        <w:t>at [132] (</w:t>
      </w:r>
      <w:proofErr w:type="spellStart"/>
      <w:r w:rsidR="00B90AE1" w:rsidRPr="00564E16">
        <w:t>Crennan</w:t>
      </w:r>
      <w:proofErr w:type="spellEnd"/>
      <w:r w:rsidR="00B90AE1" w:rsidRPr="00564E16">
        <w:t xml:space="preserve"> and Bell JJ)</w:t>
      </w:r>
      <w:r w:rsidR="00066FF2">
        <w:t>)</w:t>
      </w:r>
      <w:r w:rsidR="00B90AE1" w:rsidRPr="00564E16">
        <w:t>.</w:t>
      </w:r>
      <w:r w:rsidR="00CD7377">
        <w:t xml:space="preserve">  In this regard, w</w:t>
      </w:r>
      <w:r w:rsidR="00DE72CC" w:rsidRPr="00564E16">
        <w:t xml:space="preserve">ith respect to the significance of an illogical or irrational finding </w:t>
      </w:r>
      <w:r w:rsidR="00DE72CC">
        <w:t xml:space="preserve">as to credit </w:t>
      </w:r>
      <w:r w:rsidR="00DE72CC" w:rsidRPr="00564E16">
        <w:t xml:space="preserve">to the administrative decision necessary to establish jurisdictional error, </w:t>
      </w:r>
      <w:r w:rsidR="00B90AE1" w:rsidRPr="00564E16">
        <w:t xml:space="preserve">Wigney J explained in </w:t>
      </w:r>
      <w:r w:rsidR="00DE72CC" w:rsidRPr="00CD7377">
        <w:rPr>
          <w:i/>
        </w:rPr>
        <w:t xml:space="preserve">Minister for Immigration and Border Protection v SZUXN </w:t>
      </w:r>
      <w:r w:rsidR="00DE72CC" w:rsidRPr="00564E16">
        <w:t xml:space="preserve">[2016] FCA 516 </w:t>
      </w:r>
      <w:r w:rsidR="005302BA">
        <w:t>(</w:t>
      </w:r>
      <w:r w:rsidR="00B90AE1" w:rsidRPr="00564E16">
        <w:t xml:space="preserve">in a passage approved in </w:t>
      </w:r>
      <w:r w:rsidR="00B90AE1" w:rsidRPr="00CD7377">
        <w:rPr>
          <w:i/>
        </w:rPr>
        <w:t>CQG15</w:t>
      </w:r>
      <w:r w:rsidR="00B90AE1" w:rsidRPr="00564E16">
        <w:t xml:space="preserve"> at [60])</w:t>
      </w:r>
      <w:r w:rsidR="00B90AE1" w:rsidRPr="00CD7377">
        <w:rPr>
          <w:i/>
        </w:rPr>
        <w:t xml:space="preserve"> </w:t>
      </w:r>
      <w:r w:rsidR="00B90AE1" w:rsidRPr="00564E16">
        <w:t xml:space="preserve">that: </w:t>
      </w:r>
    </w:p>
    <w:p w:rsidR="00B90AE1" w:rsidRPr="00564E16" w:rsidRDefault="00B90AE1" w:rsidP="00F304AF">
      <w:pPr>
        <w:pStyle w:val="Quote2"/>
        <w:ind w:left="2160" w:hanging="720"/>
      </w:pPr>
      <w:r w:rsidRPr="00564E16">
        <w:t>56</w:t>
      </w:r>
      <w:r w:rsidRPr="00564E16">
        <w:tab/>
        <w:t xml:space="preserve">An irrational or illogical finding, or irrational or illogical reasoning leading to a finding, by the Tribunal that the review applicant was not a credible or honest witness may in some circumstances lead to a finding of jurisdictional error.  That would particularly be the case </w:t>
      </w:r>
      <w:r w:rsidRPr="00A53C8E">
        <w:t xml:space="preserve">where the adverse credibility finding was critical to the Tribunal’s </w:t>
      </w:r>
      <w:r w:rsidRPr="00A53C8E">
        <w:lastRenderedPageBreak/>
        <w:t>decision that it was not satisfied that the applicant met the criteria for the grant of a visa.</w:t>
      </w:r>
      <w:r w:rsidRPr="00564E16">
        <w:t xml:space="preserve">  Whilst it is frequently said that findings as to credit are entirely matters for the Tribunal, such findings do not shield the Tribunal’s decision-making processes from scrutiny… </w:t>
      </w:r>
    </w:p>
    <w:p w:rsidR="00B90AE1" w:rsidRPr="00564E16" w:rsidRDefault="00B90AE1" w:rsidP="007B5CE7">
      <w:pPr>
        <w:pStyle w:val="Quote2"/>
      </w:pPr>
      <w:r w:rsidRPr="00564E16">
        <w:t>(</w:t>
      </w:r>
      <w:proofErr w:type="gramStart"/>
      <w:r w:rsidRPr="00564E16">
        <w:t>citations</w:t>
      </w:r>
      <w:proofErr w:type="gramEnd"/>
      <w:r w:rsidRPr="00564E16">
        <w:t xml:space="preserve"> omitted)</w:t>
      </w:r>
    </w:p>
    <w:p w:rsidR="00EC4CF8" w:rsidRPr="00564E16" w:rsidRDefault="00B41507" w:rsidP="00B41507">
      <w:pPr>
        <w:pStyle w:val="ListNo1"/>
        <w:numPr>
          <w:ilvl w:val="0"/>
          <w:numId w:val="0"/>
        </w:numPr>
        <w:ind w:left="720" w:hanging="720"/>
      </w:pPr>
      <w:r>
        <w:t>(5)</w:t>
      </w:r>
      <w:r>
        <w:tab/>
      </w:r>
      <w:r w:rsidR="00EC4CF8">
        <w:t>A high degree of caution must</w:t>
      </w:r>
      <w:r w:rsidR="005E6689">
        <w:t>, however,</w:t>
      </w:r>
      <w:r w:rsidR="00EC4CF8">
        <w:t xml:space="preserve"> be exercised before finding that adverse findings as to credit expose jurisdictional error in order to ensure that the Court does not embark impermissibly upon merits review:  </w:t>
      </w:r>
      <w:r w:rsidR="002946C1">
        <w:rPr>
          <w:i/>
        </w:rPr>
        <w:t>SZ</w:t>
      </w:r>
      <w:r w:rsidR="00EC4CF8">
        <w:rPr>
          <w:i/>
        </w:rPr>
        <w:t>M</w:t>
      </w:r>
      <w:r w:rsidR="002946C1">
        <w:rPr>
          <w:i/>
        </w:rPr>
        <w:t>D</w:t>
      </w:r>
      <w:r w:rsidR="00EC4CF8">
        <w:rPr>
          <w:i/>
        </w:rPr>
        <w:t xml:space="preserve">S </w:t>
      </w:r>
      <w:r w:rsidR="00EC4CF8">
        <w:t xml:space="preserve">at [96]; </w:t>
      </w:r>
      <w:r w:rsidR="00EC4CF8">
        <w:rPr>
          <w:i/>
        </w:rPr>
        <w:t xml:space="preserve">SZVAP </w:t>
      </w:r>
      <w:r w:rsidR="00EC4CF8">
        <w:t xml:space="preserve">at [14]-[15].  As such, to </w:t>
      </w:r>
      <w:r w:rsidR="00EC4CF8" w:rsidRPr="00564E16">
        <w:t xml:space="preserve">establish jurisdictional error based on illogical or irrational findings of fact or reasoning, </w:t>
      </w:r>
      <w:r w:rsidR="00EC4CF8" w:rsidRPr="00A53C8E">
        <w:t>“</w:t>
      </w:r>
      <w:r w:rsidR="00EC4CF8" w:rsidRPr="00A53C8E">
        <w:rPr>
          <w:i/>
        </w:rPr>
        <w:t>extreme</w:t>
      </w:r>
      <w:r w:rsidR="00EC4CF8" w:rsidRPr="00A53C8E">
        <w:t>” illogicality must be demonstrated “</w:t>
      </w:r>
      <w:r w:rsidR="00EC4CF8" w:rsidRPr="00A53C8E">
        <w:rPr>
          <w:i/>
        </w:rPr>
        <w:t>measured against the standard that it is not enough for the question of fact to be one on which reasonable minds may come to different conclusions</w:t>
      </w:r>
      <w:r w:rsidR="00EC4CF8" w:rsidRPr="002946C1">
        <w:t xml:space="preserve">” </w:t>
      </w:r>
      <w:r w:rsidR="00EC4CF8" w:rsidRPr="00564E16">
        <w:t>(</w:t>
      </w:r>
      <w:r w:rsidR="00EC4CF8" w:rsidRPr="00564E16">
        <w:rPr>
          <w:i/>
        </w:rPr>
        <w:t>SZRKT</w:t>
      </w:r>
      <w:r w:rsidR="00EC4CF8" w:rsidRPr="00564E16">
        <w:t xml:space="preserve"> at [148]; </w:t>
      </w:r>
      <w:r w:rsidR="00EC4CF8">
        <w:t xml:space="preserve">see also </w:t>
      </w:r>
      <w:r w:rsidR="002946C1">
        <w:rPr>
          <w:i/>
        </w:rPr>
        <w:t>SZ</w:t>
      </w:r>
      <w:r w:rsidR="00EC4CF8">
        <w:rPr>
          <w:i/>
        </w:rPr>
        <w:t>M</w:t>
      </w:r>
      <w:r w:rsidR="002946C1">
        <w:rPr>
          <w:i/>
        </w:rPr>
        <w:t>D</w:t>
      </w:r>
      <w:r w:rsidR="00EC4CF8">
        <w:rPr>
          <w:i/>
        </w:rPr>
        <w:t xml:space="preserve">S </w:t>
      </w:r>
      <w:r w:rsidR="00FB2455">
        <w:t>at [135] and</w:t>
      </w:r>
      <w:r w:rsidR="00EC4CF8">
        <w:t xml:space="preserve"> </w:t>
      </w:r>
      <w:r w:rsidR="00EC4CF8" w:rsidRPr="00564E16">
        <w:rPr>
          <w:i/>
        </w:rPr>
        <w:t xml:space="preserve">CQG15 </w:t>
      </w:r>
      <w:r w:rsidR="00EC4CF8" w:rsidRPr="00564E16">
        <w:t>at [60]).  Thus, “</w:t>
      </w:r>
      <w:r w:rsidR="00EC4CF8" w:rsidRPr="00564E16">
        <w:rPr>
          <w:i/>
        </w:rPr>
        <w:t>[e]</w:t>
      </w:r>
      <w:proofErr w:type="spellStart"/>
      <w:r w:rsidR="00EC4CF8" w:rsidRPr="00564E16">
        <w:rPr>
          <w:i/>
        </w:rPr>
        <w:t>ven</w:t>
      </w:r>
      <w:proofErr w:type="spellEnd"/>
      <w:r w:rsidR="00EC4CF8" w:rsidRPr="00564E16">
        <w:rPr>
          <w:i/>
        </w:rPr>
        <w:t xml:space="preserve"> emphatic disagreement with the Tribunal’s reasoning would not be sufficient to make out illogicality</w:t>
      </w:r>
      <w:r w:rsidR="00EC4CF8" w:rsidRPr="00564E16">
        <w:t xml:space="preserve">”:  </w:t>
      </w:r>
      <w:r w:rsidR="00EC4CF8" w:rsidRPr="00564E16">
        <w:rPr>
          <w:i/>
        </w:rPr>
        <w:t xml:space="preserve">CQG15 </w:t>
      </w:r>
      <w:r w:rsidR="00EC4CF8" w:rsidRPr="00564E16">
        <w:t>at [61].</w:t>
      </w:r>
    </w:p>
    <w:p w:rsidR="00E636DC" w:rsidRDefault="007E6285" w:rsidP="00E636DC">
      <w:pPr>
        <w:pStyle w:val="Heading5"/>
      </w:pPr>
      <w:bookmarkStart w:id="30" w:name="_Ref499634442"/>
      <w:r>
        <w:t xml:space="preserve">IS THE AAT’S DECISION </w:t>
      </w:r>
      <w:r w:rsidR="00995CB2">
        <w:t xml:space="preserve">LEGALLY </w:t>
      </w:r>
      <w:r>
        <w:t>UNREASONABLE?</w:t>
      </w:r>
      <w:bookmarkEnd w:id="30"/>
    </w:p>
    <w:p w:rsidR="00B259B6" w:rsidRPr="00B259B6" w:rsidRDefault="00D17666" w:rsidP="00B259B6">
      <w:pPr>
        <w:pStyle w:val="Heading6"/>
      </w:pPr>
      <w:bookmarkStart w:id="31" w:name="_Ref499634443"/>
      <w:r>
        <w:t>The</w:t>
      </w:r>
      <w:r w:rsidR="00B259B6">
        <w:t xml:space="preserve"> issues</w:t>
      </w:r>
      <w:bookmarkEnd w:id="31"/>
    </w:p>
    <w:p w:rsidR="00B259B6" w:rsidRDefault="00B259B6" w:rsidP="007D3314">
      <w:pPr>
        <w:pStyle w:val="ParaNumbering"/>
      </w:pPr>
      <w:r>
        <w:t xml:space="preserve">Grounds 1 and 2 </w:t>
      </w:r>
      <w:r w:rsidR="00C06DC2">
        <w:t>challenge</w:t>
      </w:r>
      <w:r>
        <w:t xml:space="preserve"> the primar</w:t>
      </w:r>
      <w:r w:rsidR="00B864BE">
        <w:t>y judge</w:t>
      </w:r>
      <w:r w:rsidR="00C06DC2">
        <w:t>’s</w:t>
      </w:r>
      <w:r w:rsidR="00B864BE">
        <w:t xml:space="preserve"> </w:t>
      </w:r>
      <w:r w:rsidR="00C06DC2">
        <w:t>finding</w:t>
      </w:r>
      <w:r w:rsidR="003065E2">
        <w:t xml:space="preserve"> at [43] (quoted </w:t>
      </w:r>
      <w:r w:rsidR="003065E2" w:rsidRPr="00627A44">
        <w:t>at [</w:t>
      </w:r>
      <w:r w:rsidR="00943FAF" w:rsidRPr="00627A44">
        <w:fldChar w:fldCharType="begin"/>
      </w:r>
      <w:r w:rsidR="00943FAF" w:rsidRPr="00627A44">
        <w:instrText xml:space="preserve"> REF _Ref499652236 \r \h  \* MERGEFORMAT </w:instrText>
      </w:r>
      <w:r w:rsidR="00943FAF" w:rsidRPr="00627A44">
        <w:fldChar w:fldCharType="separate"/>
      </w:r>
      <w:r w:rsidR="004639CA">
        <w:t>25</w:t>
      </w:r>
      <w:r w:rsidR="00943FAF" w:rsidRPr="00627A44">
        <w:fldChar w:fldCharType="end"/>
      </w:r>
      <w:r w:rsidR="007E6285" w:rsidRPr="00627A44">
        <w:t>] above</w:t>
      </w:r>
      <w:r w:rsidR="003065E2">
        <w:t>)</w:t>
      </w:r>
      <w:r w:rsidR="00C06DC2">
        <w:t xml:space="preserve"> that the </w:t>
      </w:r>
      <w:r w:rsidR="00C50D18">
        <w:t>AAT</w:t>
      </w:r>
      <w:r w:rsidR="00C06DC2">
        <w:t xml:space="preserve"> did not err in</w:t>
      </w:r>
      <w:r>
        <w:t xml:space="preserve"> </w:t>
      </w:r>
      <w:r w:rsidR="00C06DC2">
        <w:t xml:space="preserve">dismissing </w:t>
      </w:r>
      <w:r w:rsidR="00B864BE">
        <w:t xml:space="preserve">(or </w:t>
      </w:r>
      <w:r w:rsidR="00C06DC2">
        <w:t xml:space="preserve">failing </w:t>
      </w:r>
      <w:r w:rsidR="00B864BE">
        <w:t>to give any weight to</w:t>
      </w:r>
      <w:r>
        <w:t xml:space="preserve">) the evidence of the </w:t>
      </w:r>
      <w:r w:rsidR="00C06DC2">
        <w:t>16</w:t>
      </w:r>
      <w:r>
        <w:t xml:space="preserve"> witnesses </w:t>
      </w:r>
      <w:r w:rsidR="00C06DC2">
        <w:t>on which</w:t>
      </w:r>
      <w:r>
        <w:t xml:space="preserve"> the appellant</w:t>
      </w:r>
      <w:r w:rsidR="00C06DC2">
        <w:t xml:space="preserve"> relied</w:t>
      </w:r>
      <w:r>
        <w:t xml:space="preserve"> in support of his </w:t>
      </w:r>
      <w:r w:rsidR="00C06DC2">
        <w:t>claims to be homosexual</w:t>
      </w:r>
      <w:r>
        <w:t xml:space="preserve">. </w:t>
      </w:r>
      <w:r w:rsidR="00B864BE">
        <w:t xml:space="preserve"> </w:t>
      </w:r>
    </w:p>
    <w:p w:rsidR="00D17666" w:rsidRDefault="00D17666" w:rsidP="00D17666">
      <w:pPr>
        <w:pStyle w:val="ParaNumbering"/>
      </w:pPr>
      <w:r>
        <w:t>The appellant submitted first that it is apparent that the primary judge failed to address whet</w:t>
      </w:r>
      <w:r w:rsidR="00A55574">
        <w:t>her</w:t>
      </w:r>
      <w:r w:rsidR="009B1D7E">
        <w:t xml:space="preserve"> the</w:t>
      </w:r>
      <w:r w:rsidR="00A55574">
        <w:t xml:space="preserve"> </w:t>
      </w:r>
      <w:r w:rsidR="00C50D18">
        <w:t>AAT</w:t>
      </w:r>
      <w:r>
        <w:t xml:space="preserve"> was in error </w:t>
      </w:r>
      <w:r w:rsidR="00A55574">
        <w:t>in</w:t>
      </w:r>
      <w:r>
        <w:t xml:space="preserve"> </w:t>
      </w:r>
      <w:r w:rsidR="00A55574">
        <w:t xml:space="preserve">dismissing </w:t>
      </w:r>
      <w:r>
        <w:t xml:space="preserve">the evidence of the </w:t>
      </w:r>
      <w:r w:rsidR="00627A44">
        <w:t xml:space="preserve">16 </w:t>
      </w:r>
      <w:r w:rsidR="00413E21">
        <w:t xml:space="preserve">witnesses.  Alternatively, the appellant submitted that, </w:t>
      </w:r>
      <w:r>
        <w:t>if the expression “</w:t>
      </w:r>
      <w:r>
        <w:rPr>
          <w:i/>
        </w:rPr>
        <w:t>evidence produced by the applicant”</w:t>
      </w:r>
      <w:r>
        <w:t xml:space="preserve"> </w:t>
      </w:r>
      <w:r w:rsidR="00413E21">
        <w:t xml:space="preserve">at [43] of the </w:t>
      </w:r>
      <w:r w:rsidR="00C50D18">
        <w:t>AAT</w:t>
      </w:r>
      <w:r w:rsidR="00413E21">
        <w:t xml:space="preserve">’s reasons </w:t>
      </w:r>
      <w:r>
        <w:t>is read so as to capture the evidence provided in support of the appellant’s case, “</w:t>
      </w:r>
      <w:r>
        <w:rPr>
          <w:i/>
        </w:rPr>
        <w:t>his Honour erred in failing to find that</w:t>
      </w:r>
      <w:r w:rsidR="00BA0300">
        <w:rPr>
          <w:i/>
        </w:rPr>
        <w:t>,</w:t>
      </w:r>
      <w:r>
        <w:rPr>
          <w:i/>
        </w:rPr>
        <w:t xml:space="preserve"> in the circumstances of the application before the Tribunal, the Tribunal was justified in making the credit findings that it did, </w:t>
      </w:r>
      <w:r w:rsidRPr="00A53C8E">
        <w:rPr>
          <w:i/>
        </w:rPr>
        <w:t>in effect imputing</w:t>
      </w:r>
      <w:r w:rsidR="00BA0300">
        <w:rPr>
          <w:i/>
        </w:rPr>
        <w:t xml:space="preserve"> it</w:t>
      </w:r>
      <w:r w:rsidR="00F27DD4">
        <w:rPr>
          <w:i/>
        </w:rPr>
        <w:t>s</w:t>
      </w:r>
      <w:r w:rsidRPr="00A53C8E">
        <w:rPr>
          <w:i/>
        </w:rPr>
        <w:t xml:space="preserve"> credit findings concerning the Appellant to the other witnesses.</w:t>
      </w:r>
      <w:r w:rsidRPr="00627A44">
        <w:t>”</w:t>
      </w:r>
      <w:r w:rsidRPr="00A53C8E">
        <w:rPr>
          <w:i/>
        </w:rPr>
        <w:t xml:space="preserve"> </w:t>
      </w:r>
      <w:r>
        <w:t>As the appellant also submitted:</w:t>
      </w:r>
    </w:p>
    <w:p w:rsidR="00D17666" w:rsidRPr="007D3314" w:rsidRDefault="00D17666" w:rsidP="00D17666">
      <w:pPr>
        <w:pStyle w:val="Quote1"/>
      </w:pPr>
      <w:r>
        <w:t>At the core of the AAT Decision is the finding by the Tribunal that the Appellant was prepared to “</w:t>
      </w:r>
      <w:r>
        <w:rPr>
          <w:i/>
        </w:rPr>
        <w:t>do anything he considers necessary to achieve a favourable immigration outcome</w:t>
      </w:r>
      <w:r>
        <w:t>”.</w:t>
      </w:r>
      <w:r w:rsidR="00C06DC2">
        <w:t xml:space="preserve"> </w:t>
      </w:r>
      <w:r>
        <w:t xml:space="preserve"> However, the decision </w:t>
      </w:r>
      <w:r w:rsidRPr="00F24A3A">
        <w:t>reveals a circularity</w:t>
      </w:r>
      <w:r w:rsidRPr="00D17666">
        <w:rPr>
          <w:b/>
        </w:rPr>
        <w:t xml:space="preserve"> </w:t>
      </w:r>
      <w:r>
        <w:t xml:space="preserve">in that respect, so far as: </w:t>
      </w:r>
      <w:r w:rsidR="00C06DC2">
        <w:t xml:space="preserve"> </w:t>
      </w:r>
      <w:r>
        <w:t xml:space="preserve">(a) the Tribunal determined that the Appellant was without credibility, on the stated basis that he was unable to present any “independent” witnesses to attest to his homosexuality; but (b) dismissed, and gave no weight at all to, evidence produced by 16 witnesses, and contained in underlying documents, presented by the Appellant to prove his homosexuality, by reason that the Tribunal considered all of that evidence to be, in effect, </w:t>
      </w:r>
      <w:r w:rsidRPr="00D17666">
        <w:t xml:space="preserve">poisoned </w:t>
      </w:r>
      <w:r>
        <w:t>by the Appellant’s lack of credibility.</w:t>
      </w:r>
    </w:p>
    <w:p w:rsidR="00B864BE" w:rsidRDefault="00CD64EF" w:rsidP="007D3314">
      <w:pPr>
        <w:pStyle w:val="ParaNumbering"/>
      </w:pPr>
      <w:r>
        <w:lastRenderedPageBreak/>
        <w:t>In this regard, the</w:t>
      </w:r>
      <w:r w:rsidR="00B864BE">
        <w:t xml:space="preserve"> appellant submitted that the </w:t>
      </w:r>
      <w:r w:rsidR="00C50D18">
        <w:t>AAT</w:t>
      </w:r>
      <w:r>
        <w:t xml:space="preserve">’s </w:t>
      </w:r>
      <w:r w:rsidR="00B864BE">
        <w:t xml:space="preserve">findings </w:t>
      </w:r>
      <w:r w:rsidR="00413E21">
        <w:t xml:space="preserve">were not sufficient to bring it within </w:t>
      </w:r>
      <w:r w:rsidR="00B864BE">
        <w:t>the</w:t>
      </w:r>
      <w:r w:rsidR="00413E21">
        <w:t xml:space="preserve"> category of</w:t>
      </w:r>
      <w:r w:rsidR="00B864BE">
        <w:t xml:space="preserve"> “</w:t>
      </w:r>
      <w:r w:rsidR="00B864BE" w:rsidRPr="00D17666">
        <w:rPr>
          <w:i/>
        </w:rPr>
        <w:t>rare</w:t>
      </w:r>
      <w:r w:rsidR="00B864BE">
        <w:t>”</w:t>
      </w:r>
      <w:r w:rsidR="00D17666">
        <w:t xml:space="preserve"> </w:t>
      </w:r>
      <w:r w:rsidR="00B864BE">
        <w:t xml:space="preserve">cases </w:t>
      </w:r>
      <w:r w:rsidR="00413E21">
        <w:t xml:space="preserve">where </w:t>
      </w:r>
      <w:r w:rsidR="00D17666">
        <w:t>a party’s credibility</w:t>
      </w:r>
      <w:r w:rsidR="00C06DC2">
        <w:t xml:space="preserve"> has been so weakened that the t</w:t>
      </w:r>
      <w:r w:rsidR="00D17666">
        <w:t xml:space="preserve">ribunal of fact may treat what is proffered as corroborative evidence as being of no weight because </w:t>
      </w:r>
      <w:r w:rsidR="00C06DC2">
        <w:t>“</w:t>
      </w:r>
      <w:r w:rsidR="00D17666" w:rsidRPr="00C06DC2">
        <w:rPr>
          <w:i/>
        </w:rPr>
        <w:t>the well has been poisoned beyond redemption</w:t>
      </w:r>
      <w:r w:rsidR="00C06DC2">
        <w:t>”</w:t>
      </w:r>
      <w:r w:rsidR="00507541">
        <w:t>:</w:t>
      </w:r>
      <w:r>
        <w:t xml:space="preserve"> </w:t>
      </w:r>
      <w:r w:rsidRPr="00D17666">
        <w:rPr>
          <w:i/>
        </w:rPr>
        <w:t xml:space="preserve">SZDGC v Minister for Immigration and Citizenship </w:t>
      </w:r>
      <w:r w:rsidRPr="00D059FB">
        <w:t>[2008] FCA 1638</w:t>
      </w:r>
      <w:r>
        <w:t xml:space="preserve"> at [23]</w:t>
      </w:r>
      <w:r w:rsidR="00AE5EA8">
        <w:t>-[24] and [27] (Finkelstein J)</w:t>
      </w:r>
      <w:r w:rsidR="00487A1C">
        <w:t>; see also</w:t>
      </w:r>
      <w:r w:rsidR="00507541">
        <w:t xml:space="preserve"> </w:t>
      </w:r>
      <w:r w:rsidR="00AE5EA8">
        <w:rPr>
          <w:i/>
        </w:rPr>
        <w:t>Minister for Immigration and Citizenship v SZNSP</w:t>
      </w:r>
      <w:r w:rsidR="00AE5EA8" w:rsidRPr="00AE5EA8">
        <w:t xml:space="preserve"> </w:t>
      </w:r>
      <w:r w:rsidR="00AE5EA8">
        <w:t>[2010] FCAFC 50</w:t>
      </w:r>
      <w:r w:rsidR="00AE5EA8" w:rsidRPr="00AE5EA8">
        <w:t>; (2010) 184 FCR 485</w:t>
      </w:r>
      <w:r w:rsidR="00D059FB">
        <w:t xml:space="preserve"> </w:t>
      </w:r>
      <w:r w:rsidR="00AE5EA8" w:rsidRPr="00AE5EA8">
        <w:t>at</w:t>
      </w:r>
      <w:r w:rsidR="00AE5EA8">
        <w:rPr>
          <w:i/>
        </w:rPr>
        <w:t xml:space="preserve"> </w:t>
      </w:r>
      <w:r w:rsidR="00AE5EA8">
        <w:t xml:space="preserve">[36]-[38] (North and Lander JJ) and [50] (Katzmann J). </w:t>
      </w:r>
      <w:r>
        <w:t xml:space="preserve"> </w:t>
      </w:r>
      <w:r w:rsidR="00D17666">
        <w:t xml:space="preserve"> </w:t>
      </w:r>
    </w:p>
    <w:p w:rsidR="003E5262" w:rsidRDefault="000C28B9" w:rsidP="003E5262">
      <w:pPr>
        <w:pStyle w:val="ParaNumbering"/>
      </w:pPr>
      <w:r>
        <w:t>The third and fourth</w:t>
      </w:r>
      <w:r w:rsidR="003E5262">
        <w:t xml:space="preserve"> grounds of appeal </w:t>
      </w:r>
      <w:r w:rsidR="00D329B1">
        <w:t>allege</w:t>
      </w:r>
      <w:r w:rsidR="003E5262">
        <w:t xml:space="preserve"> that there was no rational or logical basis for several</w:t>
      </w:r>
      <w:r w:rsidR="00667EC7">
        <w:t xml:space="preserve"> material findings made by the </w:t>
      </w:r>
      <w:r w:rsidR="00C50D18">
        <w:t>AAT</w:t>
      </w:r>
      <w:r w:rsidR="003E5262">
        <w:t>, and in particular that:</w:t>
      </w:r>
    </w:p>
    <w:p w:rsidR="00B3222B" w:rsidRDefault="00A2098E" w:rsidP="00A2098E">
      <w:pPr>
        <w:pStyle w:val="ListNo1"/>
        <w:numPr>
          <w:ilvl w:val="0"/>
          <w:numId w:val="24"/>
        </w:numPr>
      </w:pPr>
      <w:r>
        <w:t>the a</w:t>
      </w:r>
      <w:r w:rsidR="00B3222B">
        <w:t>ppellant having entered Australia on a student visa (and delayed in applying for a Protection</w:t>
      </w:r>
      <w:r w:rsidR="00667EC7">
        <w:t xml:space="preserve"> visa) was inconsistent with him</w:t>
      </w:r>
      <w:r w:rsidR="00B3222B">
        <w:t xml:space="preserve"> having been banished by his family from India because he is homosexual;</w:t>
      </w:r>
    </w:p>
    <w:p w:rsidR="00B3222B" w:rsidRDefault="00B3222B" w:rsidP="00A2098E">
      <w:pPr>
        <w:pStyle w:val="ListNo1"/>
        <w:numPr>
          <w:ilvl w:val="0"/>
          <w:numId w:val="24"/>
        </w:numPr>
      </w:pPr>
      <w:r>
        <w:t xml:space="preserve">the appellant’s family providing funds </w:t>
      </w:r>
      <w:r w:rsidR="00667EC7">
        <w:t>to him</w:t>
      </w:r>
      <w:r>
        <w:t xml:space="preserve"> in Aus</w:t>
      </w:r>
      <w:r w:rsidR="00667EC7">
        <w:t>tralia was inconsistent with him</w:t>
      </w:r>
      <w:r>
        <w:t xml:space="preserve"> having been banished by his family from India because he is homosexual;</w:t>
      </w:r>
    </w:p>
    <w:p w:rsidR="00B3222B" w:rsidRDefault="00B3222B" w:rsidP="00A2098E">
      <w:pPr>
        <w:pStyle w:val="ListNo1"/>
        <w:numPr>
          <w:ilvl w:val="0"/>
          <w:numId w:val="24"/>
        </w:numPr>
      </w:pPr>
      <w:r>
        <w:t>had the appellant genuinely been homosexual, he would have had additional sexual partners (beyond those from among the</w:t>
      </w:r>
      <w:r w:rsidR="00667EC7">
        <w:t xml:space="preserve"> </w:t>
      </w:r>
      <w:r w:rsidR="00627A44">
        <w:t xml:space="preserve">16 </w:t>
      </w:r>
      <w:r>
        <w:t>witnesses supporting his application) who could have provided evidence; and</w:t>
      </w:r>
    </w:p>
    <w:p w:rsidR="00B3222B" w:rsidRDefault="00B3222B" w:rsidP="00A2098E">
      <w:pPr>
        <w:pStyle w:val="ListNo1"/>
        <w:numPr>
          <w:ilvl w:val="0"/>
          <w:numId w:val="24"/>
        </w:numPr>
      </w:pPr>
      <w:proofErr w:type="gramStart"/>
      <w:r>
        <w:t>although</w:t>
      </w:r>
      <w:proofErr w:type="gramEnd"/>
      <w:r>
        <w:t xml:space="preserve"> the appellant may have had homosexual experiences with men</w:t>
      </w:r>
      <w:r w:rsidR="00667EC7">
        <w:t>,</w:t>
      </w:r>
      <w:r>
        <w:t xml:space="preserve"> he would not engage in any such experiences upon returning to India.</w:t>
      </w:r>
    </w:p>
    <w:p w:rsidR="00D329B1" w:rsidRDefault="009B1D7E" w:rsidP="00D329B1">
      <w:pPr>
        <w:pStyle w:val="Heading6"/>
      </w:pPr>
      <w:bookmarkStart w:id="32" w:name="_Ref499634444"/>
      <w:r>
        <w:t>The decision is legally unreasonable</w:t>
      </w:r>
      <w:bookmarkEnd w:id="32"/>
    </w:p>
    <w:p w:rsidR="007F4D10" w:rsidRDefault="007F4D10" w:rsidP="007F4D10">
      <w:pPr>
        <w:pStyle w:val="ParaNumbering"/>
      </w:pPr>
      <w:r>
        <w:t>The</w:t>
      </w:r>
      <w:r w:rsidR="00946B0A">
        <w:t xml:space="preserve"> AAT </w:t>
      </w:r>
      <w:r w:rsidR="00430C83">
        <w:t xml:space="preserve">rejected the evidence of most witnesses </w:t>
      </w:r>
      <w:r w:rsidR="00946B0A">
        <w:t xml:space="preserve">on which the appellant relied </w:t>
      </w:r>
      <w:r w:rsidR="00430C83">
        <w:t xml:space="preserve">because of their </w:t>
      </w:r>
      <w:r w:rsidR="00325224">
        <w:t>relationship</w:t>
      </w:r>
      <w:r w:rsidR="00430C83">
        <w:t xml:space="preserve"> with Mr R and because almost every witness</w:t>
      </w:r>
      <w:r w:rsidR="002C69BE">
        <w:t>, including Mr R,</w:t>
      </w:r>
      <w:r w:rsidR="00430C83">
        <w:t xml:space="preserve"> until the last submission to the AAT</w:t>
      </w:r>
      <w:r w:rsidR="00507541">
        <w:t>,</w:t>
      </w:r>
      <w:r w:rsidR="00430C83">
        <w:t xml:space="preserve"> had some connection with applicants for protection visas (AAT reasons at [68]). </w:t>
      </w:r>
      <w:r w:rsidR="00F072B1">
        <w:t xml:space="preserve"> </w:t>
      </w:r>
      <w:r w:rsidR="0074060A">
        <w:t>As</w:t>
      </w:r>
      <w:r>
        <w:t xml:space="preserve"> the appellant submitted, the AAT’s finding that the appellant’s serious relationship with Mr R was fabricated so ‘poisoned the well’ that the AAT rejected as fabricated the corroborative evidence led from the other witnesses and documentary evidence</w:t>
      </w:r>
      <w:r w:rsidR="003B0759">
        <w:t>,</w:t>
      </w:r>
      <w:r>
        <w:t xml:space="preserve"> and found that the appellant was prepared to do anything necessary to obtain a permanent visa to remain in Australia.  Similarly, counsel for the Minister submitted that: </w:t>
      </w:r>
    </w:p>
    <w:p w:rsidR="007F4D10" w:rsidRDefault="007F4D10" w:rsidP="00F304AF">
      <w:pPr>
        <w:pStyle w:val="Quote1"/>
      </w:pPr>
      <w:r>
        <w:t xml:space="preserve">… </w:t>
      </w:r>
      <w:proofErr w:type="gramStart"/>
      <w:r>
        <w:t>this</w:t>
      </w:r>
      <w:proofErr w:type="gramEnd"/>
      <w:r>
        <w:t xml:space="preserve"> applicant claim</w:t>
      </w:r>
      <w:r w:rsidR="00BA0300">
        <w:t>ed</w:t>
      </w:r>
      <w:r>
        <w:t xml:space="preserve"> that he had been in a very se</w:t>
      </w:r>
      <w:r w:rsidR="0074060A">
        <w:t xml:space="preserve">rious sexual relationship for three </w:t>
      </w:r>
      <w:r>
        <w:t xml:space="preserve">years with Mr [R].  That is rejected; therefore, one of the centrepieces of this man’s life in Australia, a three-year relationship with Mr [R], is a complete fabrication; if I satisfy you </w:t>
      </w:r>
      <w:r w:rsidR="0074060A">
        <w:t>of</w:t>
      </w:r>
      <w:r>
        <w:t xml:space="preserve"> that, we say the poisoned </w:t>
      </w:r>
      <w:r w:rsidR="0074060A">
        <w:t>well</w:t>
      </w:r>
      <w:r>
        <w:t xml:space="preserve"> flows.  That is</w:t>
      </w:r>
      <w:r w:rsidR="00BA0300">
        <w:t>,</w:t>
      </w:r>
      <w:r>
        <w:t xml:space="preserve"> the centrepiece of the claim, this claimed homosexual relationship, of which the first </w:t>
      </w:r>
      <w:r>
        <w:lastRenderedPageBreak/>
        <w:t>satellite of witnesses purported to attest to – once that falls over, then, in combination with the other facts, the tribunal just couldn’t accept any other corroborative evidence; that’s its reasoning, and</w:t>
      </w:r>
      <w:r w:rsidR="00BD67E5">
        <w:t>,</w:t>
      </w:r>
      <w:r>
        <w:t xml:space="preserve"> if I don’t persuade you of that, I don’t win, but that’s the reason.</w:t>
      </w:r>
    </w:p>
    <w:p w:rsidR="00F24A3A" w:rsidRDefault="004E565E" w:rsidP="008069A8">
      <w:pPr>
        <w:pStyle w:val="ParaNumbering"/>
      </w:pPr>
      <w:r>
        <w:t>Furthermore</w:t>
      </w:r>
      <w:r w:rsidR="003B0759">
        <w:t>,</w:t>
      </w:r>
      <w:r w:rsidR="007F4D10">
        <w:t xml:space="preserve"> t</w:t>
      </w:r>
      <w:r w:rsidR="00943FAF">
        <w:t xml:space="preserve">he </w:t>
      </w:r>
      <w:r w:rsidR="00430C83">
        <w:t>AAT must be taken to have</w:t>
      </w:r>
      <w:r w:rsidR="00946B0A">
        <w:t xml:space="preserve"> entertained </w:t>
      </w:r>
      <w:r w:rsidR="00430C83">
        <w:t>no</w:t>
      </w:r>
      <w:r w:rsidR="00F24A3A">
        <w:t xml:space="preserve"> real</w:t>
      </w:r>
      <w:r w:rsidR="00430C83">
        <w:t xml:space="preserve"> doubt </w:t>
      </w:r>
      <w:r w:rsidR="00D0654D">
        <w:t xml:space="preserve">about the falsity of </w:t>
      </w:r>
      <w:r w:rsidR="00946B0A">
        <w:t xml:space="preserve">appellant’s </w:t>
      </w:r>
      <w:r w:rsidR="00DA5F77">
        <w:t>claim</w:t>
      </w:r>
      <w:r w:rsidR="00D0654D">
        <w:t xml:space="preserve"> as to his sexuality.  If </w:t>
      </w:r>
      <w:r w:rsidR="00946B0A">
        <w:t xml:space="preserve">the AAT </w:t>
      </w:r>
      <w:r w:rsidR="00F072B1">
        <w:t xml:space="preserve">had entertained </w:t>
      </w:r>
      <w:r w:rsidR="00430C83">
        <w:t>any</w:t>
      </w:r>
      <w:r w:rsidR="00F24A3A">
        <w:t xml:space="preserve"> real</w:t>
      </w:r>
      <w:r w:rsidR="00430C83">
        <w:t xml:space="preserve"> doubt</w:t>
      </w:r>
      <w:r w:rsidR="00D0654D">
        <w:t>s</w:t>
      </w:r>
      <w:r w:rsidR="00430C83">
        <w:t xml:space="preserve">, </w:t>
      </w:r>
      <w:r w:rsidR="00946B0A">
        <w:t>it</w:t>
      </w:r>
      <w:r w:rsidR="00430C83">
        <w:t xml:space="preserve"> would have </w:t>
      </w:r>
      <w:r w:rsidR="00D0654D">
        <w:t>been required to</w:t>
      </w:r>
      <w:r w:rsidR="00430C83">
        <w:t xml:space="preserve"> </w:t>
      </w:r>
      <w:r w:rsidR="00946B0A">
        <w:t>consider in the alternative</w:t>
      </w:r>
      <w:r w:rsidR="00430C83">
        <w:t xml:space="preserve"> </w:t>
      </w:r>
      <w:r w:rsidR="00F24A3A">
        <w:t xml:space="preserve">whether there was a </w:t>
      </w:r>
      <w:r w:rsidR="00823EB8">
        <w:t>“</w:t>
      </w:r>
      <w:r w:rsidR="00F24A3A" w:rsidRPr="00823EB8">
        <w:rPr>
          <w:i/>
        </w:rPr>
        <w:t>real</w:t>
      </w:r>
      <w:r w:rsidR="00946B0A" w:rsidRPr="00823EB8">
        <w:rPr>
          <w:i/>
        </w:rPr>
        <w:t xml:space="preserve"> risk</w:t>
      </w:r>
      <w:r w:rsidR="00823EB8">
        <w:t>”</w:t>
      </w:r>
      <w:r w:rsidR="00946B0A">
        <w:t xml:space="preserve"> </w:t>
      </w:r>
      <w:r w:rsidR="00D0654D">
        <w:t xml:space="preserve">that the appellant may suffer </w:t>
      </w:r>
      <w:r w:rsidR="00823EB8">
        <w:t>“</w:t>
      </w:r>
      <w:r w:rsidR="00D0654D" w:rsidRPr="00823EB8">
        <w:rPr>
          <w:i/>
        </w:rPr>
        <w:t>significant harm</w:t>
      </w:r>
      <w:r w:rsidR="00823EB8">
        <w:t>”</w:t>
      </w:r>
      <w:r w:rsidR="00D0654D">
        <w:t xml:space="preserve"> </w:t>
      </w:r>
      <w:r w:rsidR="00823EB8">
        <w:t xml:space="preserve">as defined in s 36(2A) of the Act </w:t>
      </w:r>
      <w:r w:rsidR="00F24A3A">
        <w:t>on the assumption that it</w:t>
      </w:r>
      <w:r w:rsidR="00D0654D">
        <w:t xml:space="preserve"> was wrong in </w:t>
      </w:r>
      <w:r>
        <w:t xml:space="preserve">finding </w:t>
      </w:r>
      <w:r w:rsidR="00DA5F77">
        <w:t>that claim</w:t>
      </w:r>
      <w:r>
        <w:t xml:space="preserve"> to be fabricated</w:t>
      </w:r>
      <w:r w:rsidR="00430C83">
        <w:t xml:space="preserve">: </w:t>
      </w:r>
      <w:r w:rsidR="003B0759">
        <w:t xml:space="preserve"> </w:t>
      </w:r>
      <w:r w:rsidR="00430C83">
        <w:t xml:space="preserve">see </w:t>
      </w:r>
      <w:r w:rsidR="00F24A3A" w:rsidRPr="00F24A3A">
        <w:rPr>
          <w:i/>
        </w:rPr>
        <w:t xml:space="preserve">Minister for Immigration and Ethnic Affairs v </w:t>
      </w:r>
      <w:proofErr w:type="spellStart"/>
      <w:r w:rsidR="00F24A3A" w:rsidRPr="00F24A3A">
        <w:rPr>
          <w:i/>
        </w:rPr>
        <w:t>Guo</w:t>
      </w:r>
      <w:proofErr w:type="spellEnd"/>
      <w:r w:rsidR="00F24A3A" w:rsidRPr="0090239E">
        <w:t xml:space="preserve"> [1997] HCA 22; (1997) 191 CLR 559 (</w:t>
      </w:r>
      <w:proofErr w:type="spellStart"/>
      <w:r w:rsidR="00F24A3A" w:rsidRPr="00F24A3A">
        <w:rPr>
          <w:b/>
          <w:i/>
        </w:rPr>
        <w:t>Guo</w:t>
      </w:r>
      <w:proofErr w:type="spellEnd"/>
      <w:r w:rsidR="00F24A3A">
        <w:t>) at 576</w:t>
      </w:r>
      <w:r w:rsidR="00F24A3A" w:rsidRPr="0090239E">
        <w:t xml:space="preserve"> (Brennan CJ, Dawson, </w:t>
      </w:r>
      <w:proofErr w:type="spellStart"/>
      <w:r w:rsidR="00F24A3A" w:rsidRPr="0090239E">
        <w:t>Toohey</w:t>
      </w:r>
      <w:proofErr w:type="spellEnd"/>
      <w:r w:rsidR="00F24A3A" w:rsidRPr="0090239E">
        <w:t xml:space="preserve">, </w:t>
      </w:r>
      <w:proofErr w:type="spellStart"/>
      <w:r w:rsidR="00F24A3A" w:rsidRPr="0090239E">
        <w:t>Gaudron</w:t>
      </w:r>
      <w:proofErr w:type="spellEnd"/>
      <w:r w:rsidR="00F24A3A" w:rsidRPr="0090239E">
        <w:t xml:space="preserve">, McHugh and </w:t>
      </w:r>
      <w:proofErr w:type="spellStart"/>
      <w:r w:rsidR="00F24A3A" w:rsidRPr="0090239E">
        <w:t>Gummow</w:t>
      </w:r>
      <w:proofErr w:type="spellEnd"/>
      <w:r w:rsidR="00F24A3A" w:rsidRPr="0090239E">
        <w:t xml:space="preserve"> JJ)</w:t>
      </w:r>
      <w:r w:rsidR="00F24A3A">
        <w:t xml:space="preserve">; </w:t>
      </w:r>
      <w:r w:rsidR="00F24A3A" w:rsidRPr="0090239E">
        <w:t xml:space="preserve">see also </w:t>
      </w:r>
      <w:r w:rsidR="00F24A3A" w:rsidRPr="0090239E">
        <w:rPr>
          <w:i/>
        </w:rPr>
        <w:t xml:space="preserve">Minister for Immigration and Multicultural Affairs v </w:t>
      </w:r>
      <w:proofErr w:type="spellStart"/>
      <w:r w:rsidR="00F24A3A" w:rsidRPr="0090239E">
        <w:rPr>
          <w:i/>
        </w:rPr>
        <w:t>Rajalingam</w:t>
      </w:r>
      <w:proofErr w:type="spellEnd"/>
      <w:r w:rsidR="00F24A3A" w:rsidRPr="0090239E">
        <w:rPr>
          <w:i/>
        </w:rPr>
        <w:t xml:space="preserve"> </w:t>
      </w:r>
      <w:r w:rsidR="00F24A3A" w:rsidRPr="0090239E">
        <w:t>[1999] FCA 719; (1999) 93 FCR 220 (Sackville J at  [62] (North J agreeing))</w:t>
      </w:r>
      <w:r w:rsidR="00823EB8">
        <w:t>.  In this regard, it is important to emphasise that it suffices to establish a “</w:t>
      </w:r>
      <w:r w:rsidR="00823EB8" w:rsidRPr="00823EB8">
        <w:rPr>
          <w:i/>
        </w:rPr>
        <w:t>real risk</w:t>
      </w:r>
      <w:r w:rsidR="00823EB8">
        <w:t xml:space="preserve">” for the purposes of s 36(2)(aa) if </w:t>
      </w:r>
      <w:r w:rsidR="00F23F1D">
        <w:t>there is a reasonable possibility of the harm occurring even if that risk is less than 50%</w:t>
      </w:r>
      <w:r w:rsidR="008871BB">
        <w:t xml:space="preserve">, that is, the </w:t>
      </w:r>
      <w:r w:rsidR="00DA5F77">
        <w:t>level of risk</w:t>
      </w:r>
      <w:r w:rsidR="008871BB">
        <w:t xml:space="preserve"> </w:t>
      </w:r>
      <w:r w:rsidR="00DA5F77">
        <w:t xml:space="preserve">required </w:t>
      </w:r>
      <w:r w:rsidR="008871BB">
        <w:t>is the same as that for s 36(2)(a)</w:t>
      </w:r>
      <w:r w:rsidR="00F23F1D">
        <w:t xml:space="preserve">:  </w:t>
      </w:r>
      <w:r w:rsidR="00F23F1D">
        <w:rPr>
          <w:i/>
        </w:rPr>
        <w:t xml:space="preserve">Minister for Immigration and Citizenship v SZQRB </w:t>
      </w:r>
      <w:r w:rsidR="00F23F1D">
        <w:t>[2013] FCAFC 33; (2013) 210 FCR 505 at [246]-[247] (Lander and Gordon JJ</w:t>
      </w:r>
      <w:r w:rsidR="00840B63">
        <w:t>)</w:t>
      </w:r>
      <w:r w:rsidR="00F23F1D">
        <w:t xml:space="preserve"> (Besanko and Jagot JJ agreeing at [296] and Flick J at [342]).  </w:t>
      </w:r>
    </w:p>
    <w:p w:rsidR="008069A8" w:rsidRDefault="004249A8" w:rsidP="008069A8">
      <w:pPr>
        <w:pStyle w:val="ParaNumbering"/>
      </w:pPr>
      <w:r>
        <w:t>The</w:t>
      </w:r>
      <w:r w:rsidR="00185BEB">
        <w:t>re were</w:t>
      </w:r>
      <w:r w:rsidR="004E565E">
        <w:t>,</w:t>
      </w:r>
      <w:r w:rsidR="00185BEB">
        <w:t xml:space="preserve"> however</w:t>
      </w:r>
      <w:r w:rsidR="004E565E">
        <w:t>,</w:t>
      </w:r>
      <w:r w:rsidR="00185BEB">
        <w:t xml:space="preserve"> four witnesses who were regarded as “</w:t>
      </w:r>
      <w:r w:rsidR="00185BEB" w:rsidRPr="00185BEB">
        <w:rPr>
          <w:i/>
        </w:rPr>
        <w:t>independent</w:t>
      </w:r>
      <w:r w:rsidR="00185BEB">
        <w:t>”</w:t>
      </w:r>
      <w:r>
        <w:t xml:space="preserve"> </w:t>
      </w:r>
      <w:r w:rsidR="00185BEB">
        <w:t>by the AAT because there was</w:t>
      </w:r>
      <w:bookmarkStart w:id="33" w:name="_GoBack"/>
      <w:bookmarkEnd w:id="33"/>
      <w:r w:rsidR="00185BEB">
        <w:t xml:space="preserve"> no evidence of any link with Mr R or of any association with other protection visa app</w:t>
      </w:r>
      <w:r w:rsidR="004E565E">
        <w:t>lications, namely,</w:t>
      </w:r>
      <w:r w:rsidR="004E565E" w:rsidRPr="00437E4C">
        <w:t xml:space="preserve"> Mr P</w:t>
      </w:r>
      <w:r w:rsidR="004E565E">
        <w:t xml:space="preserve">, Mr </w:t>
      </w:r>
      <w:r w:rsidR="004E565E" w:rsidRPr="00437E4C">
        <w:t>G, Mr W and Mr PD</w:t>
      </w:r>
      <w:r w:rsidR="004E565E">
        <w:t xml:space="preserve">.  </w:t>
      </w:r>
      <w:r w:rsidR="00185BEB">
        <w:t xml:space="preserve">If their evidence was accepted, they would have directly corroborated the appellant’s claims to be homosexual.  </w:t>
      </w:r>
      <w:r w:rsidR="002979CF">
        <w:t xml:space="preserve">Thus, </w:t>
      </w:r>
      <w:r w:rsidR="00356DA3">
        <w:t xml:space="preserve">Mr </w:t>
      </w:r>
      <w:r w:rsidR="00EA34CC" w:rsidRPr="00437E4C">
        <w:t>G gave evidence</w:t>
      </w:r>
      <w:r w:rsidR="003B0759">
        <w:t xml:space="preserve"> in writing and at the hearing</w:t>
      </w:r>
      <w:r w:rsidR="00EA34CC" w:rsidRPr="00437E4C">
        <w:t xml:space="preserve"> that he had met the appellant through a dating site</w:t>
      </w:r>
      <w:r w:rsidR="000579BE">
        <w:t xml:space="preserve"> in January 2016</w:t>
      </w:r>
      <w:r w:rsidR="00EA34CC" w:rsidRPr="00437E4C">
        <w:t>, that they met regularly and engaged in casual sex</w:t>
      </w:r>
      <w:r w:rsidR="00823EB8">
        <w:t xml:space="preserve">, </w:t>
      </w:r>
      <w:r w:rsidR="00EA34CC" w:rsidRPr="00437E4C">
        <w:t xml:space="preserve">and that he hoped their </w:t>
      </w:r>
      <w:proofErr w:type="spellStart"/>
      <w:r w:rsidR="00EA34CC" w:rsidRPr="00437E4C">
        <w:t>casual</w:t>
      </w:r>
      <w:proofErr w:type="spellEnd"/>
      <w:r w:rsidR="00EA34CC" w:rsidRPr="00437E4C">
        <w:t xml:space="preserve"> relationship would become a long-term relationship.  Mr P gave evidence that he met the </w:t>
      </w:r>
      <w:r w:rsidR="00D72650">
        <w:t>appellant</w:t>
      </w:r>
      <w:r w:rsidR="00D72650" w:rsidRPr="00437E4C">
        <w:t xml:space="preserve"> </w:t>
      </w:r>
      <w:r w:rsidR="00EA34CC" w:rsidRPr="00437E4C">
        <w:t xml:space="preserve">on a male dating site in July 2015 and that he and the appellant had </w:t>
      </w:r>
      <w:r w:rsidR="00356DA3">
        <w:t xml:space="preserve">had, </w:t>
      </w:r>
      <w:r w:rsidR="00EA34CC" w:rsidRPr="00437E4C">
        <w:t>and cont</w:t>
      </w:r>
      <w:r w:rsidR="00EA34CC">
        <w:t>inued to engage in</w:t>
      </w:r>
      <w:r w:rsidR="00356DA3">
        <w:t>,</w:t>
      </w:r>
      <w:r w:rsidR="0074060A">
        <w:t xml:space="preserve"> casual sex.  </w:t>
      </w:r>
      <w:r w:rsidR="00EA34CC" w:rsidRPr="00437E4C">
        <w:t>Mr W said that he was an openly gay man, he met the appellant on Grindr, a gay app, in July 2016</w:t>
      </w:r>
      <w:r w:rsidR="00356DA3">
        <w:t>,</w:t>
      </w:r>
      <w:r w:rsidR="00EA34CC" w:rsidRPr="00437E4C">
        <w:t xml:space="preserve"> and</w:t>
      </w:r>
      <w:r>
        <w:t xml:space="preserve"> </w:t>
      </w:r>
      <w:r w:rsidR="00EA34CC" w:rsidRPr="00437E4C">
        <w:t>they m</w:t>
      </w:r>
      <w:r w:rsidR="00EA34CC">
        <w:t>eet regularly for casual sex</w:t>
      </w:r>
      <w:r w:rsidR="0074060A">
        <w:t>, while</w:t>
      </w:r>
      <w:r w:rsidR="00EA34CC" w:rsidRPr="00437E4C">
        <w:t xml:space="preserve"> Mr PD said that he was gay, he met the appellant on Grindr in December 2013, they had sex a couple of times</w:t>
      </w:r>
      <w:r w:rsidR="00EA34CC">
        <w:t>,</w:t>
      </w:r>
      <w:r w:rsidR="00EA34CC" w:rsidRPr="00437E4C">
        <w:t xml:space="preserve"> and are now friends.</w:t>
      </w:r>
      <w:r w:rsidR="008069A8">
        <w:t xml:space="preserve"> </w:t>
      </w:r>
      <w:r w:rsidR="004E565E">
        <w:t xml:space="preserve"> The question therefore arises as to whether the evidence of these so-called “</w:t>
      </w:r>
      <w:r w:rsidR="004E565E" w:rsidRPr="004E565E">
        <w:rPr>
          <w:i/>
        </w:rPr>
        <w:t>independent</w:t>
      </w:r>
      <w:r w:rsidR="004E565E">
        <w:t>” witnesses was dealt with in the same way by the AAT as the evidence of the other witnesses</w:t>
      </w:r>
      <w:r w:rsidR="0074060A">
        <w:t xml:space="preserve"> on which the appellant relied to support his claim</w:t>
      </w:r>
      <w:r w:rsidR="004E565E">
        <w:t xml:space="preserve">. </w:t>
      </w:r>
    </w:p>
    <w:p w:rsidR="00185BEB" w:rsidRDefault="00185BEB" w:rsidP="00185BEB">
      <w:pPr>
        <w:pStyle w:val="ParaNumbering"/>
      </w:pPr>
      <w:r>
        <w:lastRenderedPageBreak/>
        <w:t>Counsel for the Minister submitted</w:t>
      </w:r>
      <w:r w:rsidR="00B4601A">
        <w:t xml:space="preserve"> </w:t>
      </w:r>
      <w:r>
        <w:t xml:space="preserve">that the AAT’s reasons should not be read as having rejected the evidence of these four witnesses because </w:t>
      </w:r>
      <w:r w:rsidR="004E565E">
        <w:t>the AAT</w:t>
      </w:r>
      <w:r>
        <w:t xml:space="preserve"> “</w:t>
      </w:r>
      <w:r w:rsidRPr="00185BEB">
        <w:rPr>
          <w:i/>
        </w:rPr>
        <w:t>accepted … that the applicant may have been prepared to participate in homosexual relations of some kind to support his applications for Protection</w:t>
      </w:r>
      <w:r>
        <w:t>”</w:t>
      </w:r>
      <w:r w:rsidR="004B05B1">
        <w:t xml:space="preserve">, </w:t>
      </w:r>
      <w:r w:rsidR="00F95A0A">
        <w:t xml:space="preserve">but found </w:t>
      </w:r>
      <w:r w:rsidR="004B05B1">
        <w:t xml:space="preserve">that this demonstrated only that </w:t>
      </w:r>
      <w:r w:rsidR="00F95A0A">
        <w:t>the appellant</w:t>
      </w:r>
      <w:r w:rsidR="004B05B1">
        <w:t xml:space="preserve"> was prepared to do whatever he considers necessary to obtain a permanent visa (</w:t>
      </w:r>
      <w:r w:rsidR="00BB1391">
        <w:t xml:space="preserve">referring to </w:t>
      </w:r>
      <w:r w:rsidR="009760EA">
        <w:t>AAT reasons at</w:t>
      </w:r>
      <w:r w:rsidR="004B05B1">
        <w:t xml:space="preserve"> [73])</w:t>
      </w:r>
      <w:r w:rsidR="00542EB5">
        <w:t>.</w:t>
      </w:r>
      <w:r w:rsidR="004B05B1">
        <w:t xml:space="preserve">  This finding, however, does not identify those men with whom </w:t>
      </w:r>
      <w:r w:rsidR="00792676">
        <w:t xml:space="preserve">the AAT </w:t>
      </w:r>
      <w:r w:rsidR="004B05B1">
        <w:t xml:space="preserve">considered </w:t>
      </w:r>
      <w:r w:rsidR="00792676">
        <w:t xml:space="preserve">that </w:t>
      </w:r>
      <w:r w:rsidR="004B05B1">
        <w:t>the appellant may</w:t>
      </w:r>
      <w:r w:rsidR="00777450">
        <w:t xml:space="preserve"> have </w:t>
      </w:r>
      <w:r w:rsidR="00792676">
        <w:t>had</w:t>
      </w:r>
      <w:r w:rsidR="00777450">
        <w:t xml:space="preserve"> sex. </w:t>
      </w:r>
      <w:r w:rsidR="00BA5791">
        <w:t xml:space="preserve"> It also </w:t>
      </w:r>
      <w:r w:rsidR="004B05B1">
        <w:t xml:space="preserve">says nothing about whether the Tribunal considered that those </w:t>
      </w:r>
      <w:r w:rsidR="00777450">
        <w:t>men</w:t>
      </w:r>
      <w:r w:rsidR="00792676">
        <w:t xml:space="preserve"> may</w:t>
      </w:r>
      <w:r w:rsidR="001A7EC2">
        <w:t xml:space="preserve"> </w:t>
      </w:r>
      <w:r w:rsidR="00792676">
        <w:t xml:space="preserve">have </w:t>
      </w:r>
      <w:r w:rsidR="004B05B1">
        <w:t xml:space="preserve">been </w:t>
      </w:r>
      <w:r w:rsidR="00777450">
        <w:t>unaware that the appellant was not</w:t>
      </w:r>
      <w:r w:rsidR="00792676">
        <w:t xml:space="preserve"> (in the AAT’s view)</w:t>
      </w:r>
      <w:r w:rsidR="00777450">
        <w:t xml:space="preserve"> </w:t>
      </w:r>
      <w:r w:rsidR="007D30BF">
        <w:t>“</w:t>
      </w:r>
      <w:r w:rsidR="00777450" w:rsidRPr="007D30BF">
        <w:rPr>
          <w:i/>
        </w:rPr>
        <w:t>genuinely</w:t>
      </w:r>
      <w:r w:rsidR="007D30BF">
        <w:t>”</w:t>
      </w:r>
      <w:r w:rsidR="00777450" w:rsidRPr="00777450">
        <w:rPr>
          <w:i/>
        </w:rPr>
        <w:t xml:space="preserve"> </w:t>
      </w:r>
      <w:r w:rsidR="00777450" w:rsidRPr="00777450">
        <w:t>homosexual.</w:t>
      </w:r>
      <w:r w:rsidR="00BA5791">
        <w:t xml:space="preserve">  More fundamentally, the Minister’s submission</w:t>
      </w:r>
      <w:r>
        <w:t xml:space="preserve"> overlooks the AAT’s finding at [70] that </w:t>
      </w:r>
      <w:r w:rsidR="003B0759">
        <w:t>it</w:t>
      </w:r>
      <w:r>
        <w:t xml:space="preserve"> “</w:t>
      </w:r>
      <w:r w:rsidRPr="00185BEB">
        <w:rPr>
          <w:i/>
        </w:rPr>
        <w:t>does not accept that the evidence contained in the statements/statutory declarations by persons supporting the applicant’s claims to be in a homosexual relationship is truthful</w:t>
      </w:r>
      <w:r>
        <w:t>” and “</w:t>
      </w:r>
      <w:r w:rsidR="00F47AF2">
        <w:rPr>
          <w:i/>
        </w:rPr>
        <w:t>[n]or</w:t>
      </w:r>
      <w:r w:rsidR="00F47AF2">
        <w:t xml:space="preserve"> </w:t>
      </w:r>
      <w:r w:rsidRPr="00185BEB">
        <w:rPr>
          <w:i/>
        </w:rPr>
        <w:t xml:space="preserve">does </w:t>
      </w:r>
      <w:r w:rsidR="00F47AF2">
        <w:rPr>
          <w:i/>
        </w:rPr>
        <w:t>[it]</w:t>
      </w:r>
      <w:r w:rsidR="00F47AF2" w:rsidRPr="00185BEB">
        <w:rPr>
          <w:i/>
        </w:rPr>
        <w:t xml:space="preserve"> </w:t>
      </w:r>
      <w:r w:rsidRPr="00185BEB">
        <w:rPr>
          <w:i/>
        </w:rPr>
        <w:t>accept that the applicant was in a homosexual relationship with … Mr [G].”</w:t>
      </w:r>
      <w:r>
        <w:t xml:space="preserve">  Similarly, </w:t>
      </w:r>
      <w:r w:rsidRPr="00185BEB">
        <w:t>at</w:t>
      </w:r>
      <w:r>
        <w:t xml:space="preserve"> [73] the Tribunal in unqualified terms found that “</w:t>
      </w:r>
      <w:r w:rsidRPr="00185BEB">
        <w:rPr>
          <w:i/>
        </w:rPr>
        <w:t>the witnesses who have provided statutory declarations and oral evidence to support the applicant’s application for Protection visas have been willing to provide false evidence to support the applicant’s claims.”</w:t>
      </w:r>
      <w:r>
        <w:t xml:space="preserve">  </w:t>
      </w:r>
      <w:r w:rsidR="00510B22">
        <w:t xml:space="preserve">It follows that the appellant rightly submits that the Tribunal </w:t>
      </w:r>
      <w:r w:rsidR="004E565E">
        <w:t>found that</w:t>
      </w:r>
      <w:r w:rsidR="00510B22">
        <w:t xml:space="preserve"> the evidence of </w:t>
      </w:r>
      <w:r w:rsidR="003B0759">
        <w:t xml:space="preserve">all 16 witnesses was false.  </w:t>
      </w:r>
    </w:p>
    <w:p w:rsidR="00185BEB" w:rsidRDefault="00510B22" w:rsidP="00185BEB">
      <w:pPr>
        <w:pStyle w:val="ParaNumbering"/>
      </w:pPr>
      <w:r>
        <w:t xml:space="preserve">The question then </w:t>
      </w:r>
      <w:r w:rsidR="004E565E">
        <w:t>arises as to</w:t>
      </w:r>
      <w:r>
        <w:t xml:space="preserve"> </w:t>
      </w:r>
      <w:r w:rsidR="004E565E">
        <w:t xml:space="preserve">the </w:t>
      </w:r>
      <w:r w:rsidR="007D30BF">
        <w:t>reasons for rejecting</w:t>
      </w:r>
      <w:r w:rsidR="004E565E">
        <w:t xml:space="preserve"> </w:t>
      </w:r>
      <w:r>
        <w:t xml:space="preserve">the evidence of </w:t>
      </w:r>
      <w:r w:rsidR="00B205E0">
        <w:t xml:space="preserve">the </w:t>
      </w:r>
      <w:r>
        <w:t xml:space="preserve">four </w:t>
      </w:r>
      <w:r w:rsidR="004E565E">
        <w:t>“</w:t>
      </w:r>
      <w:r w:rsidR="004E565E" w:rsidRPr="004E565E">
        <w:rPr>
          <w:i/>
        </w:rPr>
        <w:t>independent</w:t>
      </w:r>
      <w:r w:rsidR="004E565E">
        <w:t xml:space="preserve">” </w:t>
      </w:r>
      <w:r w:rsidR="00867B87">
        <w:t xml:space="preserve">witnesses. </w:t>
      </w:r>
      <w:r>
        <w:t xml:space="preserve"> </w:t>
      </w:r>
      <w:r w:rsidR="00356DA3">
        <w:t xml:space="preserve">Mr </w:t>
      </w:r>
      <w:r w:rsidR="008069A8">
        <w:t>G’s evidence was rejected by the AAT on the basis of the bare assertion that “</w:t>
      </w:r>
      <w:r w:rsidR="008069A8" w:rsidRPr="00356DA3">
        <w:rPr>
          <w:i/>
        </w:rPr>
        <w:t>the applicant’s cl</w:t>
      </w:r>
      <w:r w:rsidR="00356DA3" w:rsidRPr="00356DA3">
        <w:rPr>
          <w:i/>
        </w:rPr>
        <w:t>aims in his statement that Mr [</w:t>
      </w:r>
      <w:r w:rsidR="008069A8" w:rsidRPr="00356DA3">
        <w:rPr>
          <w:i/>
        </w:rPr>
        <w:t xml:space="preserve">G] wants him to be his ‘husband’ </w:t>
      </w:r>
      <w:r w:rsidR="00F47AF2">
        <w:rPr>
          <w:i/>
        </w:rPr>
        <w:t>[</w:t>
      </w:r>
      <w:r w:rsidR="008069A8" w:rsidRPr="00356DA3">
        <w:rPr>
          <w:i/>
        </w:rPr>
        <w:t>are</w:t>
      </w:r>
      <w:r w:rsidR="00F47AF2">
        <w:rPr>
          <w:i/>
        </w:rPr>
        <w:t>]</w:t>
      </w:r>
      <w:r w:rsidR="008069A8" w:rsidRPr="00356DA3">
        <w:rPr>
          <w:i/>
        </w:rPr>
        <w:t xml:space="preserve"> indicative of his attempts to fabricate evidence of their relationship</w:t>
      </w:r>
      <w:r w:rsidR="00E5189D">
        <w:t>” (AAT reasons at [70]).</w:t>
      </w:r>
      <w:r w:rsidR="008069A8">
        <w:t xml:space="preserve">  However, that does not disclose a rational explanation.  There is nothing so inherently implausible in a clai</w:t>
      </w:r>
      <w:r w:rsidR="00356DA3">
        <w:t xml:space="preserve">m that </w:t>
      </w:r>
      <w:r w:rsidR="00F47AF2">
        <w:t xml:space="preserve">Mr G wanted </w:t>
      </w:r>
      <w:r w:rsidR="00356DA3">
        <w:t xml:space="preserve">the appellant </w:t>
      </w:r>
      <w:r w:rsidR="008069A8">
        <w:t>to be his husband that the mere making of the claim was indicati</w:t>
      </w:r>
      <w:r w:rsidR="00356DA3">
        <w:t>ve of fabrication.  Indeed, Mr </w:t>
      </w:r>
      <w:r w:rsidR="008069A8">
        <w:t xml:space="preserve">G gave evidence that he wished for a long-term relationship.  </w:t>
      </w:r>
      <w:r w:rsidR="00836E0A">
        <w:t xml:space="preserve">Furthermore, the AAT made no finding as to why Mr G had (on its findings) been prepared to fabricate claims for the appellant and expressly declined to do </w:t>
      </w:r>
      <w:proofErr w:type="gramStart"/>
      <w:r w:rsidR="00836E0A">
        <w:t>so on</w:t>
      </w:r>
      <w:proofErr w:type="gramEnd"/>
      <w:r w:rsidR="00836E0A">
        <w:t xml:space="preserve"> the ground that it was unnecessary (AAT reasons at [70]). </w:t>
      </w:r>
    </w:p>
    <w:p w:rsidR="008069A8" w:rsidRDefault="008069A8" w:rsidP="00867B87">
      <w:pPr>
        <w:pStyle w:val="ParaNumbering"/>
      </w:pPr>
      <w:r>
        <w:t xml:space="preserve">As to the remaining three witnesses, there was no attempt by the AAT to analyse their evidence and explain why it </w:t>
      </w:r>
      <w:r w:rsidR="008871BB">
        <w:t>was</w:t>
      </w:r>
      <w:r w:rsidR="00B424F9">
        <w:t xml:space="preserve"> </w:t>
      </w:r>
      <w:r w:rsidR="008871BB">
        <w:t>fabricated</w:t>
      </w:r>
      <w:r>
        <w:t xml:space="preserve">.  </w:t>
      </w:r>
      <w:r w:rsidR="00510B22">
        <w:t>As such, it would appear that the AAT’s</w:t>
      </w:r>
      <w:r>
        <w:t xml:space="preserve"> </w:t>
      </w:r>
      <w:r w:rsidR="00D059FB">
        <w:t>finding</w:t>
      </w:r>
      <w:r w:rsidR="00510B22">
        <w:t>s in this respect rested again on the proposition</w:t>
      </w:r>
      <w:r w:rsidR="00D059FB">
        <w:t xml:space="preserve"> that the appellant’s </w:t>
      </w:r>
      <w:r w:rsidR="00B205E0">
        <w:t xml:space="preserve">false </w:t>
      </w:r>
      <w:r w:rsidR="00D059FB">
        <w:t xml:space="preserve">claim to have been in </w:t>
      </w:r>
      <w:r w:rsidR="006A2DE2">
        <w:t xml:space="preserve">a </w:t>
      </w:r>
      <w:r w:rsidR="00D059FB">
        <w:t xml:space="preserve">serious sexual relationship with Mr R </w:t>
      </w:r>
      <w:r>
        <w:t xml:space="preserve">had so </w:t>
      </w:r>
      <w:r w:rsidR="00356DA3">
        <w:t>‘</w:t>
      </w:r>
      <w:r>
        <w:t>poisoned the well</w:t>
      </w:r>
      <w:r w:rsidR="00356DA3">
        <w:t>’</w:t>
      </w:r>
      <w:r>
        <w:t xml:space="preserve"> that no corrobora</w:t>
      </w:r>
      <w:r w:rsidR="000579BE">
        <w:t>ting evidence could be accepted</w:t>
      </w:r>
      <w:r w:rsidR="00D059FB">
        <w:t xml:space="preserve">.  </w:t>
      </w:r>
      <w:r w:rsidR="00B205E0">
        <w:t>However, t</w:t>
      </w:r>
      <w:r w:rsidR="00D059FB">
        <w:t>here</w:t>
      </w:r>
      <w:r>
        <w:t xml:space="preserve"> was no evidence of any connection between these four witnesses </w:t>
      </w:r>
      <w:r w:rsidR="00BF3F8F">
        <w:t xml:space="preserve">and </w:t>
      </w:r>
      <w:r>
        <w:t xml:space="preserve">Mr </w:t>
      </w:r>
      <w:proofErr w:type="gramStart"/>
      <w:r>
        <w:t>R</w:t>
      </w:r>
      <w:r w:rsidR="00C36164">
        <w:t>,</w:t>
      </w:r>
      <w:proofErr w:type="gramEnd"/>
      <w:r>
        <w:t xml:space="preserve"> </w:t>
      </w:r>
      <w:r w:rsidR="00356DA3">
        <w:t>or</w:t>
      </w:r>
      <w:r>
        <w:t xml:space="preserve"> of any connection between them and</w:t>
      </w:r>
      <w:r w:rsidR="00356DA3">
        <w:t xml:space="preserve"> </w:t>
      </w:r>
      <w:r w:rsidR="00356DA3">
        <w:lastRenderedPageBreak/>
        <w:t xml:space="preserve">any other applicants for </w:t>
      </w:r>
      <w:r>
        <w:t>protection visas.  In those circumstances, no logical, rational</w:t>
      </w:r>
      <w:r w:rsidR="00356DA3">
        <w:t>,</w:t>
      </w:r>
      <w:r>
        <w:t xml:space="preserve"> or probative basis can be discerned for th</w:t>
      </w:r>
      <w:r w:rsidR="003D2386">
        <w:t>e finding that the evidence of the so-called “</w:t>
      </w:r>
      <w:r w:rsidR="003D2386" w:rsidRPr="003D2386">
        <w:rPr>
          <w:i/>
        </w:rPr>
        <w:t>independent</w:t>
      </w:r>
      <w:r w:rsidR="003D2386">
        <w:t>” witnesses was false</w:t>
      </w:r>
      <w:r>
        <w:t xml:space="preserve">. </w:t>
      </w:r>
      <w:r w:rsidR="00A0343D">
        <w:t xml:space="preserve"> </w:t>
      </w:r>
      <w:r w:rsidR="00330063">
        <w:t>(</w:t>
      </w:r>
      <w:r w:rsidR="006A2DE2">
        <w:t>We</w:t>
      </w:r>
      <w:r w:rsidR="00330063">
        <w:t xml:space="preserve"> note that, i</w:t>
      </w:r>
      <w:r w:rsidR="00B205E0">
        <w:t xml:space="preserve">n so finding, </w:t>
      </w:r>
      <w:r w:rsidR="006A2DE2">
        <w:t>we</w:t>
      </w:r>
      <w:r w:rsidR="00B205E0">
        <w:t xml:space="preserve"> do not suggest that the findings with respect to the other witnesses</w:t>
      </w:r>
      <w:r w:rsidR="00330063">
        <w:t>, including Mr R,</w:t>
      </w:r>
      <w:r w:rsidR="00B205E0">
        <w:t xml:space="preserve"> were not </w:t>
      </w:r>
      <w:r w:rsidR="00330063">
        <w:t>without their own difficulties.)</w:t>
      </w:r>
    </w:p>
    <w:p w:rsidR="00A0343D" w:rsidRDefault="00A0343D" w:rsidP="008069A8">
      <w:pPr>
        <w:pStyle w:val="ParaNumbering"/>
      </w:pPr>
      <w:r>
        <w:t xml:space="preserve">The primary judge failed to address whether the AAT </w:t>
      </w:r>
      <w:r w:rsidR="008871BB">
        <w:t>erred</w:t>
      </w:r>
      <w:r>
        <w:t xml:space="preserve"> in dismissing the evidence of the 16 witnesses and </w:t>
      </w:r>
      <w:r w:rsidR="008871BB">
        <w:t>thereby fell into error</w:t>
      </w:r>
      <w:r>
        <w:t xml:space="preserve">.  </w:t>
      </w:r>
      <w:r w:rsidR="006A2DE2">
        <w:t>For the reasons we</w:t>
      </w:r>
      <w:r w:rsidR="008F70BC">
        <w:t xml:space="preserve"> have given, h</w:t>
      </w:r>
      <w:r>
        <w:t>is Honour ought to have found that</w:t>
      </w:r>
      <w:r w:rsidR="00330063">
        <w:t xml:space="preserve"> the Tribunal’s decision was tainted by jurisdictional error on the ground that</w:t>
      </w:r>
      <w:r>
        <w:t xml:space="preserve"> the</w:t>
      </w:r>
      <w:r w:rsidR="00330063">
        <w:t>re was no</w:t>
      </w:r>
      <w:r w:rsidR="008069A8">
        <w:t xml:space="preserve"> logical, rational, or probative basis for </w:t>
      </w:r>
      <w:r w:rsidR="00330063">
        <w:t xml:space="preserve">the </w:t>
      </w:r>
      <w:r w:rsidR="002B54C8">
        <w:t>finding that</w:t>
      </w:r>
      <w:r w:rsidR="008069A8">
        <w:t xml:space="preserve"> the evidence </w:t>
      </w:r>
      <w:r>
        <w:t xml:space="preserve">of these four witnesses </w:t>
      </w:r>
      <w:r w:rsidR="00330063">
        <w:t xml:space="preserve">was fabricated. </w:t>
      </w:r>
    </w:p>
    <w:p w:rsidR="008069A8" w:rsidRDefault="006A2DE2" w:rsidP="008069A8">
      <w:pPr>
        <w:pStyle w:val="ParaNumbering"/>
      </w:pPr>
      <w:r>
        <w:t>As we</w:t>
      </w:r>
      <w:r w:rsidR="00711CFF">
        <w:t xml:space="preserve"> have intimated,</w:t>
      </w:r>
      <w:r w:rsidR="008069A8">
        <w:t xml:space="preserve"> the gravity of </w:t>
      </w:r>
      <w:r>
        <w:t>our</w:t>
      </w:r>
      <w:r w:rsidR="008069A8">
        <w:t xml:space="preserve"> concerns as to the reasonableness of this decision </w:t>
      </w:r>
      <w:r w:rsidR="00356DA3">
        <w:t xml:space="preserve">extends </w:t>
      </w:r>
      <w:r w:rsidR="00836E0A">
        <w:t xml:space="preserve">well </w:t>
      </w:r>
      <w:r w:rsidR="008069A8">
        <w:t xml:space="preserve">beyond these errors.  It suffices to </w:t>
      </w:r>
      <w:r w:rsidR="008F70BC">
        <w:t>mention</w:t>
      </w:r>
      <w:r w:rsidR="008069A8">
        <w:t xml:space="preserve"> </w:t>
      </w:r>
      <w:r w:rsidR="00C81075">
        <w:t>some</w:t>
      </w:r>
      <w:r w:rsidR="008069A8">
        <w:t xml:space="preserve"> examples. </w:t>
      </w:r>
    </w:p>
    <w:p w:rsidR="00E25DCE" w:rsidRPr="008069A8" w:rsidRDefault="006A25D0" w:rsidP="008069A8">
      <w:pPr>
        <w:pStyle w:val="ParaNumbering"/>
      </w:pPr>
      <w:r>
        <w:t>First</w:t>
      </w:r>
      <w:r w:rsidR="008069A8">
        <w:t xml:space="preserve">, the AAT at no point identifies any evidence which might explain why Mr R and 15 other </w:t>
      </w:r>
      <w:r w:rsidR="00E822FE">
        <w:t>witnesses</w:t>
      </w:r>
      <w:r w:rsidR="00C36164">
        <w:t xml:space="preserve"> </w:t>
      </w:r>
      <w:r w:rsidR="008069A8">
        <w:t>might wish to assist the appellant to remain in Australia if the appellant is not in fact homosexual</w:t>
      </w:r>
      <w:r w:rsidR="00852A80">
        <w:t>,</w:t>
      </w:r>
      <w:r w:rsidR="008069A8">
        <w:t xml:space="preserve"> and indeed </w:t>
      </w:r>
      <w:r w:rsidR="00852A80">
        <w:t xml:space="preserve">the AAT </w:t>
      </w:r>
      <w:r w:rsidR="008069A8">
        <w:t xml:space="preserve">expressly disavows any need to </w:t>
      </w:r>
      <w:r w:rsidR="004E1F6F">
        <w:t>“</w:t>
      </w:r>
      <w:r w:rsidR="008069A8" w:rsidRPr="004E1F6F">
        <w:rPr>
          <w:i/>
        </w:rPr>
        <w:t>speculate</w:t>
      </w:r>
      <w:r w:rsidR="004E1F6F">
        <w:t>”</w:t>
      </w:r>
      <w:r w:rsidR="008069A8">
        <w:t xml:space="preserve"> on Mr R’s </w:t>
      </w:r>
      <w:r w:rsidR="00836E0A">
        <w:t xml:space="preserve">or Mr G’s reasons </w:t>
      </w:r>
      <w:r w:rsidR="008069A8">
        <w:t xml:space="preserve">for assisting the </w:t>
      </w:r>
      <w:r w:rsidR="00AF0BDC">
        <w:t xml:space="preserve">appellant </w:t>
      </w:r>
      <w:r w:rsidR="008069A8">
        <w:t>at [65]</w:t>
      </w:r>
      <w:r w:rsidR="00836E0A">
        <w:t xml:space="preserve"> and [70]</w:t>
      </w:r>
      <w:r w:rsidR="008069A8">
        <w:t>.  Yet the emphatic certainty of the AAT’s conclusions in the absence of any such evidence is irrational given</w:t>
      </w:r>
      <w:r w:rsidR="007627DB">
        <w:t xml:space="preserve"> among other things</w:t>
      </w:r>
      <w:r w:rsidR="008069A8">
        <w:t xml:space="preserve"> </w:t>
      </w:r>
      <w:r w:rsidR="007627DB">
        <w:t>that the AAT</w:t>
      </w:r>
      <w:r w:rsidR="00C81075">
        <w:t xml:space="preserve"> accept</w:t>
      </w:r>
      <w:r w:rsidR="00AF0BDC">
        <w:t>ed</w:t>
      </w:r>
      <w:r w:rsidR="00C81075">
        <w:t xml:space="preserve"> that the </w:t>
      </w:r>
      <w:r w:rsidR="00AF0BDC">
        <w:t xml:space="preserve">appellant </w:t>
      </w:r>
      <w:r w:rsidR="007627DB">
        <w:t xml:space="preserve">may have participated in homosexual relations (at [73]), </w:t>
      </w:r>
      <w:r w:rsidR="008069A8">
        <w:t xml:space="preserve">the number of gay men who </w:t>
      </w:r>
      <w:r w:rsidR="00711CFF">
        <w:t xml:space="preserve">deposed </w:t>
      </w:r>
      <w:r w:rsidR="008069A8">
        <w:t xml:space="preserve">to </w:t>
      </w:r>
      <w:r w:rsidR="00711CFF">
        <w:t>sexual relationships with the appellant</w:t>
      </w:r>
      <w:r w:rsidR="008069A8">
        <w:t xml:space="preserve">, the lack of any connection between a number of those witnesses, the natural reluctance which many </w:t>
      </w:r>
      <w:r w:rsidR="00C36164">
        <w:t>people</w:t>
      </w:r>
      <w:r w:rsidR="008069A8">
        <w:t xml:space="preserve"> are likely to feel in giving evidence on such intensely personal matters overlaid by cultural sensitivities, </w:t>
      </w:r>
      <w:r w:rsidR="00872456">
        <w:t xml:space="preserve">the fact that some of those </w:t>
      </w:r>
      <w:r w:rsidR="00C36164">
        <w:t>witnesses</w:t>
      </w:r>
      <w:r w:rsidR="00872456">
        <w:t xml:space="preserve"> deposed to relationships with the appellant well before the appellant met Mr R, and </w:t>
      </w:r>
      <w:r w:rsidR="00461CDA">
        <w:t xml:space="preserve">documentary evidence </w:t>
      </w:r>
      <w:r w:rsidR="00872456">
        <w:t>stemming from</w:t>
      </w:r>
      <w:r w:rsidR="00461CDA">
        <w:t xml:space="preserve"> November </w:t>
      </w:r>
      <w:r w:rsidR="00872456">
        <w:t>2009</w:t>
      </w:r>
      <w:r w:rsidR="008069A8">
        <w:t xml:space="preserve">.  Equally irrational is the </w:t>
      </w:r>
      <w:r w:rsidR="00C620C6">
        <w:t xml:space="preserve">emphatic certainty of the </w:t>
      </w:r>
      <w:r w:rsidR="008069A8">
        <w:t>finding at [45] that</w:t>
      </w:r>
      <w:r w:rsidR="007E7BC5">
        <w:t xml:space="preserve"> the </w:t>
      </w:r>
      <w:r w:rsidR="006A0131">
        <w:t>AAT</w:t>
      </w:r>
      <w:r w:rsidR="007E7BC5">
        <w:t xml:space="preserve"> does not accept that</w:t>
      </w:r>
      <w:r w:rsidR="008069A8">
        <w:t xml:space="preserve"> “</w:t>
      </w:r>
      <w:r w:rsidR="008069A8" w:rsidRPr="00361D43">
        <w:rPr>
          <w:i/>
        </w:rPr>
        <w:t>the applicant’s preparedness to engage in some sexual experiences with men establishes that he is homosexual or that he will pursue a homosexual lifestyle upon his return to India … [but] establishes only his preparedness to do anything he considers necessary in order to achieve a favourable immigration outcome</w:t>
      </w:r>
      <w:r w:rsidR="008069A8">
        <w:t xml:space="preserve">”:  see also AAT reasons at [73]. </w:t>
      </w:r>
    </w:p>
    <w:p w:rsidR="00C040C2" w:rsidRPr="00C620C6" w:rsidRDefault="006A25D0" w:rsidP="00C040C2">
      <w:pPr>
        <w:pStyle w:val="ParaNumbering"/>
      </w:pPr>
      <w:r>
        <w:t>Secondly</w:t>
      </w:r>
      <w:r w:rsidR="00C040C2" w:rsidRPr="00C620C6">
        <w:t xml:space="preserve">, the AAT’s finding at [73] that the appellant had acquired some membership cards and subscribed to a gay newsletter because he became aware that the skilled visa pathway was fraught with difficulties, was based expressly on its finding that several aspects of the </w:t>
      </w:r>
      <w:r w:rsidR="00C040C2" w:rsidRPr="00C620C6">
        <w:lastRenderedPageBreak/>
        <w:t>appellant’s claims and evidence had been fabricated.  As such, they are again traceable back ultimately to the AAT’s rejection of the evidence about the relationship between Mr R and the appellant.  Yet</w:t>
      </w:r>
      <w:r w:rsidR="00852A80">
        <w:t>, for example,</w:t>
      </w:r>
      <w:r w:rsidR="00C040C2" w:rsidRPr="00C620C6">
        <w:t xml:space="preserve"> there is no logical connection between the rejection of Mr R’s evidence and the email confirmation of</w:t>
      </w:r>
      <w:r w:rsidR="007627DB">
        <w:t xml:space="preserve"> the appellant’s</w:t>
      </w:r>
      <w:r w:rsidR="00C040C2" w:rsidRPr="00C620C6">
        <w:t xml:space="preserve"> subscription </w:t>
      </w:r>
      <w:r w:rsidR="007627DB">
        <w:t>to</w:t>
      </w:r>
      <w:r w:rsidR="00C040C2" w:rsidRPr="00C620C6">
        <w:t xml:space="preserve"> a gay newsletter on 12 November 2009</w:t>
      </w:r>
      <w:r w:rsidR="00852A80">
        <w:t xml:space="preserve"> well before the appellant met Mr R</w:t>
      </w:r>
      <w:r w:rsidR="00823EB8">
        <w:t xml:space="preserve"> and indeed two years before his protection visa application </w:t>
      </w:r>
      <w:r w:rsidR="007627DB">
        <w:t xml:space="preserve">was made </w:t>
      </w:r>
      <w:r w:rsidR="00823EB8">
        <w:t>while he was still on a student visa</w:t>
      </w:r>
      <w:r w:rsidR="00C040C2" w:rsidRPr="00C620C6">
        <w:t xml:space="preserve">.  </w:t>
      </w:r>
    </w:p>
    <w:p w:rsidR="00354425" w:rsidRDefault="006A25D0" w:rsidP="00F072B1">
      <w:pPr>
        <w:pStyle w:val="ParaNumbering"/>
      </w:pPr>
      <w:r>
        <w:t>Thirdly</w:t>
      </w:r>
      <w:r w:rsidR="00C040C2">
        <w:t>,</w:t>
      </w:r>
      <w:r>
        <w:t xml:space="preserve"> as the appellant submits,</w:t>
      </w:r>
      <w:r w:rsidR="00C040C2">
        <w:t xml:space="preserve"> </w:t>
      </w:r>
      <w:r w:rsidR="00645963">
        <w:t xml:space="preserve">a consideration of the AAT’s reasons discloses that many of its findings were underpinned by </w:t>
      </w:r>
      <w:r w:rsidR="004E1F6F">
        <w:t xml:space="preserve">unexpressed </w:t>
      </w:r>
      <w:r w:rsidR="006A0131">
        <w:t xml:space="preserve">and unwarranted </w:t>
      </w:r>
      <w:r w:rsidR="00645963">
        <w:t>assumptions</w:t>
      </w:r>
      <w:r w:rsidR="004E1F6F">
        <w:t xml:space="preserve"> not based in any evidence</w:t>
      </w:r>
      <w:r w:rsidR="00645963">
        <w:t xml:space="preserve">.  </w:t>
      </w:r>
      <w:r w:rsidR="00F90482">
        <w:t xml:space="preserve">An example is </w:t>
      </w:r>
      <w:r w:rsidR="00F40446">
        <w:t>the disbelief expressed by the AAT member as to, among other things, the polygamous nature of some of the sexual relationships between the appellant and a number of the witnesses at [62]-[63]</w:t>
      </w:r>
      <w:r w:rsidR="004E1F6F">
        <w:t xml:space="preserve"> of its reasons</w:t>
      </w:r>
      <w:r w:rsidR="00F40446">
        <w:t>.  As a further example,</w:t>
      </w:r>
      <w:r w:rsidR="00C77605">
        <w:t xml:space="preserve"> in finding at [73] that “</w:t>
      </w:r>
      <w:r w:rsidR="00C77605">
        <w:rPr>
          <w:i/>
        </w:rPr>
        <w:t xml:space="preserve">the witnesses who have provided statutory declarations </w:t>
      </w:r>
      <w:r w:rsidR="003E24CB">
        <w:rPr>
          <w:i/>
        </w:rPr>
        <w:t xml:space="preserve">and </w:t>
      </w:r>
      <w:r w:rsidR="00C77605">
        <w:rPr>
          <w:i/>
        </w:rPr>
        <w:t>oral evidence to support the applicant’s applications for Protection visas have been willing to provide false evidence to support the applicant’s claims</w:t>
      </w:r>
      <w:r w:rsidR="00C77605">
        <w:t>”, the AAT took into account among other things “</w:t>
      </w:r>
      <w:r w:rsidR="00C77605">
        <w:rPr>
          <w:i/>
        </w:rPr>
        <w:t>the lack of independent witnesses until recently, despite the fact that the applicant lives in a city which has a siz</w:t>
      </w:r>
      <w:r w:rsidR="003E24CB">
        <w:rPr>
          <w:i/>
        </w:rPr>
        <w:t>e</w:t>
      </w:r>
      <w:r w:rsidR="00C77605">
        <w:rPr>
          <w:i/>
        </w:rPr>
        <w:t>able and visible homosexual population</w:t>
      </w:r>
      <w:r w:rsidR="00C77605">
        <w:t xml:space="preserve">”. </w:t>
      </w:r>
      <w:r w:rsidR="00852A80">
        <w:t xml:space="preserve"> </w:t>
      </w:r>
      <w:r w:rsidR="00C77605">
        <w:t xml:space="preserve">Among other objections that might be made to this line of reasoning, it is underpinned by an unwarranted assumption that if the appellant had truly been homosexual, he would have engaged in sexual relationships with a larger number of men.  </w:t>
      </w:r>
      <w:r w:rsidR="0021643B">
        <w:t xml:space="preserve">Furthermore, the finding shows no appreciation of the fact </w:t>
      </w:r>
      <w:r w:rsidR="004E1F6F">
        <w:t xml:space="preserve">that </w:t>
      </w:r>
      <w:r w:rsidR="0021643B">
        <w:t>a visa applicant is entitled to call evid</w:t>
      </w:r>
      <w:r w:rsidR="00510740">
        <w:t xml:space="preserve">ence afresh before the AAT, including to address issues considered dispositive by the delegate bearing in mind that the issues before the Tribunal are usually the issues </w:t>
      </w:r>
      <w:r w:rsidR="002278A1">
        <w:t>raised</w:t>
      </w:r>
      <w:r w:rsidR="00510740">
        <w:t xml:space="preserve"> </w:t>
      </w:r>
      <w:r w:rsidR="002278A1">
        <w:t xml:space="preserve">by </w:t>
      </w:r>
      <w:r w:rsidR="00510740">
        <w:t>the decision under review (</w:t>
      </w:r>
      <w:r w:rsidR="00510740">
        <w:rPr>
          <w:i/>
        </w:rPr>
        <w:t xml:space="preserve">SZBEL v Minister for Immigration and Multicultural and Indigenous Affairs </w:t>
      </w:r>
      <w:r w:rsidR="00510740">
        <w:t xml:space="preserve">[2006] HCA 63; (2006) 228 CLR 152 at [35] (Gleeson CJ, Kirby, Hayne, </w:t>
      </w:r>
      <w:proofErr w:type="spellStart"/>
      <w:r w:rsidR="00510740">
        <w:t>Callinan</w:t>
      </w:r>
      <w:proofErr w:type="spellEnd"/>
      <w:r w:rsidR="00510740">
        <w:t xml:space="preserve"> and </w:t>
      </w:r>
      <w:proofErr w:type="spellStart"/>
      <w:r w:rsidR="00510740">
        <w:t>Heydon</w:t>
      </w:r>
      <w:proofErr w:type="spellEnd"/>
      <w:r w:rsidR="00510740">
        <w:t xml:space="preserve"> JJ)</w:t>
      </w:r>
      <w:r w:rsidR="005D0A35">
        <w:t>)</w:t>
      </w:r>
      <w:r w:rsidR="00510740">
        <w:t xml:space="preserve">.  Bearing in mind that the </w:t>
      </w:r>
      <w:r w:rsidR="00DC5893">
        <w:t xml:space="preserve">further </w:t>
      </w:r>
      <w:r w:rsidR="00510740">
        <w:t xml:space="preserve">evidence was not </w:t>
      </w:r>
      <w:r w:rsidR="00E86F6B">
        <w:t>relied upon</w:t>
      </w:r>
      <w:r w:rsidR="004E1F6F">
        <w:t xml:space="preserve"> here</w:t>
      </w:r>
      <w:r w:rsidR="00E86F6B">
        <w:t xml:space="preserve"> to raise </w:t>
      </w:r>
      <w:r w:rsidR="00510740">
        <w:t xml:space="preserve">a new claim, the mere fact that the appellant </w:t>
      </w:r>
      <w:r w:rsidR="00D159FD">
        <w:t>relied upon</w:t>
      </w:r>
      <w:r w:rsidR="00510740">
        <w:t xml:space="preserve"> evidence from additional witnesses </w:t>
      </w:r>
      <w:r w:rsidR="00FB6895">
        <w:t>in</w:t>
      </w:r>
      <w:r w:rsidR="00510740">
        <w:t xml:space="preserve"> support </w:t>
      </w:r>
      <w:r w:rsidR="00FB6895">
        <w:t xml:space="preserve">of </w:t>
      </w:r>
      <w:r w:rsidR="00510740">
        <w:t>his claim</w:t>
      </w:r>
      <w:r w:rsidR="00D159FD">
        <w:t xml:space="preserve"> to be homosexual</w:t>
      </w:r>
      <w:r w:rsidR="00510740">
        <w:t xml:space="preserve"> </w:t>
      </w:r>
      <w:r w:rsidR="00D159FD">
        <w:t xml:space="preserve">in circumstances where the delegate </w:t>
      </w:r>
      <w:r w:rsidR="00FB6895">
        <w:t>did not believe that claim</w:t>
      </w:r>
      <w:r w:rsidR="00510740">
        <w:t xml:space="preserve">, does not logically </w:t>
      </w:r>
      <w:r w:rsidR="00D159FD">
        <w:t xml:space="preserve">suggest </w:t>
      </w:r>
      <w:r w:rsidR="00510740">
        <w:t xml:space="preserve">that </w:t>
      </w:r>
      <w:r w:rsidR="005B6C8F">
        <w:t xml:space="preserve">the additional witnesses were giving false evidence.  </w:t>
      </w:r>
    </w:p>
    <w:p w:rsidR="00E636DC" w:rsidRDefault="00E636DC" w:rsidP="00E636DC">
      <w:pPr>
        <w:pStyle w:val="Heading5"/>
      </w:pPr>
      <w:bookmarkStart w:id="34" w:name="_Ref499634445"/>
      <w:r>
        <w:t xml:space="preserve">ALLEGED INADEQUACY OF REASONS BELOW </w:t>
      </w:r>
      <w:bookmarkEnd w:id="34"/>
    </w:p>
    <w:p w:rsidR="00384C47" w:rsidRDefault="00A2098E" w:rsidP="007D3314">
      <w:pPr>
        <w:pStyle w:val="ParaNumbering"/>
      </w:pPr>
      <w:r>
        <w:t>Ultimately it is unnecessary to consider ground 6</w:t>
      </w:r>
      <w:r w:rsidR="00384C47">
        <w:t xml:space="preserve"> of the notice of appeal</w:t>
      </w:r>
      <w:r>
        <w:t xml:space="preserve">, given that the appeal must be allowed </w:t>
      </w:r>
      <w:r w:rsidR="00384C47">
        <w:t>in any event</w:t>
      </w:r>
      <w:r>
        <w:t xml:space="preserve">.  Nonetheless, </w:t>
      </w:r>
      <w:r w:rsidR="00384C47">
        <w:t>it is helpful briefly to address this ground,</w:t>
      </w:r>
      <w:r w:rsidR="00852A80">
        <w:t xml:space="preserve"> </w:t>
      </w:r>
      <w:r w:rsidR="00384C47">
        <w:t xml:space="preserve">given the deficiencies in the reasons </w:t>
      </w:r>
      <w:r w:rsidR="00BF3F8F">
        <w:t xml:space="preserve">of the primary judge, as outlined </w:t>
      </w:r>
      <w:r w:rsidR="00384C47">
        <w:t xml:space="preserve">below.  </w:t>
      </w:r>
    </w:p>
    <w:p w:rsidR="00FB7E5F" w:rsidRDefault="00384C47" w:rsidP="007D3314">
      <w:pPr>
        <w:pStyle w:val="ParaNumbering"/>
      </w:pPr>
      <w:r>
        <w:lastRenderedPageBreak/>
        <w:t>The</w:t>
      </w:r>
      <w:r w:rsidR="009C0D57">
        <w:t xml:space="preserve"> requirement to give reasons is an incident of the judicial process</w:t>
      </w:r>
      <w:r w:rsidR="00950B92">
        <w:t xml:space="preserve"> and </w:t>
      </w:r>
      <w:r w:rsidR="00BF3F8F">
        <w:t xml:space="preserve">reasons </w:t>
      </w:r>
      <w:r w:rsidR="00950B92">
        <w:t xml:space="preserve">ought to be given </w:t>
      </w:r>
      <w:r w:rsidR="00336021">
        <w:t xml:space="preserve">in </w:t>
      </w:r>
      <w:r w:rsidR="00950B92">
        <w:t>any case in which an appeal lies from the decision</w:t>
      </w:r>
      <w:r w:rsidR="00FB7E5F">
        <w:t xml:space="preserve"> in order to allow that </w:t>
      </w:r>
      <w:r w:rsidR="00BF3F8F">
        <w:t xml:space="preserve">right of </w:t>
      </w:r>
      <w:r w:rsidR="00FB7E5F">
        <w:t>appeal to be exercised</w:t>
      </w:r>
      <w:r w:rsidR="009C0D57">
        <w:t xml:space="preserve">:  </w:t>
      </w:r>
      <w:r w:rsidR="009C0D57">
        <w:rPr>
          <w:i/>
        </w:rPr>
        <w:t xml:space="preserve">Public Service Board of NSW v Osmond </w:t>
      </w:r>
      <w:r w:rsidR="009C0D57">
        <w:t>(1986</w:t>
      </w:r>
      <w:r w:rsidR="002973A7">
        <w:t>) 159 CLR 656 at 667 (Gibbs CJ)</w:t>
      </w:r>
      <w:r w:rsidR="009C0D57">
        <w:t>.</w:t>
      </w:r>
      <w:r w:rsidR="00950B92" w:rsidRPr="00950B92">
        <w:rPr>
          <w:i/>
        </w:rPr>
        <w:t xml:space="preserve"> </w:t>
      </w:r>
      <w:r w:rsidR="00950B92">
        <w:rPr>
          <w:i/>
        </w:rPr>
        <w:t xml:space="preserve"> </w:t>
      </w:r>
      <w:r w:rsidR="00FB7E5F">
        <w:t xml:space="preserve">As Mahoney JA stated in </w:t>
      </w:r>
      <w:proofErr w:type="spellStart"/>
      <w:r w:rsidR="00FB7E5F">
        <w:rPr>
          <w:i/>
        </w:rPr>
        <w:t>Soulemezis</w:t>
      </w:r>
      <w:proofErr w:type="spellEnd"/>
      <w:r w:rsidR="00FB7E5F">
        <w:rPr>
          <w:i/>
        </w:rPr>
        <w:t xml:space="preserve"> v Dudley </w:t>
      </w:r>
      <w:r w:rsidR="00DE5834">
        <w:rPr>
          <w:i/>
        </w:rPr>
        <w:t>(</w:t>
      </w:r>
      <w:r w:rsidR="00FB7E5F">
        <w:rPr>
          <w:i/>
        </w:rPr>
        <w:t>Holdings</w:t>
      </w:r>
      <w:r w:rsidR="00DE5834">
        <w:rPr>
          <w:i/>
        </w:rPr>
        <w:t>) Pty Ltd</w:t>
      </w:r>
      <w:r w:rsidR="00FB7E5F">
        <w:rPr>
          <w:i/>
        </w:rPr>
        <w:t xml:space="preserve"> </w:t>
      </w:r>
      <w:r w:rsidR="00FB7E5F">
        <w:t>(1987) 10 NSWLR 247 at 273:</w:t>
      </w:r>
    </w:p>
    <w:p w:rsidR="00950B92" w:rsidRPr="00FB7E5F" w:rsidRDefault="00852A80" w:rsidP="00FB7E5F">
      <w:pPr>
        <w:pStyle w:val="Quote1"/>
      </w:pPr>
      <w:r>
        <w:t>W</w:t>
      </w:r>
      <w:r w:rsidR="00FB7E5F">
        <w:t xml:space="preserve">here, in the decision of an ordinary dispute, reasons are necessary, they are necessary because of the expectation that, being a judicial decision, a sufficient explanation will be given of why the order was made. And, in my opinion, it will ordinarily be sufficient if </w:t>
      </w:r>
      <w:r w:rsidR="00FB7E5F">
        <w:rPr>
          <w:i/>
        </w:rPr>
        <w:t xml:space="preserve">… </w:t>
      </w:r>
      <w:r w:rsidR="00FB7E5F" w:rsidRPr="00FB7E5F">
        <w:t>by his</w:t>
      </w:r>
      <w:r w:rsidR="00CB49DC">
        <w:t xml:space="preserve"> [or her]</w:t>
      </w:r>
      <w:r w:rsidR="00FB7E5F" w:rsidRPr="00FB7E5F">
        <w:t xml:space="preserve"> reasons the judge apprises the parties of the broad outline and constituent facts</w:t>
      </w:r>
      <w:r w:rsidR="00322FD0">
        <w:t xml:space="preserve"> of the reasoning on which he </w:t>
      </w:r>
      <w:r w:rsidR="00CB49DC">
        <w:t xml:space="preserve">[or she] </w:t>
      </w:r>
      <w:r w:rsidR="00322FD0">
        <w:t>has</w:t>
      </w:r>
      <w:r w:rsidR="00FB7E5F" w:rsidRPr="00FB7E5F">
        <w:t xml:space="preserve"> acted.</w:t>
      </w:r>
    </w:p>
    <w:p w:rsidR="00384C47" w:rsidRDefault="00384C47" w:rsidP="00384C47">
      <w:pPr>
        <w:pStyle w:val="ParaNumbering"/>
      </w:pPr>
      <w:r>
        <w:t>However, the</w:t>
      </w:r>
      <w:r w:rsidR="00FB7E5F">
        <w:t xml:space="preserve"> reasoning on the basis of which the </w:t>
      </w:r>
      <w:r>
        <w:t xml:space="preserve">primary judge </w:t>
      </w:r>
      <w:r w:rsidR="00FB7E5F">
        <w:t>reached his decision</w:t>
      </w:r>
      <w:r w:rsidR="00852A80">
        <w:t xml:space="preserve"> in this case</w:t>
      </w:r>
      <w:r w:rsidR="00FB7E5F">
        <w:t xml:space="preserve"> is not revealed by his reasons.</w:t>
      </w:r>
      <w:r>
        <w:t xml:space="preserve">  The primary judge addressed the grounds of judicial review </w:t>
      </w:r>
      <w:r w:rsidR="007817DB">
        <w:t xml:space="preserve">by </w:t>
      </w:r>
      <w:r>
        <w:t xml:space="preserve">stating his conclusion for rejecting </w:t>
      </w:r>
      <w:r w:rsidR="007817DB">
        <w:t>each</w:t>
      </w:r>
      <w:r>
        <w:t xml:space="preserve"> ground at such a high level of generality that the basis for the conclusion is not exposed; nor do the reasons disclose that the primary judge considered fundamental aspects of the appellant’s case such as, for example, the challenge to the dismissal by the AAT of the evidence of the 16 witnesses.  To find, for example, that adverse findings were open and cannot be said to lack an evident and intelligible justification is merely to assert a conclusion:  see above </w:t>
      </w:r>
      <w:r w:rsidRPr="00A26D9C">
        <w:t>at [</w:t>
      </w:r>
      <w:r w:rsidR="00943FAF" w:rsidRPr="00A26D9C">
        <w:fldChar w:fldCharType="begin"/>
      </w:r>
      <w:r w:rsidR="00943FAF" w:rsidRPr="00A26D9C">
        <w:instrText xml:space="preserve"> REF _Ref499652236 \r \h  \* MERGEFORMAT </w:instrText>
      </w:r>
      <w:r w:rsidR="00943FAF" w:rsidRPr="00A26D9C">
        <w:fldChar w:fldCharType="separate"/>
      </w:r>
      <w:r w:rsidR="004639CA">
        <w:t>25</w:t>
      </w:r>
      <w:r w:rsidR="00943FAF" w:rsidRPr="00A26D9C">
        <w:fldChar w:fldCharType="end"/>
      </w:r>
      <w:r w:rsidRPr="00A26D9C">
        <w:t>].</w:t>
      </w:r>
      <w:r w:rsidR="007817DB">
        <w:t xml:space="preserve">  </w:t>
      </w:r>
    </w:p>
    <w:p w:rsidR="00E636DC" w:rsidRDefault="007D3314" w:rsidP="00E636DC">
      <w:pPr>
        <w:pStyle w:val="Heading5"/>
      </w:pPr>
      <w:bookmarkStart w:id="35" w:name="_Ref499634446"/>
      <w:r>
        <w:t>CONCLUSION</w:t>
      </w:r>
      <w:bookmarkEnd w:id="35"/>
    </w:p>
    <w:p w:rsidR="00E636DC" w:rsidRDefault="007817DB" w:rsidP="00E636DC">
      <w:pPr>
        <w:pStyle w:val="ParaNumbering"/>
      </w:pPr>
      <w:r>
        <w:t>F</w:t>
      </w:r>
      <w:r w:rsidR="00FB7E5F">
        <w:t>or the reasons given above, the appeal must be allowed with costs and the matter remitted to the AAT for re</w:t>
      </w:r>
      <w:r w:rsidR="00852A80">
        <w:t>-</w:t>
      </w:r>
      <w:r w:rsidR="00FB7E5F">
        <w:t>determination according to law by a different member of the Tribunal.</w:t>
      </w:r>
      <w:r w:rsidR="00852A80">
        <w:t xml:space="preserve">  The appellant should be awarded his costs of the appeal and in the Court below. </w:t>
      </w:r>
    </w:p>
    <w:p w:rsidR="00EB1414" w:rsidRDefault="00EB1414" w:rsidP="00815065">
      <w:pPr>
        <w:pStyle w:val="BodyText"/>
      </w:pPr>
      <w:bookmarkStart w:id="36" w:name="Certification"/>
    </w:p>
    <w:tbl>
      <w:tblPr>
        <w:tblW w:w="0" w:type="auto"/>
        <w:tblLook w:val="04A0" w:firstRow="1" w:lastRow="0" w:firstColumn="1" w:lastColumn="0" w:noHBand="0" w:noVBand="1"/>
      </w:tblPr>
      <w:tblGrid>
        <w:gridCol w:w="3794"/>
      </w:tblGrid>
      <w:tr w:rsidR="00EB1414" w:rsidRPr="00EB1414">
        <w:tc>
          <w:tcPr>
            <w:tcW w:w="3794" w:type="dxa"/>
            <w:shd w:val="clear" w:color="auto" w:fill="auto"/>
          </w:tcPr>
          <w:p w:rsidR="00EB1414" w:rsidRPr="00EB1414" w:rsidRDefault="00EB1414" w:rsidP="00EB1414">
            <w:pPr>
              <w:pStyle w:val="Normal1linespace"/>
            </w:pPr>
            <w:r w:rsidRPr="00EB1414">
              <w:t xml:space="preserve">I certify that the preceding </w:t>
            </w:r>
            <w:bookmarkStart w:id="37" w:name="NumberWord"/>
            <w:r>
              <w:t>forty-nine</w:t>
            </w:r>
            <w:bookmarkEnd w:id="37"/>
            <w:r w:rsidRPr="00EB1414">
              <w:t xml:space="preserve"> (</w:t>
            </w:r>
            <w:bookmarkStart w:id="38" w:name="NumberNumeral"/>
            <w:r>
              <w:t>49</w:t>
            </w:r>
            <w:bookmarkEnd w:id="38"/>
            <w:r w:rsidRPr="00EB1414">
              <w:t xml:space="preserve">) numbered </w:t>
            </w:r>
            <w:bookmarkStart w:id="39" w:name="CertPara"/>
            <w:r>
              <w:t>paragraphs are</w:t>
            </w:r>
            <w:bookmarkEnd w:id="39"/>
            <w:r w:rsidRPr="00EB1414">
              <w:t xml:space="preserve"> a true copy of the Reasons for Judgment herein of the Honourable </w:t>
            </w:r>
            <w:bookmarkStart w:id="40" w:name="Justice"/>
            <w:r>
              <w:t>Justice</w:t>
            </w:r>
            <w:r w:rsidR="00032117">
              <w:t>s</w:t>
            </w:r>
            <w:r>
              <w:t xml:space="preserve"> Kenny, Kerr and Perry</w:t>
            </w:r>
            <w:bookmarkEnd w:id="40"/>
            <w:r w:rsidRPr="00EB1414">
              <w:t>.</w:t>
            </w:r>
          </w:p>
        </w:tc>
      </w:tr>
    </w:tbl>
    <w:p w:rsidR="00EB1414" w:rsidRDefault="00EB1414" w:rsidP="00815065">
      <w:pPr>
        <w:pStyle w:val="BodyText"/>
      </w:pPr>
    </w:p>
    <w:p w:rsidR="00EB1414" w:rsidRDefault="00EB1414" w:rsidP="00815065">
      <w:pPr>
        <w:pStyle w:val="BodyText"/>
      </w:pPr>
    </w:p>
    <w:p w:rsidR="00EB1414" w:rsidRDefault="00EB1414" w:rsidP="00815065">
      <w:pPr>
        <w:pStyle w:val="BodyText"/>
      </w:pPr>
      <w:r>
        <w:t>Associate:</w:t>
      </w:r>
    </w:p>
    <w:p w:rsidR="00EB1414" w:rsidRDefault="00EB1414" w:rsidP="00815065">
      <w:pPr>
        <w:pStyle w:val="BodyText"/>
      </w:pPr>
    </w:p>
    <w:p w:rsidR="00EB1414" w:rsidRDefault="00EB1414" w:rsidP="00815065">
      <w:pPr>
        <w:pStyle w:val="BodyText"/>
        <w:tabs>
          <w:tab w:val="left" w:pos="1134"/>
        </w:tabs>
      </w:pPr>
      <w:r>
        <w:t>Dated:</w:t>
      </w:r>
      <w:r>
        <w:tab/>
      </w:r>
      <w:bookmarkStart w:id="41" w:name="CertifyDated"/>
      <w:r>
        <w:t>15 January 2018</w:t>
      </w:r>
      <w:bookmarkEnd w:id="41"/>
    </w:p>
    <w:bookmarkEnd w:id="36"/>
    <w:p w:rsidR="00EB1414" w:rsidRPr="00E636DC" w:rsidRDefault="00EB1414" w:rsidP="00EB1414">
      <w:pPr>
        <w:pStyle w:val="BodyText"/>
      </w:pPr>
    </w:p>
    <w:sectPr w:rsidR="00EB1414" w:rsidRPr="00E636DC">
      <w:headerReference w:type="even" r:id="rId12"/>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8A8" w:rsidRDefault="004C58A8">
      <w:pPr>
        <w:spacing w:line="20" w:lineRule="exact"/>
      </w:pPr>
    </w:p>
    <w:p w:rsidR="004C58A8" w:rsidRDefault="004C58A8"/>
    <w:p w:rsidR="004C58A8" w:rsidRDefault="004C58A8"/>
  </w:endnote>
  <w:endnote w:type="continuationSeparator" w:id="0">
    <w:p w:rsidR="004C58A8" w:rsidRDefault="004C58A8">
      <w:r>
        <w:t xml:space="preserve"> </w:t>
      </w:r>
    </w:p>
    <w:p w:rsidR="004C58A8" w:rsidRDefault="004C58A8"/>
    <w:p w:rsidR="004C58A8" w:rsidRDefault="004C58A8"/>
  </w:endnote>
  <w:endnote w:type="continuationNotice" w:id="1">
    <w:p w:rsidR="004C58A8" w:rsidRDefault="004C58A8">
      <w:r>
        <w:t xml:space="preserve"> </w:t>
      </w:r>
    </w:p>
    <w:p w:rsidR="004C58A8" w:rsidRDefault="004C58A8"/>
    <w:p w:rsidR="004C58A8" w:rsidRDefault="004C5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Io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B1" w:rsidRDefault="004B05B1">
    <w:pPr>
      <w:pStyle w:val="Footer"/>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B1" w:rsidRPr="00624520" w:rsidRDefault="004B05B1" w:rsidP="00624520">
    <w:pPr>
      <w:pStyle w:val="Footer"/>
      <w:jc w:val="center"/>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B1" w:rsidRDefault="004B05B1" w:rsidP="002F1E49">
    <w:pPr>
      <w:pStyle w:val="Footer"/>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8A8" w:rsidRDefault="004C58A8"/>
    <w:p w:rsidR="004C58A8" w:rsidRDefault="004C58A8"/>
    <w:p w:rsidR="004C58A8" w:rsidRDefault="004C58A8"/>
  </w:footnote>
  <w:footnote w:type="continuationSeparator" w:id="0">
    <w:p w:rsidR="004C58A8" w:rsidRDefault="004C58A8">
      <w:r>
        <w:continuationSeparator/>
      </w:r>
    </w:p>
    <w:p w:rsidR="004C58A8" w:rsidRDefault="004C58A8"/>
    <w:p w:rsidR="004C58A8" w:rsidRDefault="004C58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B1" w:rsidRDefault="004B05B1">
    <w:pPr>
      <w:tabs>
        <w:tab w:val="center" w:pos="4512"/>
      </w:tabs>
      <w:suppressAutoHyphens/>
    </w:pPr>
    <w:r>
      <w:tab/>
      <w:t xml:space="preserve">- </w:t>
    </w:r>
    <w:r>
      <w:fldChar w:fldCharType="begin"/>
    </w:r>
    <w:r>
      <w:instrText xml:space="preserve"> PAGE   \* MERGEFORMAT </w:instrText>
    </w:r>
    <w:r>
      <w:fldChar w:fldCharType="separate"/>
    </w:r>
    <w:r w:rsidR="009C5BE1">
      <w:rPr>
        <w:noProof/>
      </w:rPr>
      <w:t>ii</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B1" w:rsidRDefault="004B05B1">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B1" w:rsidRDefault="004B05B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B1" w:rsidRDefault="004B05B1">
    <w:pPr>
      <w:tabs>
        <w:tab w:val="center" w:pos="4512"/>
      </w:tabs>
      <w:suppressAutoHyphens/>
    </w:pPr>
    <w:r>
      <w:tab/>
      <w:t xml:space="preserve">- </w:t>
    </w:r>
    <w:r>
      <w:fldChar w:fldCharType="begin"/>
    </w:r>
    <w:r>
      <w:instrText>page \* arabic</w:instrText>
    </w:r>
    <w:r>
      <w:fldChar w:fldCharType="separate"/>
    </w:r>
    <w:r w:rsidR="00270CF3">
      <w:rPr>
        <w:noProof/>
      </w:rPr>
      <w:t>15</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B1" w:rsidRDefault="004B05B1">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4">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nsid w:val="494817A7"/>
    <w:multiLevelType w:val="multilevel"/>
    <w:tmpl w:val="0F0EC90E"/>
    <w:numStyleLink w:val="FCListNo"/>
  </w:abstractNum>
  <w:abstractNum w:abstractNumId="17">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7"/>
  </w:num>
  <w:num w:numId="15">
    <w:abstractNumId w:val="18"/>
  </w:num>
  <w:num w:numId="16">
    <w:abstractNumId w:val="21"/>
  </w:num>
  <w:num w:numId="17">
    <w:abstractNumId w:val="12"/>
  </w:num>
  <w:num w:numId="18">
    <w:abstractNumId w:val="20"/>
  </w:num>
  <w:num w:numId="19">
    <w:abstractNumId w:val="10"/>
  </w:num>
  <w:num w:numId="20">
    <w:abstractNumId w:val="15"/>
  </w:num>
  <w:num w:numId="21">
    <w:abstractNumId w:val="16"/>
  </w:num>
  <w:num w:numId="22">
    <w:abstractNumId w:val="14"/>
  </w:num>
  <w:num w:numId="23">
    <w:abstractNumId w:val="14"/>
  </w:num>
  <w:num w:numId="2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ellant" w:val="DAO16"/>
    <w:docVar w:name="CounselParties" w:val="Responde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gnword-docGUID" w:val="{BEA434E3-FC19-435B-97AE-D4594637A1D6}"/>
    <w:docVar w:name="dgnword-eventsink" w:val="205402712"/>
    <w:docVar w:name="Division" w:val="General Division"/>
    <w:docVar w:name="DocCreated" w:val="True"/>
    <w:docVar w:name="EntryList" w:val="Solicitor for the Appellant"/>
    <w:docVar w:name="FileNumbers" w:val="NSD584/2017"/>
    <w:docVar w:name="HearingDate" w:val="16 August 2017"/>
    <w:docVar w:name="Initiators" w:val="(and another named in the Schedule)"/>
    <w:docVar w:name="Judgdate" w:val="15 January 2018"/>
    <w:docVar w:name="Judge" w:val="Kenny, Kerr and Perry"/>
    <w:docVar w:name="Justices" w:val="Justice"/>
    <w:docVar w:name="lstEntryList" w:val="1"/>
    <w:docVar w:name="myEntryList" w:val="Counsel for the Appellant=Mr A Byrne|Solicitor for the Appellant=Myvisa Lawyers|Counsel for the Respondents=Ms R Francois|Solicitor for the Respondents=Clayton Utz"/>
    <w:docVar w:name="NSD" w:val="NSD "/>
    <w:docVar w:name="NumApps" w:val="1"/>
    <w:docVar w:name="NumApps_" w:val="2"/>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racticeArea" w:val="[none]"/>
    <w:docVar w:name="RESAndAnother" w:val="True"/>
    <w:docVar w:name="RESAndOthers" w:val="False"/>
    <w:docVar w:name="Respondent" w:val="Minister for Immigration and Border Protection|Administrative Appeals Tribunal"/>
    <w:docVar w:name="ResState" w:val="New South Wales"/>
    <w:docVar w:name="SubArea" w:val="[none]"/>
  </w:docVars>
  <w:rsids>
    <w:rsidRoot w:val="00E636DC"/>
    <w:rsid w:val="0000100C"/>
    <w:rsid w:val="00003F01"/>
    <w:rsid w:val="0001041E"/>
    <w:rsid w:val="0001469E"/>
    <w:rsid w:val="00015220"/>
    <w:rsid w:val="00015993"/>
    <w:rsid w:val="00022289"/>
    <w:rsid w:val="000245A3"/>
    <w:rsid w:val="00032117"/>
    <w:rsid w:val="00032F9F"/>
    <w:rsid w:val="00041C07"/>
    <w:rsid w:val="00045BB7"/>
    <w:rsid w:val="00052AB7"/>
    <w:rsid w:val="00055719"/>
    <w:rsid w:val="0005641B"/>
    <w:rsid w:val="000579BE"/>
    <w:rsid w:val="00061768"/>
    <w:rsid w:val="00066FF2"/>
    <w:rsid w:val="00071756"/>
    <w:rsid w:val="000739A9"/>
    <w:rsid w:val="00074C2C"/>
    <w:rsid w:val="00081497"/>
    <w:rsid w:val="00083AB0"/>
    <w:rsid w:val="000876A0"/>
    <w:rsid w:val="00094863"/>
    <w:rsid w:val="00097567"/>
    <w:rsid w:val="000A2D38"/>
    <w:rsid w:val="000A2E76"/>
    <w:rsid w:val="000A4807"/>
    <w:rsid w:val="000A4BE4"/>
    <w:rsid w:val="000B1939"/>
    <w:rsid w:val="000B487A"/>
    <w:rsid w:val="000C023E"/>
    <w:rsid w:val="000C0E55"/>
    <w:rsid w:val="000C28B9"/>
    <w:rsid w:val="000C5195"/>
    <w:rsid w:val="000C62EF"/>
    <w:rsid w:val="000D2137"/>
    <w:rsid w:val="000D3FD2"/>
    <w:rsid w:val="000D5996"/>
    <w:rsid w:val="000D6870"/>
    <w:rsid w:val="000E24AD"/>
    <w:rsid w:val="000E5E25"/>
    <w:rsid w:val="000E7B56"/>
    <w:rsid w:val="000E7BAE"/>
    <w:rsid w:val="000F133D"/>
    <w:rsid w:val="000F2813"/>
    <w:rsid w:val="00103015"/>
    <w:rsid w:val="00103148"/>
    <w:rsid w:val="0010536B"/>
    <w:rsid w:val="0011145C"/>
    <w:rsid w:val="001128BD"/>
    <w:rsid w:val="0011419D"/>
    <w:rsid w:val="00114667"/>
    <w:rsid w:val="00114B8D"/>
    <w:rsid w:val="00121D60"/>
    <w:rsid w:val="0012266B"/>
    <w:rsid w:val="00132054"/>
    <w:rsid w:val="00133718"/>
    <w:rsid w:val="00137E63"/>
    <w:rsid w:val="00154205"/>
    <w:rsid w:val="001727A4"/>
    <w:rsid w:val="0017376C"/>
    <w:rsid w:val="001738AB"/>
    <w:rsid w:val="00175EAA"/>
    <w:rsid w:val="001765E0"/>
    <w:rsid w:val="00177759"/>
    <w:rsid w:val="001841BF"/>
    <w:rsid w:val="00185BEB"/>
    <w:rsid w:val="00185E6B"/>
    <w:rsid w:val="00187BBC"/>
    <w:rsid w:val="001928F7"/>
    <w:rsid w:val="001932F3"/>
    <w:rsid w:val="001A4309"/>
    <w:rsid w:val="001A7EC2"/>
    <w:rsid w:val="001B1053"/>
    <w:rsid w:val="001B11A7"/>
    <w:rsid w:val="001B14AC"/>
    <w:rsid w:val="001B7940"/>
    <w:rsid w:val="001C21DD"/>
    <w:rsid w:val="001C37CA"/>
    <w:rsid w:val="001D017A"/>
    <w:rsid w:val="001D4303"/>
    <w:rsid w:val="001D5693"/>
    <w:rsid w:val="001D6746"/>
    <w:rsid w:val="001E3B49"/>
    <w:rsid w:val="001E5346"/>
    <w:rsid w:val="001E7388"/>
    <w:rsid w:val="001F13DD"/>
    <w:rsid w:val="001F2DBC"/>
    <w:rsid w:val="0020262C"/>
    <w:rsid w:val="0021643B"/>
    <w:rsid w:val="00224537"/>
    <w:rsid w:val="00226BF7"/>
    <w:rsid w:val="002278A1"/>
    <w:rsid w:val="0023586D"/>
    <w:rsid w:val="00235956"/>
    <w:rsid w:val="00236273"/>
    <w:rsid w:val="00240CCA"/>
    <w:rsid w:val="00242D76"/>
    <w:rsid w:val="00243947"/>
    <w:rsid w:val="0024630E"/>
    <w:rsid w:val="00247C9A"/>
    <w:rsid w:val="0025160C"/>
    <w:rsid w:val="002535D0"/>
    <w:rsid w:val="002539B3"/>
    <w:rsid w:val="002541B8"/>
    <w:rsid w:val="00257C3E"/>
    <w:rsid w:val="002602C2"/>
    <w:rsid w:val="002631DB"/>
    <w:rsid w:val="002666C9"/>
    <w:rsid w:val="00270136"/>
    <w:rsid w:val="00270CF3"/>
    <w:rsid w:val="00274F5B"/>
    <w:rsid w:val="00280836"/>
    <w:rsid w:val="00282E1A"/>
    <w:rsid w:val="0029113B"/>
    <w:rsid w:val="00292BC6"/>
    <w:rsid w:val="002934C0"/>
    <w:rsid w:val="002946C1"/>
    <w:rsid w:val="002973A7"/>
    <w:rsid w:val="002979CF"/>
    <w:rsid w:val="002A017B"/>
    <w:rsid w:val="002A1B50"/>
    <w:rsid w:val="002A51E8"/>
    <w:rsid w:val="002B0E91"/>
    <w:rsid w:val="002B54C8"/>
    <w:rsid w:val="002B6779"/>
    <w:rsid w:val="002B71C0"/>
    <w:rsid w:val="002B7A34"/>
    <w:rsid w:val="002C31AD"/>
    <w:rsid w:val="002C69BE"/>
    <w:rsid w:val="002C7385"/>
    <w:rsid w:val="002C79C0"/>
    <w:rsid w:val="002D1FE3"/>
    <w:rsid w:val="002D2DBB"/>
    <w:rsid w:val="002D54A6"/>
    <w:rsid w:val="002E193A"/>
    <w:rsid w:val="002E459A"/>
    <w:rsid w:val="002E5776"/>
    <w:rsid w:val="002E6A7A"/>
    <w:rsid w:val="002F1E49"/>
    <w:rsid w:val="002F4E9C"/>
    <w:rsid w:val="003065E2"/>
    <w:rsid w:val="0031256C"/>
    <w:rsid w:val="00314D6C"/>
    <w:rsid w:val="0031593F"/>
    <w:rsid w:val="00316D2A"/>
    <w:rsid w:val="00322A7C"/>
    <w:rsid w:val="00322FD0"/>
    <w:rsid w:val="00325224"/>
    <w:rsid w:val="00330063"/>
    <w:rsid w:val="00332265"/>
    <w:rsid w:val="00333A8E"/>
    <w:rsid w:val="003359D1"/>
    <w:rsid w:val="00336021"/>
    <w:rsid w:val="00337B4A"/>
    <w:rsid w:val="003402D3"/>
    <w:rsid w:val="00343ABC"/>
    <w:rsid w:val="00344858"/>
    <w:rsid w:val="003463FE"/>
    <w:rsid w:val="00354425"/>
    <w:rsid w:val="003546DB"/>
    <w:rsid w:val="003554B3"/>
    <w:rsid w:val="00356632"/>
    <w:rsid w:val="00356DA3"/>
    <w:rsid w:val="00361D43"/>
    <w:rsid w:val="0036352C"/>
    <w:rsid w:val="00363BA2"/>
    <w:rsid w:val="00365817"/>
    <w:rsid w:val="0036682A"/>
    <w:rsid w:val="00376DCB"/>
    <w:rsid w:val="00377B0F"/>
    <w:rsid w:val="00380A07"/>
    <w:rsid w:val="003845A9"/>
    <w:rsid w:val="00384C47"/>
    <w:rsid w:val="00390883"/>
    <w:rsid w:val="003922F8"/>
    <w:rsid w:val="00395B24"/>
    <w:rsid w:val="003A2D38"/>
    <w:rsid w:val="003A7ECC"/>
    <w:rsid w:val="003B0759"/>
    <w:rsid w:val="003B2C72"/>
    <w:rsid w:val="003C1333"/>
    <w:rsid w:val="003C1CA8"/>
    <w:rsid w:val="003C20FF"/>
    <w:rsid w:val="003D2386"/>
    <w:rsid w:val="003D2650"/>
    <w:rsid w:val="003D560C"/>
    <w:rsid w:val="003E24CB"/>
    <w:rsid w:val="003E5262"/>
    <w:rsid w:val="003E5874"/>
    <w:rsid w:val="003F03E8"/>
    <w:rsid w:val="003F193E"/>
    <w:rsid w:val="003F25E1"/>
    <w:rsid w:val="003F34F1"/>
    <w:rsid w:val="00411AE8"/>
    <w:rsid w:val="00413B74"/>
    <w:rsid w:val="00413E21"/>
    <w:rsid w:val="00413ECF"/>
    <w:rsid w:val="00420F12"/>
    <w:rsid w:val="004215E1"/>
    <w:rsid w:val="00424054"/>
    <w:rsid w:val="004249A8"/>
    <w:rsid w:val="00430C83"/>
    <w:rsid w:val="004340D5"/>
    <w:rsid w:val="00435C5F"/>
    <w:rsid w:val="00437E4C"/>
    <w:rsid w:val="0044076E"/>
    <w:rsid w:val="00441E98"/>
    <w:rsid w:val="00444A08"/>
    <w:rsid w:val="00446CDE"/>
    <w:rsid w:val="004512B2"/>
    <w:rsid w:val="004532F7"/>
    <w:rsid w:val="00454468"/>
    <w:rsid w:val="00461CDA"/>
    <w:rsid w:val="004630B7"/>
    <w:rsid w:val="004639CA"/>
    <w:rsid w:val="00467AE5"/>
    <w:rsid w:val="00472027"/>
    <w:rsid w:val="004804CF"/>
    <w:rsid w:val="00481571"/>
    <w:rsid w:val="00484962"/>
    <w:rsid w:val="00484F6D"/>
    <w:rsid w:val="00487A1C"/>
    <w:rsid w:val="0049338A"/>
    <w:rsid w:val="0049417F"/>
    <w:rsid w:val="00495E04"/>
    <w:rsid w:val="004A66C8"/>
    <w:rsid w:val="004A6DE3"/>
    <w:rsid w:val="004B05B1"/>
    <w:rsid w:val="004B14B0"/>
    <w:rsid w:val="004B38C8"/>
    <w:rsid w:val="004B3EFA"/>
    <w:rsid w:val="004B3FA8"/>
    <w:rsid w:val="004C2A87"/>
    <w:rsid w:val="004C4ED3"/>
    <w:rsid w:val="004C58A8"/>
    <w:rsid w:val="004C609C"/>
    <w:rsid w:val="004D2EA5"/>
    <w:rsid w:val="004D32A6"/>
    <w:rsid w:val="004D53E5"/>
    <w:rsid w:val="004D7D1A"/>
    <w:rsid w:val="004E1F6F"/>
    <w:rsid w:val="004E565E"/>
    <w:rsid w:val="004E5B62"/>
    <w:rsid w:val="004E6263"/>
    <w:rsid w:val="004E76C5"/>
    <w:rsid w:val="004F0338"/>
    <w:rsid w:val="004F66DB"/>
    <w:rsid w:val="00501A12"/>
    <w:rsid w:val="005068EF"/>
    <w:rsid w:val="00507541"/>
    <w:rsid w:val="00510740"/>
    <w:rsid w:val="00510B22"/>
    <w:rsid w:val="0051346D"/>
    <w:rsid w:val="00513EAE"/>
    <w:rsid w:val="00516806"/>
    <w:rsid w:val="00517103"/>
    <w:rsid w:val="00520A46"/>
    <w:rsid w:val="005229E0"/>
    <w:rsid w:val="00525A49"/>
    <w:rsid w:val="005302BA"/>
    <w:rsid w:val="00534F63"/>
    <w:rsid w:val="00535613"/>
    <w:rsid w:val="005359EB"/>
    <w:rsid w:val="0054254A"/>
    <w:rsid w:val="00542EB5"/>
    <w:rsid w:val="005466B5"/>
    <w:rsid w:val="0054749B"/>
    <w:rsid w:val="0055184D"/>
    <w:rsid w:val="00551F71"/>
    <w:rsid w:val="005629B3"/>
    <w:rsid w:val="00566F84"/>
    <w:rsid w:val="00570953"/>
    <w:rsid w:val="00573ABE"/>
    <w:rsid w:val="00573AC4"/>
    <w:rsid w:val="00574453"/>
    <w:rsid w:val="005801FC"/>
    <w:rsid w:val="00583E4A"/>
    <w:rsid w:val="00584461"/>
    <w:rsid w:val="005910FE"/>
    <w:rsid w:val="00593AC7"/>
    <w:rsid w:val="00595016"/>
    <w:rsid w:val="00597AAE"/>
    <w:rsid w:val="005A222C"/>
    <w:rsid w:val="005A4DF8"/>
    <w:rsid w:val="005A67CA"/>
    <w:rsid w:val="005B087A"/>
    <w:rsid w:val="005B1426"/>
    <w:rsid w:val="005B5520"/>
    <w:rsid w:val="005B6232"/>
    <w:rsid w:val="005B6C8F"/>
    <w:rsid w:val="005C0883"/>
    <w:rsid w:val="005C0A8E"/>
    <w:rsid w:val="005C1767"/>
    <w:rsid w:val="005C1BC6"/>
    <w:rsid w:val="005C42EF"/>
    <w:rsid w:val="005D0A35"/>
    <w:rsid w:val="005D7DEA"/>
    <w:rsid w:val="005E02F5"/>
    <w:rsid w:val="005E0510"/>
    <w:rsid w:val="005E176E"/>
    <w:rsid w:val="005E218E"/>
    <w:rsid w:val="005E35A0"/>
    <w:rsid w:val="005E6689"/>
    <w:rsid w:val="005E7378"/>
    <w:rsid w:val="005F0D1B"/>
    <w:rsid w:val="005F1865"/>
    <w:rsid w:val="006007BD"/>
    <w:rsid w:val="006013C8"/>
    <w:rsid w:val="0060270D"/>
    <w:rsid w:val="00604611"/>
    <w:rsid w:val="0060636E"/>
    <w:rsid w:val="00610AED"/>
    <w:rsid w:val="00611586"/>
    <w:rsid w:val="00613EBD"/>
    <w:rsid w:val="00615563"/>
    <w:rsid w:val="006213E7"/>
    <w:rsid w:val="00621887"/>
    <w:rsid w:val="00621C85"/>
    <w:rsid w:val="00624520"/>
    <w:rsid w:val="00626D71"/>
    <w:rsid w:val="00627A44"/>
    <w:rsid w:val="00632BB7"/>
    <w:rsid w:val="00635B36"/>
    <w:rsid w:val="00636871"/>
    <w:rsid w:val="00640F4E"/>
    <w:rsid w:val="00643DE0"/>
    <w:rsid w:val="0064423B"/>
    <w:rsid w:val="006446D4"/>
    <w:rsid w:val="00644E85"/>
    <w:rsid w:val="00645963"/>
    <w:rsid w:val="006508CC"/>
    <w:rsid w:val="0066063F"/>
    <w:rsid w:val="00662BB0"/>
    <w:rsid w:val="00663878"/>
    <w:rsid w:val="00665954"/>
    <w:rsid w:val="00667773"/>
    <w:rsid w:val="00667EC7"/>
    <w:rsid w:val="00670743"/>
    <w:rsid w:val="006752F4"/>
    <w:rsid w:val="006864BA"/>
    <w:rsid w:val="00686756"/>
    <w:rsid w:val="00690EE2"/>
    <w:rsid w:val="00692150"/>
    <w:rsid w:val="006928FE"/>
    <w:rsid w:val="0069319B"/>
    <w:rsid w:val="006A0131"/>
    <w:rsid w:val="006A0E20"/>
    <w:rsid w:val="006A25D0"/>
    <w:rsid w:val="006A2DE2"/>
    <w:rsid w:val="006A2F12"/>
    <w:rsid w:val="006A5695"/>
    <w:rsid w:val="006B173F"/>
    <w:rsid w:val="006B3904"/>
    <w:rsid w:val="006B5B7D"/>
    <w:rsid w:val="006B670D"/>
    <w:rsid w:val="006C42D1"/>
    <w:rsid w:val="006D0ECF"/>
    <w:rsid w:val="006D4C92"/>
    <w:rsid w:val="006D4EB6"/>
    <w:rsid w:val="006E35BF"/>
    <w:rsid w:val="006E5A5C"/>
    <w:rsid w:val="006E7850"/>
    <w:rsid w:val="006F40C7"/>
    <w:rsid w:val="006F4308"/>
    <w:rsid w:val="007028D9"/>
    <w:rsid w:val="00707218"/>
    <w:rsid w:val="00711CFF"/>
    <w:rsid w:val="00712B1D"/>
    <w:rsid w:val="00713C3D"/>
    <w:rsid w:val="00713C87"/>
    <w:rsid w:val="00714118"/>
    <w:rsid w:val="00724051"/>
    <w:rsid w:val="007249E7"/>
    <w:rsid w:val="00727118"/>
    <w:rsid w:val="00731784"/>
    <w:rsid w:val="00731A02"/>
    <w:rsid w:val="007325D9"/>
    <w:rsid w:val="00734A6C"/>
    <w:rsid w:val="00734CBD"/>
    <w:rsid w:val="007360CA"/>
    <w:rsid w:val="0074060A"/>
    <w:rsid w:val="00742899"/>
    <w:rsid w:val="007467B5"/>
    <w:rsid w:val="0075481F"/>
    <w:rsid w:val="00760843"/>
    <w:rsid w:val="007627DB"/>
    <w:rsid w:val="007647AA"/>
    <w:rsid w:val="00765781"/>
    <w:rsid w:val="00777450"/>
    <w:rsid w:val="0078003A"/>
    <w:rsid w:val="00780771"/>
    <w:rsid w:val="007817DB"/>
    <w:rsid w:val="007833AB"/>
    <w:rsid w:val="00792676"/>
    <w:rsid w:val="007929CF"/>
    <w:rsid w:val="00792FCE"/>
    <w:rsid w:val="007A6F28"/>
    <w:rsid w:val="007B0345"/>
    <w:rsid w:val="007B03C6"/>
    <w:rsid w:val="007B0DB1"/>
    <w:rsid w:val="007B5CE7"/>
    <w:rsid w:val="007B7A19"/>
    <w:rsid w:val="007C1BBE"/>
    <w:rsid w:val="007D2E42"/>
    <w:rsid w:val="007D2EF8"/>
    <w:rsid w:val="007D30BF"/>
    <w:rsid w:val="007D3314"/>
    <w:rsid w:val="007D4C8F"/>
    <w:rsid w:val="007D561F"/>
    <w:rsid w:val="007D7FD2"/>
    <w:rsid w:val="007E13D9"/>
    <w:rsid w:val="007E4DB6"/>
    <w:rsid w:val="007E6285"/>
    <w:rsid w:val="007E7A3E"/>
    <w:rsid w:val="007E7BC5"/>
    <w:rsid w:val="007E7CD4"/>
    <w:rsid w:val="007F4D10"/>
    <w:rsid w:val="00801800"/>
    <w:rsid w:val="00801B5B"/>
    <w:rsid w:val="00804579"/>
    <w:rsid w:val="008063FF"/>
    <w:rsid w:val="008069A8"/>
    <w:rsid w:val="00820CC9"/>
    <w:rsid w:val="00823EB8"/>
    <w:rsid w:val="00825753"/>
    <w:rsid w:val="008276B4"/>
    <w:rsid w:val="00827F55"/>
    <w:rsid w:val="00831927"/>
    <w:rsid w:val="00836E0A"/>
    <w:rsid w:val="00840B63"/>
    <w:rsid w:val="0084182A"/>
    <w:rsid w:val="00841BD3"/>
    <w:rsid w:val="0084273D"/>
    <w:rsid w:val="00844E3F"/>
    <w:rsid w:val="00845A83"/>
    <w:rsid w:val="00847392"/>
    <w:rsid w:val="00852A80"/>
    <w:rsid w:val="008554BC"/>
    <w:rsid w:val="00867B87"/>
    <w:rsid w:val="0087003E"/>
    <w:rsid w:val="008712BB"/>
    <w:rsid w:val="00871942"/>
    <w:rsid w:val="00872456"/>
    <w:rsid w:val="00876241"/>
    <w:rsid w:val="00881898"/>
    <w:rsid w:val="008871BB"/>
    <w:rsid w:val="008A16CE"/>
    <w:rsid w:val="008A2484"/>
    <w:rsid w:val="008B2C29"/>
    <w:rsid w:val="008B38D8"/>
    <w:rsid w:val="008C26D9"/>
    <w:rsid w:val="008C6D50"/>
    <w:rsid w:val="008C7167"/>
    <w:rsid w:val="008C7503"/>
    <w:rsid w:val="008D1617"/>
    <w:rsid w:val="008D208B"/>
    <w:rsid w:val="008D362D"/>
    <w:rsid w:val="008E26B1"/>
    <w:rsid w:val="008E6315"/>
    <w:rsid w:val="008F11E0"/>
    <w:rsid w:val="008F2A4E"/>
    <w:rsid w:val="008F70BC"/>
    <w:rsid w:val="008F78BC"/>
    <w:rsid w:val="008F7B63"/>
    <w:rsid w:val="008F7D6A"/>
    <w:rsid w:val="0090057C"/>
    <w:rsid w:val="009054CB"/>
    <w:rsid w:val="00912F94"/>
    <w:rsid w:val="009249B0"/>
    <w:rsid w:val="0092568A"/>
    <w:rsid w:val="0092590B"/>
    <w:rsid w:val="00925E60"/>
    <w:rsid w:val="009264B3"/>
    <w:rsid w:val="0093079C"/>
    <w:rsid w:val="00932BA9"/>
    <w:rsid w:val="00942BA2"/>
    <w:rsid w:val="00943FAF"/>
    <w:rsid w:val="00944C86"/>
    <w:rsid w:val="00946B0A"/>
    <w:rsid w:val="00950B92"/>
    <w:rsid w:val="00950C76"/>
    <w:rsid w:val="00957DE8"/>
    <w:rsid w:val="00960ECB"/>
    <w:rsid w:val="00960EF5"/>
    <w:rsid w:val="009615D6"/>
    <w:rsid w:val="00967855"/>
    <w:rsid w:val="009760EA"/>
    <w:rsid w:val="00980736"/>
    <w:rsid w:val="00981A39"/>
    <w:rsid w:val="00986A6D"/>
    <w:rsid w:val="00987097"/>
    <w:rsid w:val="00995CB2"/>
    <w:rsid w:val="009B046C"/>
    <w:rsid w:val="009B13FA"/>
    <w:rsid w:val="009B1D7E"/>
    <w:rsid w:val="009B1E2D"/>
    <w:rsid w:val="009C0D57"/>
    <w:rsid w:val="009C3AB8"/>
    <w:rsid w:val="009C59FB"/>
    <w:rsid w:val="009C5BE1"/>
    <w:rsid w:val="009C6F3B"/>
    <w:rsid w:val="009D17E2"/>
    <w:rsid w:val="009D4C05"/>
    <w:rsid w:val="009D61A9"/>
    <w:rsid w:val="009E2C98"/>
    <w:rsid w:val="009E4FA6"/>
    <w:rsid w:val="009E5364"/>
    <w:rsid w:val="009E7D93"/>
    <w:rsid w:val="009F3080"/>
    <w:rsid w:val="009F3F9B"/>
    <w:rsid w:val="009F5C33"/>
    <w:rsid w:val="00A0343D"/>
    <w:rsid w:val="00A03EAC"/>
    <w:rsid w:val="00A07F5A"/>
    <w:rsid w:val="00A11CA6"/>
    <w:rsid w:val="00A12952"/>
    <w:rsid w:val="00A2098E"/>
    <w:rsid w:val="00A20C49"/>
    <w:rsid w:val="00A269CA"/>
    <w:rsid w:val="00A26D9C"/>
    <w:rsid w:val="00A314DA"/>
    <w:rsid w:val="00A359AC"/>
    <w:rsid w:val="00A41413"/>
    <w:rsid w:val="00A45E05"/>
    <w:rsid w:val="00A45FB1"/>
    <w:rsid w:val="00A46CCC"/>
    <w:rsid w:val="00A51CFE"/>
    <w:rsid w:val="00A53C8E"/>
    <w:rsid w:val="00A55574"/>
    <w:rsid w:val="00A7091E"/>
    <w:rsid w:val="00A76C13"/>
    <w:rsid w:val="00A87DED"/>
    <w:rsid w:val="00A91B3E"/>
    <w:rsid w:val="00A92E79"/>
    <w:rsid w:val="00A950B6"/>
    <w:rsid w:val="00AA6D03"/>
    <w:rsid w:val="00AB0A66"/>
    <w:rsid w:val="00AB41C1"/>
    <w:rsid w:val="00AC4890"/>
    <w:rsid w:val="00AC690B"/>
    <w:rsid w:val="00AD12A8"/>
    <w:rsid w:val="00AE5EA8"/>
    <w:rsid w:val="00AF0BDC"/>
    <w:rsid w:val="00AF3577"/>
    <w:rsid w:val="00AF35F9"/>
    <w:rsid w:val="00AF6E1E"/>
    <w:rsid w:val="00B05C7D"/>
    <w:rsid w:val="00B05E55"/>
    <w:rsid w:val="00B06D6F"/>
    <w:rsid w:val="00B0714A"/>
    <w:rsid w:val="00B101B0"/>
    <w:rsid w:val="00B205E0"/>
    <w:rsid w:val="00B22E29"/>
    <w:rsid w:val="00B231CD"/>
    <w:rsid w:val="00B240B3"/>
    <w:rsid w:val="00B24DF2"/>
    <w:rsid w:val="00B259B6"/>
    <w:rsid w:val="00B3222B"/>
    <w:rsid w:val="00B346C3"/>
    <w:rsid w:val="00B41507"/>
    <w:rsid w:val="00B424F9"/>
    <w:rsid w:val="00B4471C"/>
    <w:rsid w:val="00B45056"/>
    <w:rsid w:val="00B451A6"/>
    <w:rsid w:val="00B4601A"/>
    <w:rsid w:val="00B51101"/>
    <w:rsid w:val="00B51AFA"/>
    <w:rsid w:val="00B53D32"/>
    <w:rsid w:val="00B71E0B"/>
    <w:rsid w:val="00B722DE"/>
    <w:rsid w:val="00B753BA"/>
    <w:rsid w:val="00B75576"/>
    <w:rsid w:val="00B76C44"/>
    <w:rsid w:val="00B83F87"/>
    <w:rsid w:val="00B864BE"/>
    <w:rsid w:val="00B909A4"/>
    <w:rsid w:val="00B90AE1"/>
    <w:rsid w:val="00BA0300"/>
    <w:rsid w:val="00BA2EFA"/>
    <w:rsid w:val="00BA3DBC"/>
    <w:rsid w:val="00BA5791"/>
    <w:rsid w:val="00BA67D8"/>
    <w:rsid w:val="00BB1391"/>
    <w:rsid w:val="00BB2DA2"/>
    <w:rsid w:val="00BB56DC"/>
    <w:rsid w:val="00BB5AC0"/>
    <w:rsid w:val="00BB67A9"/>
    <w:rsid w:val="00BB728A"/>
    <w:rsid w:val="00BC5EA4"/>
    <w:rsid w:val="00BD158D"/>
    <w:rsid w:val="00BD3A68"/>
    <w:rsid w:val="00BD67E5"/>
    <w:rsid w:val="00BE183D"/>
    <w:rsid w:val="00BE2189"/>
    <w:rsid w:val="00BF3F8F"/>
    <w:rsid w:val="00BF5D7A"/>
    <w:rsid w:val="00C040C2"/>
    <w:rsid w:val="00C06DC2"/>
    <w:rsid w:val="00C12AAB"/>
    <w:rsid w:val="00C14A64"/>
    <w:rsid w:val="00C1602F"/>
    <w:rsid w:val="00C214D0"/>
    <w:rsid w:val="00C236F6"/>
    <w:rsid w:val="00C24B1A"/>
    <w:rsid w:val="00C36164"/>
    <w:rsid w:val="00C36442"/>
    <w:rsid w:val="00C400CE"/>
    <w:rsid w:val="00C410FD"/>
    <w:rsid w:val="00C45131"/>
    <w:rsid w:val="00C50D18"/>
    <w:rsid w:val="00C539FB"/>
    <w:rsid w:val="00C620C6"/>
    <w:rsid w:val="00C76E0C"/>
    <w:rsid w:val="00C76FF8"/>
    <w:rsid w:val="00C77605"/>
    <w:rsid w:val="00C80537"/>
    <w:rsid w:val="00C81075"/>
    <w:rsid w:val="00C8127C"/>
    <w:rsid w:val="00C828C4"/>
    <w:rsid w:val="00C837FA"/>
    <w:rsid w:val="00C8417E"/>
    <w:rsid w:val="00C86756"/>
    <w:rsid w:val="00C95183"/>
    <w:rsid w:val="00C95975"/>
    <w:rsid w:val="00C962DE"/>
    <w:rsid w:val="00CA246D"/>
    <w:rsid w:val="00CA32A6"/>
    <w:rsid w:val="00CA5B49"/>
    <w:rsid w:val="00CB0B3E"/>
    <w:rsid w:val="00CB49DC"/>
    <w:rsid w:val="00CB505F"/>
    <w:rsid w:val="00CB5636"/>
    <w:rsid w:val="00CB6657"/>
    <w:rsid w:val="00CC6165"/>
    <w:rsid w:val="00CD3324"/>
    <w:rsid w:val="00CD64EF"/>
    <w:rsid w:val="00CD7377"/>
    <w:rsid w:val="00CE1B24"/>
    <w:rsid w:val="00CE317A"/>
    <w:rsid w:val="00CF3530"/>
    <w:rsid w:val="00D059FB"/>
    <w:rsid w:val="00D0654D"/>
    <w:rsid w:val="00D10F21"/>
    <w:rsid w:val="00D159FD"/>
    <w:rsid w:val="00D17666"/>
    <w:rsid w:val="00D329B1"/>
    <w:rsid w:val="00D34040"/>
    <w:rsid w:val="00D34B2D"/>
    <w:rsid w:val="00D34E69"/>
    <w:rsid w:val="00D375EE"/>
    <w:rsid w:val="00D458F5"/>
    <w:rsid w:val="00D50230"/>
    <w:rsid w:val="00D53FE9"/>
    <w:rsid w:val="00D62699"/>
    <w:rsid w:val="00D63E1A"/>
    <w:rsid w:val="00D72650"/>
    <w:rsid w:val="00D74A5D"/>
    <w:rsid w:val="00D82620"/>
    <w:rsid w:val="00D93054"/>
    <w:rsid w:val="00D95CFD"/>
    <w:rsid w:val="00D9725F"/>
    <w:rsid w:val="00D97581"/>
    <w:rsid w:val="00DA01B1"/>
    <w:rsid w:val="00DA11A2"/>
    <w:rsid w:val="00DA14ED"/>
    <w:rsid w:val="00DA5F77"/>
    <w:rsid w:val="00DB2C36"/>
    <w:rsid w:val="00DB2EF1"/>
    <w:rsid w:val="00DB3DE1"/>
    <w:rsid w:val="00DB5DA0"/>
    <w:rsid w:val="00DB716C"/>
    <w:rsid w:val="00DC08EB"/>
    <w:rsid w:val="00DC5893"/>
    <w:rsid w:val="00DC5C85"/>
    <w:rsid w:val="00DC7BA3"/>
    <w:rsid w:val="00DC7C51"/>
    <w:rsid w:val="00DD2315"/>
    <w:rsid w:val="00DD4236"/>
    <w:rsid w:val="00DD44F1"/>
    <w:rsid w:val="00DE0EF0"/>
    <w:rsid w:val="00DE3067"/>
    <w:rsid w:val="00DE4CC4"/>
    <w:rsid w:val="00DE5834"/>
    <w:rsid w:val="00DE70D6"/>
    <w:rsid w:val="00DE72CC"/>
    <w:rsid w:val="00DF5AAF"/>
    <w:rsid w:val="00E027BC"/>
    <w:rsid w:val="00E143B3"/>
    <w:rsid w:val="00E14EA5"/>
    <w:rsid w:val="00E21133"/>
    <w:rsid w:val="00E2327E"/>
    <w:rsid w:val="00E25DCE"/>
    <w:rsid w:val="00E266EF"/>
    <w:rsid w:val="00E269C4"/>
    <w:rsid w:val="00E304A7"/>
    <w:rsid w:val="00E32B01"/>
    <w:rsid w:val="00E43CB8"/>
    <w:rsid w:val="00E47428"/>
    <w:rsid w:val="00E5189D"/>
    <w:rsid w:val="00E521FC"/>
    <w:rsid w:val="00E636DC"/>
    <w:rsid w:val="00E63BDA"/>
    <w:rsid w:val="00E66B9F"/>
    <w:rsid w:val="00E710D6"/>
    <w:rsid w:val="00E76E45"/>
    <w:rsid w:val="00E777C9"/>
    <w:rsid w:val="00E80CC1"/>
    <w:rsid w:val="00E81DA6"/>
    <w:rsid w:val="00E822FE"/>
    <w:rsid w:val="00E84212"/>
    <w:rsid w:val="00E86F6B"/>
    <w:rsid w:val="00E9086C"/>
    <w:rsid w:val="00E90B19"/>
    <w:rsid w:val="00E91A0F"/>
    <w:rsid w:val="00E94A71"/>
    <w:rsid w:val="00E97504"/>
    <w:rsid w:val="00EA03CE"/>
    <w:rsid w:val="00EA23E5"/>
    <w:rsid w:val="00EA34CC"/>
    <w:rsid w:val="00EA378F"/>
    <w:rsid w:val="00EA4E2E"/>
    <w:rsid w:val="00EB133E"/>
    <w:rsid w:val="00EB1414"/>
    <w:rsid w:val="00EB2CCB"/>
    <w:rsid w:val="00EC4CF8"/>
    <w:rsid w:val="00EC57A7"/>
    <w:rsid w:val="00ED0817"/>
    <w:rsid w:val="00ED2061"/>
    <w:rsid w:val="00ED3445"/>
    <w:rsid w:val="00ED388B"/>
    <w:rsid w:val="00ED737D"/>
    <w:rsid w:val="00ED7DD9"/>
    <w:rsid w:val="00EE3839"/>
    <w:rsid w:val="00EF16F8"/>
    <w:rsid w:val="00EF1BF2"/>
    <w:rsid w:val="00EF3113"/>
    <w:rsid w:val="00EF3F84"/>
    <w:rsid w:val="00EF4EDF"/>
    <w:rsid w:val="00F01B62"/>
    <w:rsid w:val="00F072B1"/>
    <w:rsid w:val="00F12529"/>
    <w:rsid w:val="00F152DC"/>
    <w:rsid w:val="00F176AC"/>
    <w:rsid w:val="00F17B1B"/>
    <w:rsid w:val="00F23F1D"/>
    <w:rsid w:val="00F24A3A"/>
    <w:rsid w:val="00F27036"/>
    <w:rsid w:val="00F27714"/>
    <w:rsid w:val="00F27DD4"/>
    <w:rsid w:val="00F304AF"/>
    <w:rsid w:val="00F3276E"/>
    <w:rsid w:val="00F33D3C"/>
    <w:rsid w:val="00F35F8F"/>
    <w:rsid w:val="00F3668F"/>
    <w:rsid w:val="00F37A91"/>
    <w:rsid w:val="00F40446"/>
    <w:rsid w:val="00F45CF5"/>
    <w:rsid w:val="00F47AF2"/>
    <w:rsid w:val="00F47DB0"/>
    <w:rsid w:val="00F50E34"/>
    <w:rsid w:val="00F520B3"/>
    <w:rsid w:val="00F52F7A"/>
    <w:rsid w:val="00F5345B"/>
    <w:rsid w:val="00F53EF7"/>
    <w:rsid w:val="00F54BF2"/>
    <w:rsid w:val="00F54BF9"/>
    <w:rsid w:val="00F6604D"/>
    <w:rsid w:val="00F76F03"/>
    <w:rsid w:val="00F8210F"/>
    <w:rsid w:val="00F90482"/>
    <w:rsid w:val="00F92355"/>
    <w:rsid w:val="00F93963"/>
    <w:rsid w:val="00F94291"/>
    <w:rsid w:val="00F95A0A"/>
    <w:rsid w:val="00FA241C"/>
    <w:rsid w:val="00FA6E67"/>
    <w:rsid w:val="00FB2455"/>
    <w:rsid w:val="00FB63DC"/>
    <w:rsid w:val="00FB6895"/>
    <w:rsid w:val="00FB7623"/>
    <w:rsid w:val="00FB7982"/>
    <w:rsid w:val="00FB7E5F"/>
    <w:rsid w:val="00FC0734"/>
    <w:rsid w:val="00FC0FC5"/>
    <w:rsid w:val="00FC416B"/>
    <w:rsid w:val="00FC42E0"/>
    <w:rsid w:val="00FC588F"/>
    <w:rsid w:val="00FD2579"/>
    <w:rsid w:val="00FD2681"/>
    <w:rsid w:val="00FE1B30"/>
    <w:rsid w:val="00FE694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Revision">
    <w:name w:val="Revision"/>
    <w:hidden/>
    <w:uiPriority w:val="99"/>
    <w:semiHidden/>
    <w:rsid w:val="00950C76"/>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Revision">
    <w:name w:val="Revision"/>
    <w:hidden/>
    <w:uiPriority w:val="99"/>
    <w:semiHidden/>
    <w:rsid w:val="00950C7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34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985FC-27DD-4331-98AC-518A601F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5</TotalTime>
  <Pages>20</Pages>
  <Words>8019</Words>
  <Characters>41350</Characters>
  <Application>Microsoft Office Word</Application>
  <DocSecurity>0</DocSecurity>
  <Lines>795</Lines>
  <Paragraphs>250</Paragraphs>
  <ScaleCrop>false</ScaleCrop>
  <HeadingPairs>
    <vt:vector size="2" baseType="variant">
      <vt:variant>
        <vt:lpstr>Title</vt:lpstr>
      </vt:variant>
      <vt:variant>
        <vt:i4>1</vt:i4>
      </vt:variant>
    </vt:vector>
  </HeadingPairs>
  <TitlesOfParts>
    <vt:vector size="1" baseType="lpstr">
      <vt:lpstr>DAO16 v Minister for Immigration and Border Protection [2018] FCAFC 2</vt:lpstr>
    </vt:vector>
  </TitlesOfParts>
  <Company>Federal Court of Australia</Company>
  <LinksUpToDate>false</LinksUpToDate>
  <CharactersWithSpaces>49119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DAO16 v Minister for Immigration and Border Protection [2018] FCAFC 2</dc:title>
  <dc:creator>Justice Perry</dc:creator>
  <cp:lastModifiedBy>Anna Masters</cp:lastModifiedBy>
  <cp:revision>5</cp:revision>
  <cp:lastPrinted>2018-01-12T05:42:00Z</cp:lastPrinted>
  <dcterms:created xsi:type="dcterms:W3CDTF">2018-01-15T00:16:00Z</dcterms:created>
  <dcterms:modified xsi:type="dcterms:W3CDTF">2018-01-15T00:28:00Z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KENNY, KERR AND PERRY JJ</vt:lpwstr>
  </property>
  <property fmtid="{D5CDD505-2E9C-101B-9397-08002B2CF9AE}" pid="4" name="Judgment_dated" linkTarget="Judgment_dated">
    <vt:lpwstr>15 January 2018</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New South Wales</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Delete these rows - not required</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