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95B24" w:rsidRDefault="00A73B04" w:rsidP="00A22932">
      <w:pPr>
        <w:pStyle w:val="CourtTitle"/>
      </w:pPr>
      <w:r>
        <w:fldChar w:fldCharType="begin"/>
      </w:r>
      <w:r>
        <w:instrText xml:space="preserve"> DOCPROPERTY  Court  \* MERGEFORMAT </w:instrText>
      </w:r>
      <w:r>
        <w:fldChar w:fldCharType="separate"/>
      </w:r>
      <w:r w:rsidR="00BF5B2A">
        <w:t>Federal Court of Australia</w:t>
      </w:r>
      <w:r>
        <w:fldChar w:fldCharType="end"/>
      </w:r>
    </w:p>
    <w:p w:rsidR="00395B24" w:rsidRDefault="00395B24">
      <w:pPr>
        <w:pStyle w:val="NormalHeadings"/>
        <w:jc w:val="center"/>
        <w:rPr>
          <w:sz w:val="32"/>
        </w:rPr>
      </w:pPr>
    </w:p>
    <w:bookmarkStart w:id="0" w:name="MNC"/>
    <w:p w:rsidR="00374CC4" w:rsidRDefault="002C0ED0" w:rsidP="001A2B40">
      <w:pPr>
        <w:pStyle w:val="MNC"/>
      </w:pPr>
      <w:sdt>
        <w:sdtPr>
          <w:alias w:val="MNC"/>
          <w:tag w:val="MNC"/>
          <w:id w:val="343289786"/>
          <w:lock w:val="sdtLocked"/>
          <w:placeholder>
            <w:docPart w:val="34EDBC96982F4EF79FDC924FD9A5F8BE"/>
          </w:placeholder>
          <w:dataBinding w:prefixMappings="xmlns:ns0='http://schemas.globalmacros.com/FCA'" w:xpath="/ns0:root[1]/ns0:Name[1]" w:storeItemID="{687E7CCB-4AA5-44E7-B148-17BA2B6F57C0}"/>
          <w:text w:multiLine="1"/>
        </w:sdtPr>
        <w:sdtEndPr/>
        <w:sdtContent>
          <w:r w:rsidR="000172CF" w:rsidRPr="000172CF">
            <w:t xml:space="preserve">JKC Australia LNG Pty Ltd v AkzoNobel NV (No </w:t>
          </w:r>
          <w:r w:rsidR="000172CF">
            <w:t>3</w:t>
          </w:r>
          <w:r w:rsidR="000172CF" w:rsidRPr="000172CF">
            <w:t>) [202</w:t>
          </w:r>
          <w:r w:rsidR="000172CF">
            <w:t>1</w:t>
          </w:r>
          <w:r w:rsidR="000172CF" w:rsidRPr="000172CF">
            <w:t xml:space="preserve">] FCA </w:t>
          </w:r>
          <w:r w:rsidR="007F1289">
            <w:t>1217</w:t>
          </w:r>
        </w:sdtContent>
      </w:sdt>
      <w:bookmarkEnd w:id="0"/>
    </w:p>
    <w:tbl>
      <w:tblPr>
        <w:tblW w:w="9073" w:type="dxa"/>
        <w:tblLayout w:type="fixed"/>
        <w:tblLook w:val="01E0" w:firstRow="1" w:lastRow="1" w:firstColumn="1" w:lastColumn="1" w:noHBand="0" w:noVBand="0"/>
        <w:tblCaption w:val="Cover Table"/>
        <w:tblDescription w:val="Cover Table"/>
      </w:tblPr>
      <w:tblGrid>
        <w:gridCol w:w="3119"/>
        <w:gridCol w:w="5954"/>
      </w:tblGrid>
      <w:tr w:rsidR="00395B24" w:rsidTr="001826F4">
        <w:tc>
          <w:tcPr>
            <w:tcW w:w="3119" w:type="dxa"/>
            <w:shd w:val="clear" w:color="auto" w:fill="auto"/>
          </w:tcPr>
          <w:p w:rsidR="00395B24" w:rsidRDefault="002C7385" w:rsidP="00572156">
            <w:pPr>
              <w:pStyle w:val="Normal1linespace"/>
              <w:widowControl w:val="0"/>
              <w:jc w:val="left"/>
            </w:pPr>
            <w:r>
              <w:t>File number:</w:t>
            </w:r>
          </w:p>
        </w:tc>
        <w:tc>
          <w:tcPr>
            <w:tcW w:w="5954" w:type="dxa"/>
            <w:shd w:val="clear" w:color="auto" w:fill="auto"/>
          </w:tcPr>
          <w:p w:rsidR="00395B24" w:rsidRPr="00BF5B2A" w:rsidRDefault="002C0ED0" w:rsidP="00BF5B2A">
            <w:pPr>
              <w:pStyle w:val="Normal1linespace"/>
              <w:jc w:val="left"/>
            </w:pPr>
            <w:r>
              <w:fldChar w:fldCharType="begin" w:fldLock="1"/>
            </w:r>
            <w:r>
              <w:instrText xml:space="preserve"> REF  FileNo  \* MERGEFORMAT </w:instrText>
            </w:r>
            <w:r>
              <w:fldChar w:fldCharType="separate"/>
            </w:r>
            <w:r w:rsidR="00BF5B2A" w:rsidRPr="00BF5B2A">
              <w:t>WAD 448 of 2017</w:t>
            </w:r>
            <w:r>
              <w:fldChar w:fldCharType="end"/>
            </w:r>
          </w:p>
        </w:tc>
      </w:tr>
      <w:tr w:rsidR="00395B24" w:rsidRPr="001826F4" w:rsidTr="001826F4">
        <w:tc>
          <w:tcPr>
            <w:tcW w:w="3119" w:type="dxa"/>
            <w:shd w:val="clear" w:color="auto" w:fill="auto"/>
          </w:tcPr>
          <w:p w:rsidR="00395B24" w:rsidRPr="001826F4" w:rsidRDefault="00395B24" w:rsidP="00663878">
            <w:pPr>
              <w:pStyle w:val="Normal1linespace"/>
              <w:widowControl w:val="0"/>
              <w:jc w:val="left"/>
              <w:rPr>
                <w:sz w:val="22"/>
                <w:szCs w:val="22"/>
              </w:rPr>
            </w:pPr>
          </w:p>
        </w:tc>
        <w:tc>
          <w:tcPr>
            <w:tcW w:w="5954" w:type="dxa"/>
            <w:shd w:val="clear" w:color="auto" w:fill="auto"/>
          </w:tcPr>
          <w:p w:rsidR="00395B24" w:rsidRPr="001826F4" w:rsidRDefault="00395B24" w:rsidP="00663878">
            <w:pPr>
              <w:pStyle w:val="Normal1linespace"/>
              <w:widowControl w:val="0"/>
              <w:jc w:val="left"/>
              <w:rPr>
                <w:sz w:val="22"/>
                <w:szCs w:val="22"/>
              </w:rPr>
            </w:pPr>
          </w:p>
        </w:tc>
      </w:tr>
      <w:tr w:rsidR="00395B24" w:rsidTr="001826F4">
        <w:tc>
          <w:tcPr>
            <w:tcW w:w="3119" w:type="dxa"/>
            <w:shd w:val="clear" w:color="auto" w:fill="auto"/>
          </w:tcPr>
          <w:p w:rsidR="00395B24" w:rsidRDefault="002C7385" w:rsidP="00663878">
            <w:pPr>
              <w:pStyle w:val="Normal1linespace"/>
              <w:widowControl w:val="0"/>
              <w:jc w:val="left"/>
            </w:pPr>
            <w:r>
              <w:t>Judg</w:t>
            </w:r>
            <w:r w:rsidR="005724F6">
              <w:t>ment of</w:t>
            </w:r>
            <w:r>
              <w:t>:</w:t>
            </w:r>
          </w:p>
        </w:tc>
        <w:tc>
          <w:tcPr>
            <w:tcW w:w="5954" w:type="dxa"/>
            <w:shd w:val="clear" w:color="auto" w:fill="auto"/>
          </w:tcPr>
          <w:p w:rsidR="00395B24" w:rsidRDefault="002C7385" w:rsidP="00663878">
            <w:pPr>
              <w:pStyle w:val="Normal1linespace"/>
              <w:widowControl w:val="0"/>
              <w:jc w:val="left"/>
              <w:rPr>
                <w:b/>
              </w:rPr>
            </w:pPr>
            <w:r w:rsidRPr="00BF5B2A">
              <w:rPr>
                <w:b/>
              </w:rPr>
              <w:fldChar w:fldCharType="begin" w:fldLock="1"/>
            </w:r>
            <w:r w:rsidRPr="00BF5B2A">
              <w:rPr>
                <w:b/>
              </w:rPr>
              <w:instrText xml:space="preserve"> REF  Judge  \* MERGEFORMAT </w:instrText>
            </w:r>
            <w:r w:rsidRPr="00BF5B2A">
              <w:rPr>
                <w:b/>
              </w:rPr>
              <w:fldChar w:fldCharType="separate"/>
            </w:r>
            <w:r w:rsidR="00BF5B2A" w:rsidRPr="00BF5B2A">
              <w:rPr>
                <w:b/>
                <w:caps/>
                <w:szCs w:val="24"/>
              </w:rPr>
              <w:t>BANKS-SMITH J</w:t>
            </w:r>
            <w:r w:rsidRPr="00BF5B2A">
              <w:rPr>
                <w:b/>
              </w:rPr>
              <w:fldChar w:fldCharType="end"/>
            </w:r>
          </w:p>
        </w:tc>
      </w:tr>
      <w:tr w:rsidR="00395B24" w:rsidRPr="001826F4" w:rsidTr="001826F4">
        <w:tc>
          <w:tcPr>
            <w:tcW w:w="3119" w:type="dxa"/>
            <w:shd w:val="clear" w:color="auto" w:fill="auto"/>
          </w:tcPr>
          <w:p w:rsidR="00395B24" w:rsidRPr="001826F4" w:rsidRDefault="00395B24" w:rsidP="00663878">
            <w:pPr>
              <w:pStyle w:val="Normal1linespace"/>
              <w:widowControl w:val="0"/>
              <w:jc w:val="left"/>
              <w:rPr>
                <w:sz w:val="22"/>
                <w:szCs w:val="22"/>
              </w:rPr>
            </w:pPr>
          </w:p>
        </w:tc>
        <w:tc>
          <w:tcPr>
            <w:tcW w:w="5954" w:type="dxa"/>
            <w:shd w:val="clear" w:color="auto" w:fill="auto"/>
          </w:tcPr>
          <w:p w:rsidR="00395B24" w:rsidRPr="001826F4" w:rsidRDefault="00395B24" w:rsidP="00663878">
            <w:pPr>
              <w:pStyle w:val="Normal1linespace"/>
              <w:widowControl w:val="0"/>
              <w:jc w:val="left"/>
              <w:rPr>
                <w:sz w:val="22"/>
                <w:szCs w:val="22"/>
              </w:rPr>
            </w:pPr>
          </w:p>
        </w:tc>
      </w:tr>
      <w:tr w:rsidR="00395B24" w:rsidTr="001826F4">
        <w:tc>
          <w:tcPr>
            <w:tcW w:w="3119" w:type="dxa"/>
            <w:shd w:val="clear" w:color="auto" w:fill="auto"/>
          </w:tcPr>
          <w:p w:rsidR="00395B24" w:rsidRDefault="002C7385" w:rsidP="00663878">
            <w:pPr>
              <w:pStyle w:val="Normal1linespace"/>
              <w:widowControl w:val="0"/>
              <w:jc w:val="left"/>
            </w:pPr>
            <w:r>
              <w:t>Date of judgment:</w:t>
            </w:r>
          </w:p>
        </w:tc>
        <w:tc>
          <w:tcPr>
            <w:tcW w:w="5954" w:type="dxa"/>
            <w:shd w:val="clear" w:color="auto" w:fill="auto"/>
          </w:tcPr>
          <w:p w:rsidR="00395B24" w:rsidRDefault="007F4D0A" w:rsidP="007F4D0A">
            <w:pPr>
              <w:pStyle w:val="Normal1linespace"/>
              <w:widowControl w:val="0"/>
              <w:jc w:val="left"/>
            </w:pPr>
            <w:bookmarkStart w:id="1" w:name="JudgmentDate"/>
            <w:r>
              <w:t>8</w:t>
            </w:r>
            <w:r w:rsidR="00BF5B2A">
              <w:t xml:space="preserve"> October 2021</w:t>
            </w:r>
            <w:bookmarkEnd w:id="1"/>
          </w:p>
        </w:tc>
      </w:tr>
      <w:tr w:rsidR="00395B24" w:rsidRPr="001826F4" w:rsidTr="001826F4">
        <w:tc>
          <w:tcPr>
            <w:tcW w:w="3119" w:type="dxa"/>
            <w:shd w:val="clear" w:color="auto" w:fill="auto"/>
          </w:tcPr>
          <w:p w:rsidR="00395B24" w:rsidRPr="001826F4" w:rsidRDefault="00395B24" w:rsidP="00663878">
            <w:pPr>
              <w:pStyle w:val="Normal1linespace"/>
              <w:widowControl w:val="0"/>
              <w:jc w:val="left"/>
              <w:rPr>
                <w:sz w:val="22"/>
                <w:szCs w:val="22"/>
              </w:rPr>
            </w:pPr>
          </w:p>
        </w:tc>
        <w:tc>
          <w:tcPr>
            <w:tcW w:w="5954" w:type="dxa"/>
            <w:shd w:val="clear" w:color="auto" w:fill="auto"/>
          </w:tcPr>
          <w:p w:rsidR="00395B24" w:rsidRPr="001826F4" w:rsidRDefault="00395B24" w:rsidP="00663878">
            <w:pPr>
              <w:pStyle w:val="Normal1linespace"/>
              <w:widowControl w:val="0"/>
              <w:jc w:val="left"/>
              <w:rPr>
                <w:sz w:val="22"/>
                <w:szCs w:val="22"/>
              </w:rPr>
            </w:pPr>
          </w:p>
        </w:tc>
      </w:tr>
      <w:tr w:rsidR="00395B24" w:rsidTr="001826F4">
        <w:tc>
          <w:tcPr>
            <w:tcW w:w="3119" w:type="dxa"/>
            <w:shd w:val="clear" w:color="auto" w:fill="auto"/>
          </w:tcPr>
          <w:p w:rsidR="00395B24" w:rsidRDefault="002C7385" w:rsidP="00663878">
            <w:pPr>
              <w:pStyle w:val="Normal1linespace"/>
              <w:widowControl w:val="0"/>
              <w:jc w:val="left"/>
            </w:pPr>
            <w:r>
              <w:t>Catchwords:</w:t>
            </w:r>
          </w:p>
        </w:tc>
        <w:tc>
          <w:tcPr>
            <w:tcW w:w="5954" w:type="dxa"/>
            <w:shd w:val="clear" w:color="auto" w:fill="auto"/>
          </w:tcPr>
          <w:p w:rsidR="00395B24" w:rsidRDefault="00B41007" w:rsidP="003962AC">
            <w:pPr>
              <w:pStyle w:val="Normal1linespace"/>
              <w:widowControl w:val="0"/>
              <w:jc w:val="left"/>
            </w:pPr>
            <w:bookmarkStart w:id="2" w:name="Catchwords"/>
            <w:r>
              <w:rPr>
                <w:b/>
              </w:rPr>
              <w:t>PRACTICE AND PROCEDURE</w:t>
            </w:r>
            <w:r w:rsidR="003962AC" w:rsidRPr="007F1289">
              <w:t xml:space="preserve"> </w:t>
            </w:r>
            <w:r w:rsidR="00572156" w:rsidRPr="007F1289">
              <w:t xml:space="preserve">- </w:t>
            </w:r>
            <w:r>
              <w:t>application for release of the implied undertaking as to use of identified documents received by way of discovery and subpoenas - release extending to draft expert report that references such documents - related arbitration and litigation with overlapping questions requiring expert opinion - application granted</w:t>
            </w:r>
            <w:bookmarkEnd w:id="2"/>
          </w:p>
        </w:tc>
      </w:tr>
      <w:tr w:rsidR="00395B24" w:rsidRPr="001826F4" w:rsidTr="001826F4">
        <w:tc>
          <w:tcPr>
            <w:tcW w:w="3119" w:type="dxa"/>
            <w:shd w:val="clear" w:color="auto" w:fill="auto"/>
          </w:tcPr>
          <w:p w:rsidR="00395B24" w:rsidRPr="001826F4" w:rsidRDefault="00395B24" w:rsidP="00663878">
            <w:pPr>
              <w:pStyle w:val="Normal1linespace"/>
              <w:widowControl w:val="0"/>
              <w:jc w:val="left"/>
              <w:rPr>
                <w:sz w:val="22"/>
                <w:szCs w:val="22"/>
              </w:rPr>
            </w:pPr>
          </w:p>
        </w:tc>
        <w:tc>
          <w:tcPr>
            <w:tcW w:w="5954" w:type="dxa"/>
            <w:shd w:val="clear" w:color="auto" w:fill="auto"/>
          </w:tcPr>
          <w:p w:rsidR="00395B24" w:rsidRPr="001826F4" w:rsidRDefault="00395B24" w:rsidP="00663878">
            <w:pPr>
              <w:pStyle w:val="Normal1linespace"/>
              <w:widowControl w:val="0"/>
              <w:jc w:val="left"/>
              <w:rPr>
                <w:sz w:val="22"/>
                <w:szCs w:val="22"/>
              </w:rPr>
            </w:pPr>
          </w:p>
        </w:tc>
      </w:tr>
      <w:tr w:rsidR="00395B24" w:rsidTr="001826F4">
        <w:tc>
          <w:tcPr>
            <w:tcW w:w="3119" w:type="dxa"/>
            <w:shd w:val="clear" w:color="auto" w:fill="auto"/>
          </w:tcPr>
          <w:p w:rsidR="00395B24" w:rsidRDefault="002C7385" w:rsidP="00663878">
            <w:pPr>
              <w:pStyle w:val="Normal1linespace"/>
              <w:widowControl w:val="0"/>
              <w:jc w:val="left"/>
            </w:pPr>
            <w:r>
              <w:t>Legislation:</w:t>
            </w:r>
          </w:p>
        </w:tc>
        <w:tc>
          <w:tcPr>
            <w:tcW w:w="5954" w:type="dxa"/>
            <w:shd w:val="clear" w:color="auto" w:fill="auto"/>
          </w:tcPr>
          <w:p w:rsidR="00395B24" w:rsidRPr="00FC339A" w:rsidRDefault="00FC339A" w:rsidP="001826F4">
            <w:pPr>
              <w:pStyle w:val="CasesLegislationAppealFrom"/>
              <w:spacing w:after="0"/>
            </w:pPr>
            <w:bookmarkStart w:id="3" w:name="Legislation"/>
            <w:r w:rsidRPr="00FC339A">
              <w:rPr>
                <w:i/>
              </w:rPr>
              <w:t xml:space="preserve">Federal Court of Australia Act 1976 </w:t>
            </w:r>
            <w:r w:rsidRPr="00FC339A">
              <w:t>(Cth</w:t>
            </w:r>
            <w:r>
              <w:t>) s 37M</w:t>
            </w:r>
            <w:bookmarkEnd w:id="3"/>
          </w:p>
        </w:tc>
      </w:tr>
      <w:tr w:rsidR="00395B24" w:rsidRPr="001826F4" w:rsidTr="001826F4">
        <w:tc>
          <w:tcPr>
            <w:tcW w:w="3119" w:type="dxa"/>
            <w:shd w:val="clear" w:color="auto" w:fill="auto"/>
          </w:tcPr>
          <w:p w:rsidR="00395B24" w:rsidRPr="001826F4" w:rsidRDefault="00395B24" w:rsidP="00663878">
            <w:pPr>
              <w:pStyle w:val="Normal1linespace"/>
              <w:widowControl w:val="0"/>
              <w:jc w:val="left"/>
              <w:rPr>
                <w:sz w:val="22"/>
                <w:szCs w:val="22"/>
              </w:rPr>
            </w:pPr>
          </w:p>
        </w:tc>
        <w:tc>
          <w:tcPr>
            <w:tcW w:w="5954" w:type="dxa"/>
            <w:shd w:val="clear" w:color="auto" w:fill="auto"/>
          </w:tcPr>
          <w:p w:rsidR="00395B24" w:rsidRPr="001826F4" w:rsidRDefault="00395B24" w:rsidP="00663878">
            <w:pPr>
              <w:pStyle w:val="Normal1linespace"/>
              <w:widowControl w:val="0"/>
              <w:jc w:val="left"/>
              <w:rPr>
                <w:sz w:val="22"/>
                <w:szCs w:val="22"/>
              </w:rPr>
            </w:pPr>
          </w:p>
        </w:tc>
      </w:tr>
      <w:tr w:rsidR="00395B24" w:rsidTr="001826F4">
        <w:tc>
          <w:tcPr>
            <w:tcW w:w="3119" w:type="dxa"/>
            <w:shd w:val="clear" w:color="auto" w:fill="auto"/>
          </w:tcPr>
          <w:p w:rsidR="00395B24" w:rsidRDefault="002C7385" w:rsidP="00663878">
            <w:pPr>
              <w:pStyle w:val="Normal1linespace"/>
              <w:widowControl w:val="0"/>
              <w:jc w:val="left"/>
            </w:pPr>
            <w:r>
              <w:t>Cases cited:</w:t>
            </w:r>
          </w:p>
        </w:tc>
        <w:tc>
          <w:tcPr>
            <w:tcW w:w="5954" w:type="dxa"/>
            <w:shd w:val="clear" w:color="auto" w:fill="auto"/>
          </w:tcPr>
          <w:p w:rsidR="003962AC" w:rsidRPr="003962AC" w:rsidRDefault="003962AC" w:rsidP="003962AC">
            <w:pPr>
              <w:pStyle w:val="CasesLegislationAppealFrom"/>
              <w:spacing w:after="60"/>
            </w:pPr>
            <w:bookmarkStart w:id="4" w:name="Cases_Cited"/>
            <w:r w:rsidRPr="003962AC">
              <w:rPr>
                <w:i/>
                <w:iCs/>
                <w:szCs w:val="24"/>
                <w:lang w:eastAsia="en-AU"/>
              </w:rPr>
              <w:t xml:space="preserve">Glencore Coal Pty Limited v Franks </w:t>
            </w:r>
            <w:r w:rsidRPr="003962AC">
              <w:rPr>
                <w:szCs w:val="24"/>
                <w:lang w:eastAsia="en-AU"/>
              </w:rPr>
              <w:t>[2020] FCA 1801</w:t>
            </w:r>
          </w:p>
          <w:p w:rsidR="003962AC" w:rsidRPr="003962AC" w:rsidRDefault="003962AC" w:rsidP="003962AC">
            <w:pPr>
              <w:pStyle w:val="CasesLegislationAppealFrom"/>
              <w:spacing w:after="60"/>
              <w:rPr>
                <w:i/>
                <w:iCs/>
              </w:rPr>
            </w:pPr>
            <w:r w:rsidRPr="003962AC">
              <w:rPr>
                <w:i/>
              </w:rPr>
              <w:t>Glencore Coal Pty L</w:t>
            </w:r>
            <w:r>
              <w:rPr>
                <w:i/>
              </w:rPr>
              <w:t>imi</w:t>
            </w:r>
            <w:r w:rsidRPr="003962AC">
              <w:rPr>
                <w:i/>
              </w:rPr>
              <w:t>t</w:t>
            </w:r>
            <w:r>
              <w:rPr>
                <w:i/>
              </w:rPr>
              <w:t>e</w:t>
            </w:r>
            <w:r w:rsidRPr="003962AC">
              <w:rPr>
                <w:i/>
              </w:rPr>
              <w:t>d v Franks</w:t>
            </w:r>
            <w:r w:rsidRPr="003962AC">
              <w:t xml:space="preserve"> [2021] FCAFC 61</w:t>
            </w:r>
          </w:p>
          <w:p w:rsidR="003962AC" w:rsidRPr="003962AC" w:rsidRDefault="003962AC" w:rsidP="003962AC">
            <w:pPr>
              <w:pStyle w:val="CasesLegislationAppealFrom"/>
              <w:spacing w:after="60"/>
            </w:pPr>
            <w:r w:rsidRPr="003962AC">
              <w:rPr>
                <w:i/>
                <w:iCs/>
              </w:rPr>
              <w:t>Harman v Secretary of State for the Home Department</w:t>
            </w:r>
            <w:r w:rsidRPr="003962AC">
              <w:t xml:space="preserve"> [1983] 1 AC 280; [1982] 2 WLR 338</w:t>
            </w:r>
          </w:p>
          <w:p w:rsidR="003962AC" w:rsidRPr="003962AC" w:rsidRDefault="003962AC" w:rsidP="003962AC">
            <w:pPr>
              <w:pStyle w:val="CasesLegislationAppealFrom"/>
              <w:spacing w:after="60"/>
            </w:pPr>
            <w:r w:rsidRPr="003962AC">
              <w:rPr>
                <w:bCs/>
                <w:i/>
                <w:iCs/>
              </w:rPr>
              <w:t>Hearne v Street</w:t>
            </w:r>
            <w:r w:rsidRPr="003962AC">
              <w:t xml:space="preserve"> [2008] HCA 36; (2008) 235 CLR 125</w:t>
            </w:r>
          </w:p>
          <w:p w:rsidR="003962AC" w:rsidRPr="003962AC" w:rsidRDefault="003962AC" w:rsidP="003962AC">
            <w:pPr>
              <w:pStyle w:val="CasesLegislationAppealFrom"/>
              <w:spacing w:after="60"/>
            </w:pPr>
            <w:r w:rsidRPr="003962AC">
              <w:rPr>
                <w:i/>
              </w:rPr>
              <w:t>JKC Australia LNG Pty Ltd v AkzoNobel NV</w:t>
            </w:r>
            <w:r w:rsidRPr="003962AC">
              <w:t xml:space="preserve"> [2019] FCA 1032</w:t>
            </w:r>
          </w:p>
          <w:p w:rsidR="003962AC" w:rsidRPr="003962AC" w:rsidRDefault="003962AC" w:rsidP="001826F4">
            <w:pPr>
              <w:pStyle w:val="CasesLegislationAppealFrom"/>
              <w:spacing w:after="0"/>
            </w:pPr>
            <w:r w:rsidRPr="003962AC">
              <w:rPr>
                <w:i/>
              </w:rPr>
              <w:t xml:space="preserve">Liberty Funding Pty Ltd v Phoenix Capital Ltd </w:t>
            </w:r>
            <w:r w:rsidRPr="003962AC">
              <w:t>[2005] FCAFC 3</w:t>
            </w:r>
            <w:bookmarkEnd w:id="4"/>
          </w:p>
        </w:tc>
      </w:tr>
      <w:tr w:rsidR="00BF5B2A" w:rsidRPr="001826F4" w:rsidTr="001826F4">
        <w:tc>
          <w:tcPr>
            <w:tcW w:w="3119" w:type="dxa"/>
            <w:shd w:val="clear" w:color="auto" w:fill="auto"/>
          </w:tcPr>
          <w:p w:rsidR="00BF5B2A" w:rsidRPr="001826F4" w:rsidRDefault="00BF5B2A" w:rsidP="002F7154">
            <w:pPr>
              <w:pStyle w:val="Normal1linespace"/>
              <w:widowControl w:val="0"/>
              <w:rPr>
                <w:sz w:val="22"/>
                <w:szCs w:val="22"/>
              </w:rPr>
            </w:pPr>
          </w:p>
        </w:tc>
        <w:tc>
          <w:tcPr>
            <w:tcW w:w="5954" w:type="dxa"/>
            <w:shd w:val="clear" w:color="auto" w:fill="auto"/>
          </w:tcPr>
          <w:p w:rsidR="00BF5B2A" w:rsidRPr="001826F4" w:rsidRDefault="00BF5B2A" w:rsidP="002F7154">
            <w:pPr>
              <w:pStyle w:val="Normal1linespace"/>
              <w:widowControl w:val="0"/>
              <w:jc w:val="left"/>
              <w:rPr>
                <w:sz w:val="22"/>
                <w:szCs w:val="22"/>
              </w:rPr>
            </w:pPr>
          </w:p>
        </w:tc>
      </w:tr>
      <w:tr w:rsidR="00BF5B2A" w:rsidTr="001826F4">
        <w:tc>
          <w:tcPr>
            <w:tcW w:w="3119" w:type="dxa"/>
            <w:shd w:val="clear" w:color="auto" w:fill="auto"/>
          </w:tcPr>
          <w:p w:rsidR="00BF5B2A" w:rsidRDefault="00BF5B2A" w:rsidP="00501A12">
            <w:pPr>
              <w:pStyle w:val="Normal1linespace"/>
              <w:widowControl w:val="0"/>
            </w:pPr>
            <w:r>
              <w:t>Division:</w:t>
            </w:r>
          </w:p>
        </w:tc>
        <w:tc>
          <w:tcPr>
            <w:tcW w:w="5954" w:type="dxa"/>
            <w:shd w:val="clear" w:color="auto" w:fill="auto"/>
          </w:tcPr>
          <w:p w:rsidR="00BF5B2A" w:rsidRPr="00F17599" w:rsidRDefault="002C0ED0" w:rsidP="00501A12">
            <w:pPr>
              <w:pStyle w:val="Normal1linespace"/>
              <w:widowControl w:val="0"/>
              <w:jc w:val="left"/>
            </w:pPr>
            <w:r>
              <w:fldChar w:fldCharType="begin"/>
            </w:r>
            <w:r>
              <w:instrText xml:space="preserve"> DOCPROPERTY  Division </w:instrText>
            </w:r>
            <w:r>
              <w:fldChar w:fldCharType="separate"/>
            </w:r>
            <w:r w:rsidR="00BF5B2A">
              <w:t>General Division</w:t>
            </w:r>
            <w:r>
              <w:fldChar w:fldCharType="end"/>
            </w:r>
          </w:p>
        </w:tc>
      </w:tr>
      <w:tr w:rsidR="00BF5B2A" w:rsidRPr="001826F4" w:rsidTr="001826F4">
        <w:tc>
          <w:tcPr>
            <w:tcW w:w="3119" w:type="dxa"/>
            <w:shd w:val="clear" w:color="auto" w:fill="auto"/>
          </w:tcPr>
          <w:p w:rsidR="00BF5B2A" w:rsidRPr="001826F4" w:rsidRDefault="00BF5B2A" w:rsidP="00501A12">
            <w:pPr>
              <w:pStyle w:val="Normal1linespace"/>
              <w:widowControl w:val="0"/>
              <w:rPr>
                <w:sz w:val="22"/>
                <w:szCs w:val="22"/>
              </w:rPr>
            </w:pPr>
            <w:bookmarkStart w:id="5" w:name="Registry_rows" w:colFirst="0" w:colLast="1"/>
          </w:p>
        </w:tc>
        <w:tc>
          <w:tcPr>
            <w:tcW w:w="5954" w:type="dxa"/>
            <w:shd w:val="clear" w:color="auto" w:fill="auto"/>
          </w:tcPr>
          <w:p w:rsidR="00BF5B2A" w:rsidRPr="001826F4" w:rsidRDefault="00BF5B2A" w:rsidP="00501A12">
            <w:pPr>
              <w:pStyle w:val="Normal1linespace"/>
              <w:widowControl w:val="0"/>
              <w:jc w:val="left"/>
              <w:rPr>
                <w:sz w:val="22"/>
                <w:szCs w:val="22"/>
              </w:rPr>
            </w:pPr>
          </w:p>
        </w:tc>
      </w:tr>
      <w:tr w:rsidR="00BF5B2A" w:rsidTr="001826F4">
        <w:tc>
          <w:tcPr>
            <w:tcW w:w="3119" w:type="dxa"/>
            <w:shd w:val="clear" w:color="auto" w:fill="auto"/>
          </w:tcPr>
          <w:p w:rsidR="00BF5B2A" w:rsidRDefault="00BF5B2A" w:rsidP="00501A12">
            <w:pPr>
              <w:pStyle w:val="Normal1linespace"/>
              <w:widowControl w:val="0"/>
            </w:pPr>
            <w:r>
              <w:t>Registry:</w:t>
            </w:r>
          </w:p>
        </w:tc>
        <w:tc>
          <w:tcPr>
            <w:tcW w:w="5954" w:type="dxa"/>
            <w:shd w:val="clear" w:color="auto" w:fill="auto"/>
          </w:tcPr>
          <w:p w:rsidR="00BF5B2A" w:rsidRPr="00F17599" w:rsidRDefault="002C0ED0" w:rsidP="00501A12">
            <w:pPr>
              <w:pStyle w:val="Normal1linespace"/>
              <w:widowControl w:val="0"/>
              <w:jc w:val="left"/>
            </w:pPr>
            <w:r>
              <w:fldChar w:fldCharType="begin"/>
            </w:r>
            <w:r>
              <w:instrText xml:space="preserve"> DOCPROPERTY  Registry </w:instrText>
            </w:r>
            <w:r>
              <w:fldChar w:fldCharType="separate"/>
            </w:r>
            <w:r w:rsidR="00BF5B2A">
              <w:t>Western Australia</w:t>
            </w:r>
            <w:r>
              <w:fldChar w:fldCharType="end"/>
            </w:r>
          </w:p>
        </w:tc>
      </w:tr>
      <w:tr w:rsidR="00BF5B2A" w:rsidRPr="001826F4" w:rsidTr="001826F4">
        <w:tc>
          <w:tcPr>
            <w:tcW w:w="3119" w:type="dxa"/>
            <w:shd w:val="clear" w:color="auto" w:fill="auto"/>
          </w:tcPr>
          <w:p w:rsidR="00BF5B2A" w:rsidRPr="001826F4" w:rsidRDefault="00BF5B2A" w:rsidP="00501A12">
            <w:pPr>
              <w:pStyle w:val="Normal1linespace"/>
              <w:widowControl w:val="0"/>
              <w:rPr>
                <w:sz w:val="22"/>
                <w:szCs w:val="22"/>
              </w:rPr>
            </w:pPr>
            <w:bookmarkStart w:id="6" w:name="NPARow" w:colFirst="0" w:colLast="1"/>
            <w:bookmarkEnd w:id="5"/>
          </w:p>
        </w:tc>
        <w:tc>
          <w:tcPr>
            <w:tcW w:w="5954" w:type="dxa"/>
            <w:shd w:val="clear" w:color="auto" w:fill="auto"/>
          </w:tcPr>
          <w:p w:rsidR="00BF5B2A" w:rsidRPr="001826F4" w:rsidRDefault="00BF5B2A" w:rsidP="00501A12">
            <w:pPr>
              <w:pStyle w:val="Normal1linespace"/>
              <w:widowControl w:val="0"/>
              <w:jc w:val="left"/>
              <w:rPr>
                <w:b/>
                <w:sz w:val="22"/>
                <w:szCs w:val="22"/>
              </w:rPr>
            </w:pPr>
          </w:p>
        </w:tc>
      </w:tr>
      <w:tr w:rsidR="00BF5B2A" w:rsidTr="001826F4">
        <w:tc>
          <w:tcPr>
            <w:tcW w:w="3119" w:type="dxa"/>
            <w:shd w:val="clear" w:color="auto" w:fill="auto"/>
          </w:tcPr>
          <w:p w:rsidR="00BF5B2A" w:rsidRDefault="00BF5B2A" w:rsidP="00501A12">
            <w:pPr>
              <w:pStyle w:val="Normal1linespace"/>
              <w:widowControl w:val="0"/>
            </w:pPr>
            <w:r>
              <w:t>National Practice Area:</w:t>
            </w:r>
          </w:p>
        </w:tc>
        <w:tc>
          <w:tcPr>
            <w:tcW w:w="5954" w:type="dxa"/>
            <w:shd w:val="clear" w:color="auto" w:fill="auto"/>
          </w:tcPr>
          <w:p w:rsidR="00BF5B2A" w:rsidRPr="00F17599" w:rsidRDefault="002C0ED0" w:rsidP="00171DBB">
            <w:pPr>
              <w:pStyle w:val="Normal1linespace"/>
              <w:widowControl w:val="0"/>
              <w:jc w:val="left"/>
              <w:rPr>
                <w:b/>
              </w:rPr>
            </w:pPr>
            <w:r>
              <w:fldChar w:fldCharType="begin"/>
            </w:r>
            <w:r>
              <w:instrText xml:space="preserve"> DOCPROPERTY  "Practice Area"  \* MERGEFORMAT </w:instrText>
            </w:r>
            <w:r>
              <w:fldChar w:fldCharType="separate"/>
            </w:r>
            <w:r w:rsidR="00BF5B2A">
              <w:t>Commercial and Corporations</w:t>
            </w:r>
            <w:r>
              <w:fldChar w:fldCharType="end"/>
            </w:r>
          </w:p>
        </w:tc>
      </w:tr>
      <w:tr w:rsidR="00BF5B2A" w:rsidRPr="001826F4" w:rsidTr="001826F4">
        <w:tc>
          <w:tcPr>
            <w:tcW w:w="3119" w:type="dxa"/>
            <w:shd w:val="clear" w:color="auto" w:fill="auto"/>
          </w:tcPr>
          <w:p w:rsidR="00BF5B2A" w:rsidRPr="001826F4" w:rsidRDefault="00BF5B2A" w:rsidP="00501A12">
            <w:pPr>
              <w:pStyle w:val="Normal1linespace"/>
              <w:widowControl w:val="0"/>
              <w:rPr>
                <w:sz w:val="22"/>
                <w:szCs w:val="22"/>
              </w:rPr>
            </w:pPr>
            <w:bookmarkStart w:id="7" w:name="SubAreaRow" w:colFirst="0" w:colLast="1"/>
            <w:bookmarkEnd w:id="6"/>
          </w:p>
        </w:tc>
        <w:tc>
          <w:tcPr>
            <w:tcW w:w="5954" w:type="dxa"/>
            <w:shd w:val="clear" w:color="auto" w:fill="auto"/>
          </w:tcPr>
          <w:p w:rsidR="00BF5B2A" w:rsidRPr="001826F4" w:rsidRDefault="00BF5B2A" w:rsidP="00171DBB">
            <w:pPr>
              <w:pStyle w:val="Normal1linespace"/>
              <w:widowControl w:val="0"/>
              <w:jc w:val="left"/>
              <w:rPr>
                <w:sz w:val="22"/>
                <w:szCs w:val="22"/>
              </w:rPr>
            </w:pPr>
          </w:p>
        </w:tc>
      </w:tr>
      <w:tr w:rsidR="00BF5B2A" w:rsidTr="001826F4">
        <w:tc>
          <w:tcPr>
            <w:tcW w:w="3119" w:type="dxa"/>
            <w:shd w:val="clear" w:color="auto" w:fill="auto"/>
          </w:tcPr>
          <w:p w:rsidR="00BF5B2A" w:rsidRDefault="00BF5B2A" w:rsidP="00501A12">
            <w:pPr>
              <w:pStyle w:val="Normal1linespace"/>
              <w:widowControl w:val="0"/>
            </w:pPr>
            <w:r>
              <w:t>Sub-area:</w:t>
            </w:r>
          </w:p>
        </w:tc>
        <w:tc>
          <w:tcPr>
            <w:tcW w:w="5954" w:type="dxa"/>
            <w:shd w:val="clear" w:color="auto" w:fill="auto"/>
          </w:tcPr>
          <w:p w:rsidR="00BF5B2A" w:rsidRPr="00837288" w:rsidRDefault="002C0ED0" w:rsidP="00435936">
            <w:pPr>
              <w:pStyle w:val="Normal1linespace"/>
              <w:widowControl w:val="0"/>
              <w:jc w:val="left"/>
            </w:pPr>
            <w:r>
              <w:fldChar w:fldCharType="begin"/>
            </w:r>
            <w:r>
              <w:instrText xml:space="preserve"> DOCPROPERTY  "Sub Area"  \* MERGEFORMAT </w:instrText>
            </w:r>
            <w:r>
              <w:fldChar w:fldCharType="separate"/>
            </w:r>
            <w:r w:rsidR="00BF5B2A" w:rsidRPr="00BF5B2A">
              <w:rPr>
                <w:lang w:val="en-US"/>
              </w:rPr>
              <w:t>Regulator and Consumer</w:t>
            </w:r>
            <w:r w:rsidR="00BF5B2A">
              <w:t xml:space="preserve"> Protection</w:t>
            </w:r>
            <w:r>
              <w:fldChar w:fldCharType="end"/>
            </w:r>
          </w:p>
        </w:tc>
      </w:tr>
      <w:bookmarkEnd w:id="7"/>
      <w:tr w:rsidR="00572156" w:rsidRPr="001826F4" w:rsidTr="001826F4">
        <w:tc>
          <w:tcPr>
            <w:tcW w:w="3119" w:type="dxa"/>
            <w:shd w:val="clear" w:color="auto" w:fill="auto"/>
          </w:tcPr>
          <w:p w:rsidR="00572156" w:rsidRPr="001826F4" w:rsidRDefault="00572156" w:rsidP="002F7154">
            <w:pPr>
              <w:pStyle w:val="Normal1linespace"/>
              <w:widowControl w:val="0"/>
              <w:rPr>
                <w:sz w:val="22"/>
                <w:szCs w:val="22"/>
              </w:rPr>
            </w:pPr>
          </w:p>
        </w:tc>
        <w:tc>
          <w:tcPr>
            <w:tcW w:w="5954" w:type="dxa"/>
            <w:shd w:val="clear" w:color="auto" w:fill="auto"/>
          </w:tcPr>
          <w:p w:rsidR="00572156" w:rsidRPr="001826F4" w:rsidRDefault="00572156" w:rsidP="002F7154">
            <w:pPr>
              <w:pStyle w:val="Normal1linespace"/>
              <w:widowControl w:val="0"/>
              <w:jc w:val="left"/>
              <w:rPr>
                <w:sz w:val="22"/>
                <w:szCs w:val="22"/>
              </w:rPr>
            </w:pPr>
          </w:p>
        </w:tc>
      </w:tr>
      <w:tr w:rsidR="000172CF" w:rsidTr="001826F4">
        <w:tc>
          <w:tcPr>
            <w:tcW w:w="3119" w:type="dxa"/>
            <w:shd w:val="clear" w:color="auto" w:fill="auto"/>
          </w:tcPr>
          <w:p w:rsidR="000172CF" w:rsidRDefault="000172CF" w:rsidP="00501A12">
            <w:pPr>
              <w:pStyle w:val="Normal1linespace"/>
              <w:widowControl w:val="0"/>
            </w:pPr>
            <w:r>
              <w:t>Number of paragraphs:</w:t>
            </w:r>
          </w:p>
        </w:tc>
        <w:tc>
          <w:tcPr>
            <w:tcW w:w="5954" w:type="dxa"/>
            <w:shd w:val="clear" w:color="auto" w:fill="auto"/>
          </w:tcPr>
          <w:p w:rsidR="000172CF" w:rsidRDefault="001826F4" w:rsidP="00501A12">
            <w:pPr>
              <w:pStyle w:val="Normal1linespace"/>
              <w:widowControl w:val="0"/>
              <w:jc w:val="left"/>
            </w:pPr>
            <w:bookmarkStart w:id="8" w:name="PlaceCategoryParagraphs"/>
            <w:r>
              <w:t>44</w:t>
            </w:r>
            <w:bookmarkEnd w:id="8"/>
          </w:p>
        </w:tc>
      </w:tr>
      <w:tr w:rsidR="000172CF" w:rsidRPr="001826F4" w:rsidTr="001826F4">
        <w:tc>
          <w:tcPr>
            <w:tcW w:w="3119" w:type="dxa"/>
            <w:shd w:val="clear" w:color="auto" w:fill="auto"/>
          </w:tcPr>
          <w:p w:rsidR="000172CF" w:rsidRPr="001826F4" w:rsidRDefault="000172CF" w:rsidP="000172CF">
            <w:pPr>
              <w:pStyle w:val="Normal1linespace"/>
              <w:widowControl w:val="0"/>
              <w:jc w:val="left"/>
              <w:rPr>
                <w:sz w:val="22"/>
                <w:szCs w:val="22"/>
              </w:rPr>
            </w:pPr>
          </w:p>
        </w:tc>
        <w:tc>
          <w:tcPr>
            <w:tcW w:w="5954" w:type="dxa"/>
            <w:shd w:val="clear" w:color="auto" w:fill="auto"/>
          </w:tcPr>
          <w:p w:rsidR="000172CF" w:rsidRPr="001826F4" w:rsidRDefault="000172CF" w:rsidP="000172CF">
            <w:pPr>
              <w:pStyle w:val="Normal1linespace"/>
              <w:widowControl w:val="0"/>
              <w:jc w:val="left"/>
              <w:rPr>
                <w:sz w:val="22"/>
                <w:szCs w:val="22"/>
              </w:rPr>
            </w:pPr>
          </w:p>
        </w:tc>
      </w:tr>
      <w:tr w:rsidR="000172CF" w:rsidTr="001826F4">
        <w:tc>
          <w:tcPr>
            <w:tcW w:w="3119" w:type="dxa"/>
            <w:shd w:val="clear" w:color="auto" w:fill="auto"/>
          </w:tcPr>
          <w:p w:rsidR="000172CF" w:rsidRDefault="000172CF" w:rsidP="000172CF">
            <w:pPr>
              <w:pStyle w:val="Normal1linespace"/>
              <w:widowControl w:val="0"/>
              <w:jc w:val="left"/>
            </w:pPr>
            <w:bookmarkStart w:id="9" w:name="CounselDate" w:colFirst="0" w:colLast="2"/>
            <w:r w:rsidRPr="006A24E3">
              <w:t>Date of hearing:</w:t>
            </w:r>
          </w:p>
        </w:tc>
        <w:tc>
          <w:tcPr>
            <w:tcW w:w="5954" w:type="dxa"/>
            <w:shd w:val="clear" w:color="auto" w:fill="auto"/>
          </w:tcPr>
          <w:p w:rsidR="000172CF" w:rsidRDefault="00572156" w:rsidP="00572156">
            <w:pPr>
              <w:pStyle w:val="Normal1linespace"/>
              <w:widowControl w:val="0"/>
              <w:jc w:val="left"/>
            </w:pPr>
            <w:bookmarkStart w:id="10" w:name="HearingDate"/>
            <w:r>
              <w:t>6 October 2021</w:t>
            </w:r>
            <w:bookmarkEnd w:id="10"/>
          </w:p>
        </w:tc>
      </w:tr>
      <w:tr w:rsidR="000172CF" w:rsidRPr="001826F4" w:rsidTr="001826F4">
        <w:tc>
          <w:tcPr>
            <w:tcW w:w="3119" w:type="dxa"/>
            <w:shd w:val="clear" w:color="auto" w:fill="auto"/>
          </w:tcPr>
          <w:p w:rsidR="000172CF" w:rsidRPr="001826F4" w:rsidRDefault="000172CF" w:rsidP="000172CF">
            <w:pPr>
              <w:pStyle w:val="Normal1linespace"/>
              <w:widowControl w:val="0"/>
              <w:jc w:val="left"/>
              <w:rPr>
                <w:sz w:val="22"/>
                <w:szCs w:val="22"/>
              </w:rPr>
            </w:pPr>
          </w:p>
        </w:tc>
        <w:tc>
          <w:tcPr>
            <w:tcW w:w="5954" w:type="dxa"/>
            <w:shd w:val="clear" w:color="auto" w:fill="auto"/>
          </w:tcPr>
          <w:p w:rsidR="000172CF" w:rsidRPr="001826F4" w:rsidRDefault="000172CF" w:rsidP="000172CF">
            <w:pPr>
              <w:pStyle w:val="Normal1linespace"/>
              <w:widowControl w:val="0"/>
              <w:jc w:val="left"/>
              <w:rPr>
                <w:sz w:val="22"/>
                <w:szCs w:val="22"/>
              </w:rPr>
            </w:pPr>
          </w:p>
        </w:tc>
      </w:tr>
      <w:tr w:rsidR="00572156" w:rsidTr="001826F4">
        <w:tc>
          <w:tcPr>
            <w:tcW w:w="3119" w:type="dxa"/>
            <w:shd w:val="clear" w:color="auto" w:fill="auto"/>
          </w:tcPr>
          <w:p w:rsidR="00572156" w:rsidRDefault="00572156" w:rsidP="00572156">
            <w:pPr>
              <w:pStyle w:val="Normal1linespace"/>
              <w:widowControl w:val="0"/>
              <w:jc w:val="left"/>
            </w:pPr>
            <w:bookmarkStart w:id="11" w:name="Counsel" w:colFirst="0" w:colLast="2"/>
            <w:bookmarkEnd w:id="9"/>
            <w:r>
              <w:t>Counsel for the Applicant:</w:t>
            </w:r>
          </w:p>
        </w:tc>
        <w:tc>
          <w:tcPr>
            <w:tcW w:w="5954" w:type="dxa"/>
            <w:shd w:val="clear" w:color="auto" w:fill="auto"/>
          </w:tcPr>
          <w:p w:rsidR="00572156" w:rsidRDefault="00F22F5B" w:rsidP="009E25C0">
            <w:pPr>
              <w:pStyle w:val="Normal1linespace"/>
              <w:widowControl w:val="0"/>
              <w:jc w:val="left"/>
            </w:pPr>
            <w:bookmarkStart w:id="12" w:name="AppCounsel"/>
            <w:bookmarkEnd w:id="12"/>
            <w:r>
              <w:t>Mr </w:t>
            </w:r>
            <w:r w:rsidR="00AE7BC5">
              <w:t>MJ Smith</w:t>
            </w:r>
            <w:r w:rsidR="00124F3A">
              <w:t xml:space="preserve"> </w:t>
            </w:r>
            <w:r w:rsidR="009E25C0">
              <w:t>with</w:t>
            </w:r>
            <w:r w:rsidR="00124F3A">
              <w:t xml:space="preserve"> </w:t>
            </w:r>
            <w:r>
              <w:t>Ms </w:t>
            </w:r>
            <w:r w:rsidR="00124F3A">
              <w:t xml:space="preserve">JA Thornton </w:t>
            </w:r>
            <w:r w:rsidR="009E25C0">
              <w:t>and</w:t>
            </w:r>
            <w:r w:rsidR="00124F3A">
              <w:t xml:space="preserve"> </w:t>
            </w:r>
            <w:r>
              <w:t>Mr </w:t>
            </w:r>
            <w:r w:rsidR="00124F3A">
              <w:t>M Johnston</w:t>
            </w:r>
          </w:p>
        </w:tc>
      </w:tr>
      <w:tr w:rsidR="00572156" w:rsidRPr="001826F4" w:rsidTr="001826F4">
        <w:tc>
          <w:tcPr>
            <w:tcW w:w="3119" w:type="dxa"/>
            <w:shd w:val="clear" w:color="auto" w:fill="auto"/>
          </w:tcPr>
          <w:p w:rsidR="00572156" w:rsidRPr="001826F4" w:rsidRDefault="00572156" w:rsidP="00572156">
            <w:pPr>
              <w:pStyle w:val="Normal1linespace"/>
              <w:widowControl w:val="0"/>
              <w:jc w:val="left"/>
              <w:rPr>
                <w:sz w:val="22"/>
                <w:szCs w:val="22"/>
              </w:rPr>
            </w:pPr>
          </w:p>
        </w:tc>
        <w:tc>
          <w:tcPr>
            <w:tcW w:w="5954" w:type="dxa"/>
            <w:shd w:val="clear" w:color="auto" w:fill="auto"/>
          </w:tcPr>
          <w:p w:rsidR="00572156" w:rsidRPr="001826F4" w:rsidRDefault="00572156" w:rsidP="00572156">
            <w:pPr>
              <w:pStyle w:val="Normal1linespace"/>
              <w:widowControl w:val="0"/>
              <w:jc w:val="left"/>
              <w:rPr>
                <w:sz w:val="22"/>
                <w:szCs w:val="22"/>
              </w:rPr>
            </w:pPr>
          </w:p>
        </w:tc>
      </w:tr>
      <w:tr w:rsidR="00572156" w:rsidTr="001826F4">
        <w:tc>
          <w:tcPr>
            <w:tcW w:w="3119" w:type="dxa"/>
            <w:shd w:val="clear" w:color="auto" w:fill="auto"/>
          </w:tcPr>
          <w:p w:rsidR="00572156" w:rsidRDefault="00572156" w:rsidP="00572156">
            <w:pPr>
              <w:pStyle w:val="Normal1linespace"/>
              <w:widowControl w:val="0"/>
              <w:jc w:val="left"/>
            </w:pPr>
            <w:r>
              <w:t>Solicitor for the Applicant:</w:t>
            </w:r>
          </w:p>
        </w:tc>
        <w:tc>
          <w:tcPr>
            <w:tcW w:w="5954" w:type="dxa"/>
            <w:shd w:val="clear" w:color="auto" w:fill="auto"/>
          </w:tcPr>
          <w:p w:rsidR="00572156" w:rsidRDefault="00572156" w:rsidP="00572156">
            <w:pPr>
              <w:pStyle w:val="Normal1linespace"/>
              <w:widowControl w:val="0"/>
              <w:jc w:val="left"/>
            </w:pPr>
            <w:r>
              <w:t>Solomon Brothers</w:t>
            </w:r>
          </w:p>
        </w:tc>
      </w:tr>
      <w:tr w:rsidR="00572156" w:rsidRPr="001826F4" w:rsidTr="001826F4">
        <w:tc>
          <w:tcPr>
            <w:tcW w:w="3119" w:type="dxa"/>
            <w:shd w:val="clear" w:color="auto" w:fill="auto"/>
          </w:tcPr>
          <w:p w:rsidR="00572156" w:rsidRPr="001826F4" w:rsidRDefault="00572156" w:rsidP="00572156">
            <w:pPr>
              <w:pStyle w:val="Normal1linespace"/>
              <w:widowControl w:val="0"/>
              <w:jc w:val="left"/>
              <w:rPr>
                <w:sz w:val="22"/>
                <w:szCs w:val="22"/>
              </w:rPr>
            </w:pPr>
          </w:p>
        </w:tc>
        <w:tc>
          <w:tcPr>
            <w:tcW w:w="5954" w:type="dxa"/>
            <w:shd w:val="clear" w:color="auto" w:fill="auto"/>
          </w:tcPr>
          <w:p w:rsidR="00572156" w:rsidRPr="001826F4" w:rsidRDefault="00572156" w:rsidP="00572156">
            <w:pPr>
              <w:pStyle w:val="Normal1linespace"/>
              <w:widowControl w:val="0"/>
              <w:jc w:val="left"/>
              <w:rPr>
                <w:sz w:val="22"/>
                <w:szCs w:val="22"/>
              </w:rPr>
            </w:pPr>
          </w:p>
        </w:tc>
      </w:tr>
      <w:tr w:rsidR="00572156" w:rsidTr="001826F4">
        <w:tc>
          <w:tcPr>
            <w:tcW w:w="3119" w:type="dxa"/>
            <w:shd w:val="clear" w:color="auto" w:fill="auto"/>
          </w:tcPr>
          <w:p w:rsidR="00572156" w:rsidRDefault="00572156" w:rsidP="00572156">
            <w:pPr>
              <w:pStyle w:val="Normal1linespace"/>
              <w:widowControl w:val="0"/>
              <w:jc w:val="left"/>
            </w:pPr>
            <w:r>
              <w:t>Counsel for the Respondents:</w:t>
            </w:r>
          </w:p>
        </w:tc>
        <w:tc>
          <w:tcPr>
            <w:tcW w:w="5954" w:type="dxa"/>
            <w:shd w:val="clear" w:color="auto" w:fill="auto"/>
          </w:tcPr>
          <w:p w:rsidR="00572156" w:rsidRDefault="00F22F5B" w:rsidP="00572156">
            <w:pPr>
              <w:pStyle w:val="Normal1linespace"/>
              <w:widowControl w:val="0"/>
              <w:jc w:val="left"/>
            </w:pPr>
            <w:r>
              <w:t>Mr </w:t>
            </w:r>
            <w:r w:rsidR="00AE7BC5" w:rsidRPr="00124F3A">
              <w:t>W</w:t>
            </w:r>
            <w:r w:rsidR="00124F3A" w:rsidRPr="00124F3A">
              <w:t>A</w:t>
            </w:r>
            <w:r w:rsidR="00AE7BC5" w:rsidRPr="00124F3A">
              <w:t xml:space="preserve"> K</w:t>
            </w:r>
            <w:r w:rsidR="00AE7BC5">
              <w:t>eane</w:t>
            </w:r>
          </w:p>
        </w:tc>
      </w:tr>
      <w:tr w:rsidR="00572156" w:rsidRPr="001826F4" w:rsidTr="001826F4">
        <w:tc>
          <w:tcPr>
            <w:tcW w:w="3119" w:type="dxa"/>
            <w:shd w:val="clear" w:color="auto" w:fill="auto"/>
          </w:tcPr>
          <w:p w:rsidR="00572156" w:rsidRPr="001826F4" w:rsidRDefault="00572156" w:rsidP="00572156">
            <w:pPr>
              <w:pStyle w:val="Normal1linespace"/>
              <w:widowControl w:val="0"/>
              <w:jc w:val="left"/>
              <w:rPr>
                <w:sz w:val="22"/>
                <w:szCs w:val="22"/>
              </w:rPr>
            </w:pPr>
          </w:p>
        </w:tc>
        <w:tc>
          <w:tcPr>
            <w:tcW w:w="5954" w:type="dxa"/>
            <w:shd w:val="clear" w:color="auto" w:fill="auto"/>
          </w:tcPr>
          <w:p w:rsidR="00572156" w:rsidRPr="001826F4" w:rsidRDefault="00572156" w:rsidP="00572156">
            <w:pPr>
              <w:pStyle w:val="Normal1linespace"/>
              <w:widowControl w:val="0"/>
              <w:jc w:val="left"/>
              <w:rPr>
                <w:sz w:val="22"/>
                <w:szCs w:val="22"/>
              </w:rPr>
            </w:pPr>
          </w:p>
        </w:tc>
      </w:tr>
      <w:tr w:rsidR="00572156" w:rsidTr="001826F4">
        <w:tc>
          <w:tcPr>
            <w:tcW w:w="3119" w:type="dxa"/>
            <w:shd w:val="clear" w:color="auto" w:fill="auto"/>
          </w:tcPr>
          <w:p w:rsidR="00572156" w:rsidRDefault="00572156" w:rsidP="00572156">
            <w:pPr>
              <w:pStyle w:val="Normal1linespace"/>
              <w:widowControl w:val="0"/>
              <w:jc w:val="left"/>
            </w:pPr>
            <w:r>
              <w:t>Solicitor for the Respondents:</w:t>
            </w:r>
          </w:p>
        </w:tc>
        <w:tc>
          <w:tcPr>
            <w:tcW w:w="5954" w:type="dxa"/>
            <w:shd w:val="clear" w:color="auto" w:fill="auto"/>
          </w:tcPr>
          <w:p w:rsidR="00572156" w:rsidRDefault="00572156" w:rsidP="00572156">
            <w:pPr>
              <w:pStyle w:val="Normal1linespace"/>
              <w:widowControl w:val="0"/>
              <w:jc w:val="left"/>
            </w:pPr>
            <w:r>
              <w:t>Clayton Utz</w:t>
            </w:r>
          </w:p>
        </w:tc>
      </w:tr>
      <w:bookmarkEnd w:id="11"/>
    </w:tbl>
    <w:p w:rsidR="00395B24" w:rsidRDefault="00395B24">
      <w:pPr>
        <w:pStyle w:val="Normal1linespace"/>
        <w:sectPr w:rsidR="00395B24" w:rsidSect="001F2473">
          <w:footerReference w:type="default" r:id="rId9"/>
          <w:endnotePr>
            <w:numFmt w:val="decimal"/>
          </w:endnotePr>
          <w:type w:val="continuous"/>
          <w:pgSz w:w="11907" w:h="16840" w:code="9"/>
          <w:pgMar w:top="1440" w:right="1440" w:bottom="1440" w:left="1440" w:header="851" w:footer="768" w:gutter="0"/>
          <w:pgNumType w:start="1"/>
          <w:cols w:space="720"/>
          <w:noEndnote/>
          <w:titlePg/>
        </w:sectPr>
      </w:pPr>
    </w:p>
    <w:p w:rsidR="008C7167" w:rsidRPr="00045BB7" w:rsidRDefault="0011419D" w:rsidP="00045BB7">
      <w:pPr>
        <w:pStyle w:val="NormalHeadings"/>
        <w:spacing w:line="480" w:lineRule="auto"/>
        <w:jc w:val="center"/>
        <w:rPr>
          <w:sz w:val="28"/>
          <w:szCs w:val="28"/>
        </w:rPr>
      </w:pPr>
      <w:r w:rsidRPr="00045BB7">
        <w:rPr>
          <w:sz w:val="28"/>
          <w:szCs w:val="28"/>
        </w:rPr>
        <w:lastRenderedPageBreak/>
        <w:t>ORDERS</w:t>
      </w:r>
    </w:p>
    <w:tbl>
      <w:tblPr>
        <w:tblW w:w="0" w:type="auto"/>
        <w:tblLayout w:type="fixed"/>
        <w:tblLook w:val="0000" w:firstRow="0" w:lastRow="0" w:firstColumn="0" w:lastColumn="0" w:noHBand="0" w:noVBand="0"/>
        <w:tblCaption w:val="Parties"/>
        <w:tblDescription w:val="Parties"/>
      </w:tblPr>
      <w:tblGrid>
        <w:gridCol w:w="2376"/>
        <w:gridCol w:w="4536"/>
        <w:gridCol w:w="2330"/>
      </w:tblGrid>
      <w:tr w:rsidR="00A46CCC" w:rsidTr="00E81DA6">
        <w:tc>
          <w:tcPr>
            <w:tcW w:w="6912" w:type="dxa"/>
            <w:gridSpan w:val="2"/>
          </w:tcPr>
          <w:p w:rsidR="00A46CCC" w:rsidRPr="001765E0" w:rsidRDefault="00A46CCC" w:rsidP="00525A49">
            <w:pPr>
              <w:pStyle w:val="NormalHeadings"/>
            </w:pPr>
          </w:p>
        </w:tc>
        <w:tc>
          <w:tcPr>
            <w:tcW w:w="2330" w:type="dxa"/>
          </w:tcPr>
          <w:p w:rsidR="00A46CCC" w:rsidRDefault="00BF5B2A" w:rsidP="00F92355">
            <w:pPr>
              <w:pStyle w:val="NormalHeadings"/>
              <w:jc w:val="right"/>
            </w:pPr>
            <w:bookmarkStart w:id="13" w:name="FileNo"/>
            <w:r>
              <w:t>WAD 448 of 2017</w:t>
            </w:r>
            <w:bookmarkEnd w:id="13"/>
          </w:p>
        </w:tc>
      </w:tr>
      <w:tr w:rsidR="00A76C13" w:rsidTr="00F461A4">
        <w:tc>
          <w:tcPr>
            <w:tcW w:w="9242" w:type="dxa"/>
            <w:gridSpan w:val="3"/>
          </w:tcPr>
          <w:p w:rsidR="00A76C13" w:rsidRPr="00A76C13" w:rsidRDefault="00BF5B2A" w:rsidP="00BF5B2A">
            <w:pPr>
              <w:pStyle w:val="NormalHeadings"/>
              <w:jc w:val="left"/>
            </w:pPr>
            <w:bookmarkStart w:id="14" w:name="InTheMatterOf"/>
            <w:r>
              <w:t xml:space="preserve"> </w:t>
            </w:r>
            <w:bookmarkEnd w:id="14"/>
          </w:p>
        </w:tc>
      </w:tr>
      <w:tr w:rsidR="00A46CCC" w:rsidTr="005041F0">
        <w:trPr>
          <w:trHeight w:val="386"/>
        </w:trPr>
        <w:tc>
          <w:tcPr>
            <w:tcW w:w="2376" w:type="dxa"/>
          </w:tcPr>
          <w:p w:rsidR="00A46CCC" w:rsidRDefault="00A46CCC" w:rsidP="005041F0">
            <w:pPr>
              <w:pStyle w:val="NormalHeadings"/>
              <w:jc w:val="left"/>
              <w:rPr>
                <w:caps/>
                <w:szCs w:val="24"/>
              </w:rPr>
            </w:pPr>
            <w:bookmarkStart w:id="15" w:name="Parties"/>
            <w:r>
              <w:rPr>
                <w:caps/>
                <w:szCs w:val="24"/>
              </w:rPr>
              <w:t>BETWEEN:</w:t>
            </w:r>
          </w:p>
        </w:tc>
        <w:tc>
          <w:tcPr>
            <w:tcW w:w="6866" w:type="dxa"/>
            <w:gridSpan w:val="2"/>
          </w:tcPr>
          <w:p w:rsidR="00BF5B2A" w:rsidRDefault="00BF5B2A" w:rsidP="00BF5B2A">
            <w:pPr>
              <w:pStyle w:val="NormalHeadings"/>
              <w:jc w:val="left"/>
            </w:pPr>
            <w:bookmarkStart w:id="16" w:name="Applicant"/>
            <w:r>
              <w:t>JKC AUSTRALIA LNG PTY LTD (ACN 154 383 409)</w:t>
            </w:r>
          </w:p>
          <w:p w:rsidR="00BF5B2A" w:rsidRDefault="00BF5B2A" w:rsidP="00BF5B2A">
            <w:pPr>
              <w:pStyle w:val="PartyType"/>
            </w:pPr>
            <w:r>
              <w:t>Applicant</w:t>
            </w:r>
          </w:p>
          <w:bookmarkEnd w:id="16"/>
          <w:p w:rsidR="00A46CCC" w:rsidRPr="006555B4" w:rsidRDefault="00A46CCC" w:rsidP="005041F0">
            <w:pPr>
              <w:pStyle w:val="NormalHeadings"/>
              <w:jc w:val="left"/>
            </w:pPr>
          </w:p>
        </w:tc>
      </w:tr>
      <w:tr w:rsidR="00A46CCC" w:rsidTr="005041F0">
        <w:trPr>
          <w:trHeight w:val="386"/>
        </w:trPr>
        <w:tc>
          <w:tcPr>
            <w:tcW w:w="2376" w:type="dxa"/>
          </w:tcPr>
          <w:p w:rsidR="00A46CCC" w:rsidRDefault="00A46CCC" w:rsidP="005041F0">
            <w:pPr>
              <w:pStyle w:val="NormalHeadings"/>
              <w:jc w:val="left"/>
              <w:rPr>
                <w:caps/>
                <w:szCs w:val="24"/>
              </w:rPr>
            </w:pPr>
            <w:r>
              <w:rPr>
                <w:caps/>
                <w:szCs w:val="24"/>
              </w:rPr>
              <w:t>AND:</w:t>
            </w:r>
          </w:p>
        </w:tc>
        <w:tc>
          <w:tcPr>
            <w:tcW w:w="6866" w:type="dxa"/>
            <w:gridSpan w:val="2"/>
          </w:tcPr>
          <w:p w:rsidR="00572156" w:rsidRDefault="00572156" w:rsidP="00BF5B2A">
            <w:pPr>
              <w:pStyle w:val="NormalHeadings"/>
              <w:jc w:val="left"/>
            </w:pPr>
            <w:bookmarkStart w:id="17" w:name="Respondent"/>
            <w:r>
              <w:t>AKZONOBEL NV</w:t>
            </w:r>
          </w:p>
          <w:p w:rsidR="00572156" w:rsidRDefault="00572156" w:rsidP="00BF5B2A">
            <w:pPr>
              <w:pStyle w:val="PartyType"/>
            </w:pPr>
            <w:r>
              <w:t>First Respondent</w:t>
            </w:r>
          </w:p>
          <w:p w:rsidR="00572156" w:rsidRDefault="00572156" w:rsidP="005041F0">
            <w:pPr>
              <w:pStyle w:val="NormalHeadings"/>
              <w:jc w:val="left"/>
            </w:pPr>
          </w:p>
          <w:p w:rsidR="00572156" w:rsidRDefault="00572156" w:rsidP="00BF5B2A">
            <w:pPr>
              <w:pStyle w:val="NormalHeadings"/>
              <w:jc w:val="left"/>
            </w:pPr>
            <w:r>
              <w:t>INTERNATIONAL PAINT LIMITED</w:t>
            </w:r>
          </w:p>
          <w:p w:rsidR="00A46CCC" w:rsidRDefault="00572156" w:rsidP="00BF5B2A">
            <w:pPr>
              <w:pStyle w:val="PartyType"/>
            </w:pPr>
            <w:r>
              <w:t>Second Respondent</w:t>
            </w:r>
            <w:bookmarkEnd w:id="17"/>
          </w:p>
          <w:p w:rsidR="00124F3A" w:rsidRPr="006555B4" w:rsidRDefault="00124F3A" w:rsidP="00124F3A">
            <w:pPr>
              <w:pStyle w:val="PartyType"/>
            </w:pPr>
          </w:p>
        </w:tc>
      </w:tr>
    </w:tbl>
    <w:p w:rsidR="00395B24" w:rsidRDefault="00395B24">
      <w:pPr>
        <w:pStyle w:val="NormalHeadings"/>
      </w:pPr>
      <w:bookmarkStart w:id="18" w:name="CrossClaimPosition"/>
      <w:bookmarkEnd w:id="15"/>
      <w:bookmarkEnd w:id="18"/>
    </w:p>
    <w:tbl>
      <w:tblPr>
        <w:tblW w:w="0" w:type="auto"/>
        <w:tblLayout w:type="fixed"/>
        <w:tblLook w:val="0000" w:firstRow="0" w:lastRow="0" w:firstColumn="0" w:lastColumn="0" w:noHBand="0" w:noVBand="0"/>
        <w:tblCaption w:val="Judge"/>
        <w:tblDescription w:val="Judge"/>
      </w:tblPr>
      <w:tblGrid>
        <w:gridCol w:w="2376"/>
        <w:gridCol w:w="6866"/>
      </w:tblGrid>
      <w:tr w:rsidR="00395B24">
        <w:tc>
          <w:tcPr>
            <w:tcW w:w="2376" w:type="dxa"/>
          </w:tcPr>
          <w:p w:rsidR="00395B24" w:rsidRDefault="00974709">
            <w:pPr>
              <w:pStyle w:val="NormalHeadings"/>
              <w:spacing w:after="120"/>
              <w:jc w:val="left"/>
              <w:rPr>
                <w:caps/>
                <w:szCs w:val="24"/>
              </w:rPr>
            </w:pPr>
            <w:bookmarkStart w:id="19" w:name="JudgeText"/>
            <w:r>
              <w:rPr>
                <w:caps/>
                <w:szCs w:val="24"/>
              </w:rPr>
              <w:t>order made by</w:t>
            </w:r>
            <w:bookmarkEnd w:id="19"/>
            <w:r w:rsidR="002C7385">
              <w:rPr>
                <w:caps/>
                <w:szCs w:val="24"/>
              </w:rPr>
              <w:t>:</w:t>
            </w:r>
          </w:p>
        </w:tc>
        <w:tc>
          <w:tcPr>
            <w:tcW w:w="6866" w:type="dxa"/>
          </w:tcPr>
          <w:p w:rsidR="00395B24" w:rsidRDefault="00BF5B2A">
            <w:pPr>
              <w:pStyle w:val="NormalHeadings"/>
              <w:jc w:val="left"/>
              <w:rPr>
                <w:caps/>
                <w:szCs w:val="24"/>
              </w:rPr>
            </w:pPr>
            <w:bookmarkStart w:id="20" w:name="Judge"/>
            <w:r>
              <w:rPr>
                <w:caps/>
                <w:szCs w:val="24"/>
              </w:rPr>
              <w:t>BANKS-SMITH J</w:t>
            </w:r>
            <w:bookmarkEnd w:id="20"/>
          </w:p>
        </w:tc>
      </w:tr>
      <w:tr w:rsidR="00395B24">
        <w:tc>
          <w:tcPr>
            <w:tcW w:w="2376" w:type="dxa"/>
          </w:tcPr>
          <w:p w:rsidR="00395B24" w:rsidRDefault="002C7385">
            <w:pPr>
              <w:pStyle w:val="NormalHeadings"/>
              <w:spacing w:after="120"/>
              <w:jc w:val="left"/>
              <w:rPr>
                <w:caps/>
                <w:szCs w:val="24"/>
              </w:rPr>
            </w:pPr>
            <w:r>
              <w:rPr>
                <w:caps/>
                <w:szCs w:val="24"/>
              </w:rPr>
              <w:t>DATE OF ORDER:</w:t>
            </w:r>
          </w:p>
        </w:tc>
        <w:tc>
          <w:tcPr>
            <w:tcW w:w="6866" w:type="dxa"/>
          </w:tcPr>
          <w:p w:rsidR="00395B24" w:rsidRDefault="007F4D0A">
            <w:pPr>
              <w:pStyle w:val="NormalHeadings"/>
              <w:jc w:val="left"/>
              <w:rPr>
                <w:caps/>
                <w:szCs w:val="24"/>
              </w:rPr>
            </w:pPr>
            <w:bookmarkStart w:id="21" w:name="Judgment_Dated"/>
            <w:r>
              <w:rPr>
                <w:caps/>
                <w:szCs w:val="24"/>
              </w:rPr>
              <w:t>8</w:t>
            </w:r>
            <w:r w:rsidR="00BF5B2A">
              <w:rPr>
                <w:caps/>
                <w:szCs w:val="24"/>
              </w:rPr>
              <w:t xml:space="preserve"> OCTOBER 2021</w:t>
            </w:r>
            <w:bookmarkEnd w:id="21"/>
          </w:p>
        </w:tc>
      </w:tr>
    </w:tbl>
    <w:p w:rsidR="00395B24" w:rsidRDefault="00395B24">
      <w:pPr>
        <w:pStyle w:val="NormalHeadings"/>
        <w:rPr>
          <w:b w:val="0"/>
        </w:rPr>
      </w:pPr>
    </w:p>
    <w:p w:rsidR="008D1617" w:rsidRDefault="008D1617">
      <w:pPr>
        <w:pStyle w:val="NormalHeadings"/>
        <w:rPr>
          <w:b w:val="0"/>
        </w:rPr>
      </w:pPr>
    </w:p>
    <w:p w:rsidR="00395B24" w:rsidRDefault="002C7385">
      <w:pPr>
        <w:pStyle w:val="NormalHeadings"/>
      </w:pPr>
      <w:r>
        <w:t>THE COURT ORDERS THAT:</w:t>
      </w:r>
    </w:p>
    <w:p w:rsidR="007F60DF" w:rsidRDefault="007F60DF" w:rsidP="00243E5E">
      <w:pPr>
        <w:pStyle w:val="NormalHeadings"/>
      </w:pPr>
    </w:p>
    <w:p w:rsidR="007F4D0A" w:rsidRDefault="007F4D0A" w:rsidP="007F4D0A">
      <w:pPr>
        <w:pStyle w:val="Order1"/>
        <w:tabs>
          <w:tab w:val="clear" w:pos="720"/>
        </w:tabs>
      </w:pPr>
      <w:r>
        <w:t>Subject to orders 2, 3 and 4 below, JKC Australia LNG Pty Ltd (</w:t>
      </w:r>
      <w:r w:rsidRPr="00C053B1">
        <w:rPr>
          <w:b/>
        </w:rPr>
        <w:t>JKC</w:t>
      </w:r>
      <w:r>
        <w:t>), which is the applicant in the present proceedings be released from its respective obligations to use the documents listed in Annexures A, B and C (by their unique document identifiers) to these orders (</w:t>
      </w:r>
      <w:r w:rsidRPr="00C053B1">
        <w:rPr>
          <w:b/>
        </w:rPr>
        <w:t>Relevant Documents</w:t>
      </w:r>
      <w:r>
        <w:t>) only for the purpose of this proceeding, to the extent only that they may use the Relevant Documents:</w:t>
      </w:r>
    </w:p>
    <w:p w:rsidR="007F4D0A" w:rsidRDefault="007F4D0A" w:rsidP="007F4D0A">
      <w:pPr>
        <w:pStyle w:val="Order2"/>
      </w:pPr>
      <w:r>
        <w:t>for the purposes of any claims between JKC and:</w:t>
      </w:r>
    </w:p>
    <w:p w:rsidR="007F4D0A" w:rsidRDefault="007F4D0A" w:rsidP="007F4D0A">
      <w:pPr>
        <w:pStyle w:val="Order3"/>
      </w:pPr>
      <w:r>
        <w:t>INPEX Operations Australia Pty Ltd (</w:t>
      </w:r>
      <w:r w:rsidRPr="00C053B1">
        <w:rPr>
          <w:b/>
        </w:rPr>
        <w:t>INPEX</w:t>
      </w:r>
      <w:r>
        <w:t>); and/or</w:t>
      </w:r>
    </w:p>
    <w:p w:rsidR="007F4D0A" w:rsidRDefault="007F4D0A" w:rsidP="007F4D0A">
      <w:pPr>
        <w:pStyle w:val="Order3"/>
      </w:pPr>
      <w:proofErr w:type="spellStart"/>
      <w:r>
        <w:t>Ichthys</w:t>
      </w:r>
      <w:proofErr w:type="spellEnd"/>
      <w:r>
        <w:t xml:space="preserve"> LNG Pty Ltd (</w:t>
      </w:r>
      <w:proofErr w:type="spellStart"/>
      <w:r w:rsidRPr="00C053B1">
        <w:rPr>
          <w:b/>
        </w:rPr>
        <w:t>Ichthys</w:t>
      </w:r>
      <w:proofErr w:type="spellEnd"/>
      <w:r>
        <w:t>),</w:t>
      </w:r>
    </w:p>
    <w:p w:rsidR="007F4D0A" w:rsidRDefault="007F4D0A" w:rsidP="007F4D0A">
      <w:pPr>
        <w:pStyle w:val="Order3"/>
        <w:numPr>
          <w:ilvl w:val="0"/>
          <w:numId w:val="0"/>
        </w:numPr>
        <w:ind w:left="1440"/>
      </w:pPr>
      <w:r>
        <w:t xml:space="preserve">in relation to the use of Intertherm 228 coating on the </w:t>
      </w:r>
      <w:proofErr w:type="spellStart"/>
      <w:r>
        <w:t>Ichthys</w:t>
      </w:r>
      <w:proofErr w:type="spellEnd"/>
      <w:r>
        <w:t xml:space="preserve"> Onshore Project, including in and for the purposes of international arbitration ICC Case No. 24048/PTA (C. 24191/PTA and 24203/PTA) and any judicial or other arbitral proceedings in relation thereto (</w:t>
      </w:r>
      <w:r w:rsidRPr="00C053B1">
        <w:rPr>
          <w:b/>
        </w:rPr>
        <w:t>Arbitral Proceedings</w:t>
      </w:r>
      <w:r>
        <w:t>); and</w:t>
      </w:r>
    </w:p>
    <w:p w:rsidR="007F4D0A" w:rsidRDefault="007F4D0A" w:rsidP="007F4D0A">
      <w:pPr>
        <w:pStyle w:val="Order2"/>
      </w:pPr>
      <w:r>
        <w:t>for the purpose of JKC's WA Supreme Court proceedings (CIV 1620 of 2020 and CIV 1729 of 2020) (</w:t>
      </w:r>
      <w:r w:rsidRPr="00C053B1">
        <w:rPr>
          <w:b/>
        </w:rPr>
        <w:t>Supreme Court Proceedings</w:t>
      </w:r>
      <w:r>
        <w:t>).</w:t>
      </w:r>
    </w:p>
    <w:p w:rsidR="007F4D0A" w:rsidRDefault="007F4D0A" w:rsidP="007F4D0A">
      <w:pPr>
        <w:pStyle w:val="Order1"/>
        <w:tabs>
          <w:tab w:val="clear" w:pos="720"/>
        </w:tabs>
      </w:pPr>
      <w:r>
        <w:t>The Documents identified as confidential in Annexure B to these orders may only be inspected by, or made available</w:t>
      </w:r>
      <w:r w:rsidR="00982ED3">
        <w:t xml:space="preserve"> to</w:t>
      </w:r>
      <w:r>
        <w:t xml:space="preserve"> (after they have signed confidentiality undertakings in the form set out in Annexures D and E to these orders and provided the signed </w:t>
      </w:r>
      <w:r>
        <w:lastRenderedPageBreak/>
        <w:t>undertakings to the solicitors of the applicant in the present proceeding (Solomon Brothers) and the solicitors for the respondent in the present proceeding (Clayton Utz)):</w:t>
      </w:r>
    </w:p>
    <w:p w:rsidR="007F4D0A" w:rsidRDefault="007F4D0A" w:rsidP="007F4D0A">
      <w:pPr>
        <w:pStyle w:val="Order2"/>
      </w:pPr>
      <w:r>
        <w:t>an employee or officer of JKC for the purposes of use in the Arbitral Proceedings or the Supreme Court Proceedings if the partner responsible for the conduct, on behalf of JKC, of the:</w:t>
      </w:r>
    </w:p>
    <w:p w:rsidR="007F4D0A" w:rsidRDefault="007F4D0A" w:rsidP="007F4D0A">
      <w:pPr>
        <w:pStyle w:val="Order3"/>
      </w:pPr>
      <w:r>
        <w:t>the Arbitral Proceedings; and or</w:t>
      </w:r>
    </w:p>
    <w:p w:rsidR="007F4D0A" w:rsidRDefault="007F4D0A" w:rsidP="007F4D0A">
      <w:pPr>
        <w:pStyle w:val="Order3"/>
      </w:pPr>
      <w:r>
        <w:t>the Supreme Court Proceedings</w:t>
      </w:r>
    </w:p>
    <w:p w:rsidR="007F4D0A" w:rsidRDefault="007F4D0A" w:rsidP="007F4D0A">
      <w:pPr>
        <w:pStyle w:val="Order3"/>
        <w:numPr>
          <w:ilvl w:val="0"/>
          <w:numId w:val="0"/>
        </w:numPr>
        <w:ind w:left="1440"/>
      </w:pPr>
      <w:r>
        <w:t>is of the opinion (and has advised the solicitor for JKC in the present proceedings that he or she holds such the opinion) that it is necessary for the relevant employee or officer of JKC to have access to the documents;</w:t>
      </w:r>
    </w:p>
    <w:p w:rsidR="007F4D0A" w:rsidRDefault="007F4D0A" w:rsidP="007F4D0A">
      <w:pPr>
        <w:pStyle w:val="Order2"/>
      </w:pPr>
      <w:r>
        <w:t>employees of DLA Piper Australia and HFW Australia, and external counsel and experts retained by them on behalf of JKC in either the Arbitral Proceedings or the Supreme Court Proceedings;</w:t>
      </w:r>
    </w:p>
    <w:p w:rsidR="007F4D0A" w:rsidRDefault="007F4D0A" w:rsidP="007F4D0A">
      <w:pPr>
        <w:pStyle w:val="Order2"/>
      </w:pPr>
      <w:r>
        <w:t>the Arbitral Tribunal and its staff in in respect of the Arbitral Proceedings.</w:t>
      </w:r>
    </w:p>
    <w:p w:rsidR="007F4D0A" w:rsidRDefault="007F4D0A" w:rsidP="007F4D0A">
      <w:pPr>
        <w:pStyle w:val="Order2"/>
      </w:pPr>
      <w:r>
        <w:t xml:space="preserve">Mr Fred Salome (who has already received the confidential Relevant Documents in the context of this proceeding, and who has signed confidentiality undertakings in the form set out in Annexures D and E to these orders). </w:t>
      </w:r>
    </w:p>
    <w:p w:rsidR="007F4D0A" w:rsidRDefault="007F4D0A" w:rsidP="007F4D0A">
      <w:pPr>
        <w:pStyle w:val="Order1"/>
        <w:tabs>
          <w:tab w:val="clear" w:pos="720"/>
        </w:tabs>
      </w:pPr>
      <w:r>
        <w:t xml:space="preserve">JKC be permitted to provide INPEX and/or </w:t>
      </w:r>
      <w:proofErr w:type="spellStart"/>
      <w:r>
        <w:t>Ichthys</w:t>
      </w:r>
      <w:proofErr w:type="spellEnd"/>
      <w:r>
        <w:t xml:space="preserve"> with:</w:t>
      </w:r>
    </w:p>
    <w:p w:rsidR="007F4D0A" w:rsidRDefault="007F4D0A" w:rsidP="007F4D0A">
      <w:pPr>
        <w:pStyle w:val="Order2"/>
      </w:pPr>
      <w:r>
        <w:t>a draft of Mr Salome's report;</w:t>
      </w:r>
    </w:p>
    <w:p w:rsidR="007F4D0A" w:rsidRDefault="007F4D0A" w:rsidP="007F4D0A">
      <w:pPr>
        <w:pStyle w:val="Order2"/>
      </w:pPr>
      <w:r>
        <w:t>the Relevant Documents, to the extent that</w:t>
      </w:r>
      <w:r w:rsidR="00B545AD">
        <w:t xml:space="preserve"> they</w:t>
      </w:r>
      <w:r>
        <w:t xml:space="preserve"> are referred to in Mr Salome's report,</w:t>
      </w:r>
    </w:p>
    <w:p w:rsidR="007F4D0A" w:rsidRDefault="007F4D0A" w:rsidP="007F4D0A">
      <w:pPr>
        <w:pStyle w:val="Order1"/>
        <w:numPr>
          <w:ilvl w:val="0"/>
          <w:numId w:val="0"/>
        </w:numPr>
        <w:ind w:left="720"/>
      </w:pPr>
      <w:r>
        <w:t>for the purposes of INPEX's WA Supreme Court proceeding (CIV 1631 of 2020) (</w:t>
      </w:r>
      <w:r w:rsidRPr="00C053B1">
        <w:rPr>
          <w:b/>
        </w:rPr>
        <w:t>INPEX's Insurance Proceeding</w:t>
      </w:r>
      <w:r>
        <w:t>) which proceedings concern claims by INPEX against its insurers under the same policy of insurance that is the subject of the Supreme Court Proceedings.</w:t>
      </w:r>
    </w:p>
    <w:p w:rsidR="007F4D0A" w:rsidRDefault="007F4D0A" w:rsidP="007F4D0A">
      <w:pPr>
        <w:pStyle w:val="Order1"/>
        <w:tabs>
          <w:tab w:val="clear" w:pos="720"/>
        </w:tabs>
      </w:pPr>
      <w:r>
        <w:t>The Documents identified as confidential in Annexure B to these orders may only be inspected by, or made available to, an officer or employee of INPEX and its legal advisors (after they have signed confidentiality undertakings in the form set out in Annexures D and E to these orders and provided the signed undertakings to the solicitors of the applicant in the present proceeding (Solomon Brothers) and the solicitors for the respondent in the present proceeding (Clayton Utz)):</w:t>
      </w:r>
    </w:p>
    <w:p w:rsidR="007F4D0A" w:rsidRDefault="007F4D0A" w:rsidP="007F4D0A">
      <w:pPr>
        <w:pStyle w:val="Order2"/>
      </w:pPr>
      <w:r>
        <w:t>for the purposes of INP</w:t>
      </w:r>
      <w:r w:rsidR="00B545AD">
        <w:t>EX's Insurance Proceedings; and</w:t>
      </w:r>
    </w:p>
    <w:p w:rsidR="007F4D0A" w:rsidRDefault="007F4D0A" w:rsidP="007F4D0A">
      <w:pPr>
        <w:pStyle w:val="Order2"/>
      </w:pPr>
      <w:r>
        <w:lastRenderedPageBreak/>
        <w:t>if the partner responsible for the conduct, on behalf of INPEX, of INPEX's Insurance Proceeding, has first advised:</w:t>
      </w:r>
    </w:p>
    <w:p w:rsidR="007F4D0A" w:rsidRDefault="007F4D0A" w:rsidP="007F4D0A">
      <w:pPr>
        <w:pStyle w:val="Order3"/>
      </w:pPr>
      <w:r>
        <w:t>the solicitor for JKC in the present proceedings that he or she is of the opinion that that it is necessary for the relevant employee or officer of INPEX to have access to the documents identified;</w:t>
      </w:r>
    </w:p>
    <w:p w:rsidR="007F4D0A" w:rsidRDefault="007F4D0A" w:rsidP="007F4D0A">
      <w:pPr>
        <w:pStyle w:val="Order3"/>
      </w:pPr>
      <w:r>
        <w:t>the solicitors for the respondents in the present proceedings that INPEX will give the respondents 14 days' notice that documents the subject of these orders are to be put into evidence in INPEX's Insurance Proceeding any of the Relevant Documents that are to be made available to the relevant employee so as to permit the respondents to make an application for confidentiality or suppression orders.</w:t>
      </w:r>
    </w:p>
    <w:p w:rsidR="001A6C52" w:rsidRDefault="007F4D0A" w:rsidP="00A74688">
      <w:pPr>
        <w:pStyle w:val="Order1"/>
        <w:tabs>
          <w:tab w:val="clear" w:pos="720"/>
        </w:tabs>
      </w:pPr>
      <w:r>
        <w:t>Liberty to apply.</w:t>
      </w:r>
    </w:p>
    <w:p w:rsidR="001A6C52" w:rsidRDefault="001A6C52" w:rsidP="001A6C52">
      <w:pPr>
        <w:pStyle w:val="BodyText"/>
      </w:pPr>
    </w:p>
    <w:p w:rsidR="00124F3A" w:rsidRDefault="00124F3A" w:rsidP="001A6C52">
      <w:pPr>
        <w:pStyle w:val="BodyText"/>
      </w:pPr>
    </w:p>
    <w:p w:rsidR="00124F3A" w:rsidRDefault="00124F3A" w:rsidP="001A6C52">
      <w:pPr>
        <w:pStyle w:val="BodyText"/>
      </w:pPr>
    </w:p>
    <w:p w:rsidR="00A431E6" w:rsidRDefault="00A431E6" w:rsidP="001A6C52">
      <w:pPr>
        <w:pStyle w:val="BodyText"/>
      </w:pPr>
    </w:p>
    <w:p w:rsidR="0050309C" w:rsidRDefault="00BF5B2A" w:rsidP="004D53E5">
      <w:pPr>
        <w:pStyle w:val="SingleSpace"/>
      </w:pPr>
      <w:bookmarkStart w:id="22" w:name="OrdersStatement"/>
      <w:r>
        <w:t>Note:</w:t>
      </w:r>
      <w:r>
        <w:tab/>
        <w:t xml:space="preserve">Entry of orders is dealt with in Rule 39.32 of the </w:t>
      </w:r>
      <w:r>
        <w:rPr>
          <w:i/>
        </w:rPr>
        <w:t>Federal Court Rules 2011</w:t>
      </w:r>
      <w:r>
        <w:t>.</w:t>
      </w:r>
      <w:bookmarkEnd w:id="22"/>
    </w:p>
    <w:p w:rsidR="007F4D0A" w:rsidRDefault="007F4D0A">
      <w:pPr>
        <w:spacing w:line="240" w:lineRule="auto"/>
        <w:jc w:val="left"/>
        <w:sectPr w:rsidR="007F4D0A" w:rsidSect="0092590B">
          <w:headerReference w:type="default" r:id="rId10"/>
          <w:footerReference w:type="default" r:id="rId11"/>
          <w:headerReference w:type="first" r:id="rId12"/>
          <w:footerReference w:type="first" r:id="rId13"/>
          <w:endnotePr>
            <w:numFmt w:val="decimal"/>
          </w:endnotePr>
          <w:pgSz w:w="11907" w:h="16840" w:code="9"/>
          <w:pgMar w:top="1440" w:right="1440" w:bottom="1440" w:left="1440" w:header="851" w:footer="851" w:gutter="0"/>
          <w:pgNumType w:fmt="lowerRoman" w:start="1"/>
          <w:cols w:space="720"/>
          <w:noEndnote/>
          <w:titlePg/>
        </w:sectPr>
      </w:pPr>
    </w:p>
    <w:p w:rsidR="007F4D0A" w:rsidRDefault="007F4D0A" w:rsidP="00F85E5A">
      <w:pPr>
        <w:pStyle w:val="SingleSpace"/>
        <w:jc w:val="center"/>
      </w:pPr>
      <w:r w:rsidRPr="007F4D0A">
        <w:rPr>
          <w:noProof/>
          <w:lang w:eastAsia="en-AU"/>
        </w:rPr>
        <w:lastRenderedPageBreak/>
        <w:drawing>
          <wp:inline distT="0" distB="0" distL="0" distR="0">
            <wp:extent cx="7359650" cy="5687002"/>
            <wp:effectExtent l="0" t="0" r="0" b="9525"/>
            <wp:docPr id="9" name="Picture 9" descr="I:\Banks-Smith\EA (KBS)\Harman Orders - Annexures A-E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Banks-Smith\EA (KBS)\Harman Orders - Annexures A-E_Page_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373162" cy="5697443"/>
                    </a:xfrm>
                    <a:prstGeom prst="rect">
                      <a:avLst/>
                    </a:prstGeom>
                    <a:noFill/>
                    <a:ln>
                      <a:noFill/>
                    </a:ln>
                  </pic:spPr>
                </pic:pic>
              </a:graphicData>
            </a:graphic>
          </wp:inline>
        </w:drawing>
      </w:r>
    </w:p>
    <w:p w:rsidR="007F4D0A" w:rsidRDefault="007F4D0A" w:rsidP="00F85E5A">
      <w:pPr>
        <w:pStyle w:val="SingleSpace"/>
        <w:jc w:val="center"/>
      </w:pPr>
      <w:r w:rsidRPr="007F4D0A">
        <w:rPr>
          <w:noProof/>
          <w:lang w:eastAsia="en-AU"/>
        </w:rPr>
        <w:lastRenderedPageBreak/>
        <w:drawing>
          <wp:inline distT="0" distB="0" distL="0" distR="0">
            <wp:extent cx="7397750" cy="5716443"/>
            <wp:effectExtent l="0" t="0" r="0" b="0"/>
            <wp:docPr id="10" name="Picture 10" descr="I:\Banks-Smith\EA (KBS)\Harman Orders - Annexures A-E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Banks-Smith\EA (KBS)\Harman Orders - Annexures A-E_Page_0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420237" cy="5733820"/>
                    </a:xfrm>
                    <a:prstGeom prst="rect">
                      <a:avLst/>
                    </a:prstGeom>
                    <a:noFill/>
                    <a:ln>
                      <a:noFill/>
                    </a:ln>
                  </pic:spPr>
                </pic:pic>
              </a:graphicData>
            </a:graphic>
          </wp:inline>
        </w:drawing>
      </w:r>
    </w:p>
    <w:p w:rsidR="007F4D0A" w:rsidRDefault="00F85E5A" w:rsidP="00F85E5A">
      <w:pPr>
        <w:pStyle w:val="SingleSpace"/>
        <w:jc w:val="center"/>
      </w:pPr>
      <w:r w:rsidRPr="00F85E5A">
        <w:rPr>
          <w:noProof/>
          <w:lang w:eastAsia="en-AU"/>
        </w:rPr>
        <w:lastRenderedPageBreak/>
        <w:drawing>
          <wp:inline distT="0" distB="0" distL="0" distR="0">
            <wp:extent cx="7416800" cy="5731164"/>
            <wp:effectExtent l="0" t="0" r="0" b="3175"/>
            <wp:docPr id="11" name="Picture 11" descr="I:\Banks-Smith\EA (KBS)\Harman Orders - Annexures A-E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Banks-Smith\EA (KBS)\Harman Orders - Annexures A-E_Page_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429730" cy="5741156"/>
                    </a:xfrm>
                    <a:prstGeom prst="rect">
                      <a:avLst/>
                    </a:prstGeom>
                    <a:noFill/>
                    <a:ln>
                      <a:noFill/>
                    </a:ln>
                  </pic:spPr>
                </pic:pic>
              </a:graphicData>
            </a:graphic>
          </wp:inline>
        </w:drawing>
      </w:r>
    </w:p>
    <w:p w:rsidR="007F4D0A" w:rsidRDefault="00F85E5A" w:rsidP="00F85E5A">
      <w:pPr>
        <w:pStyle w:val="SingleSpace"/>
        <w:jc w:val="center"/>
      </w:pPr>
      <w:r w:rsidRPr="00F85E5A">
        <w:rPr>
          <w:noProof/>
          <w:lang w:eastAsia="en-AU"/>
        </w:rPr>
        <w:lastRenderedPageBreak/>
        <w:drawing>
          <wp:inline distT="0" distB="0" distL="0" distR="0">
            <wp:extent cx="7461250" cy="5765511"/>
            <wp:effectExtent l="0" t="0" r="6350" b="6985"/>
            <wp:docPr id="12" name="Picture 12" descr="I:\Banks-Smith\EA (KBS)\Harman Orders - Annexures A-E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Banks-Smith\EA (KBS)\Harman Orders - Annexures A-E_Page_0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470553" cy="5772699"/>
                    </a:xfrm>
                    <a:prstGeom prst="rect">
                      <a:avLst/>
                    </a:prstGeom>
                    <a:noFill/>
                    <a:ln>
                      <a:noFill/>
                    </a:ln>
                  </pic:spPr>
                </pic:pic>
              </a:graphicData>
            </a:graphic>
          </wp:inline>
        </w:drawing>
      </w:r>
    </w:p>
    <w:p w:rsidR="007F4D0A" w:rsidRDefault="00F85E5A" w:rsidP="00F85E5A">
      <w:pPr>
        <w:pStyle w:val="SingleSpace"/>
        <w:jc w:val="center"/>
      </w:pPr>
      <w:r w:rsidRPr="00F85E5A">
        <w:rPr>
          <w:noProof/>
          <w:lang w:eastAsia="en-AU"/>
        </w:rPr>
        <w:lastRenderedPageBreak/>
        <w:drawing>
          <wp:inline distT="0" distB="0" distL="0" distR="0">
            <wp:extent cx="7473950" cy="5775325"/>
            <wp:effectExtent l="0" t="0" r="0" b="0"/>
            <wp:docPr id="13" name="Picture 13" descr="I:\Banks-Smith\EA (KBS)\Harman Orders - Annexures A-E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Banks-Smith\EA (KBS)\Harman Orders - Annexures A-E_Page_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486911" cy="5785340"/>
                    </a:xfrm>
                    <a:prstGeom prst="rect">
                      <a:avLst/>
                    </a:prstGeom>
                    <a:noFill/>
                    <a:ln>
                      <a:noFill/>
                    </a:ln>
                  </pic:spPr>
                </pic:pic>
              </a:graphicData>
            </a:graphic>
          </wp:inline>
        </w:drawing>
      </w:r>
    </w:p>
    <w:p w:rsidR="007F4D0A" w:rsidRDefault="00F85E5A" w:rsidP="00F85E5A">
      <w:pPr>
        <w:pStyle w:val="SingleSpace"/>
        <w:jc w:val="center"/>
      </w:pPr>
      <w:r w:rsidRPr="00F85E5A">
        <w:rPr>
          <w:noProof/>
          <w:lang w:eastAsia="en-AU"/>
        </w:rPr>
        <w:lastRenderedPageBreak/>
        <w:drawing>
          <wp:inline distT="0" distB="0" distL="0" distR="0">
            <wp:extent cx="7423150" cy="5736071"/>
            <wp:effectExtent l="0" t="0" r="6350" b="0"/>
            <wp:docPr id="14" name="Picture 14" descr="I:\Banks-Smith\EA (KBS)\Harman Orders - Annexures A-E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Banks-Smith\EA (KBS)\Harman Orders - Annexures A-E_Page_0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439549" cy="5748743"/>
                    </a:xfrm>
                    <a:prstGeom prst="rect">
                      <a:avLst/>
                    </a:prstGeom>
                    <a:noFill/>
                    <a:ln>
                      <a:noFill/>
                    </a:ln>
                  </pic:spPr>
                </pic:pic>
              </a:graphicData>
            </a:graphic>
          </wp:inline>
        </w:drawing>
      </w:r>
    </w:p>
    <w:p w:rsidR="007F4D0A" w:rsidRDefault="00F85E5A" w:rsidP="00F85E5A">
      <w:pPr>
        <w:pStyle w:val="SingleSpace"/>
        <w:jc w:val="center"/>
      </w:pPr>
      <w:r w:rsidRPr="00F85E5A">
        <w:rPr>
          <w:noProof/>
          <w:lang w:eastAsia="en-AU"/>
        </w:rPr>
        <w:lastRenderedPageBreak/>
        <w:drawing>
          <wp:inline distT="0" distB="0" distL="0" distR="0">
            <wp:extent cx="7493000" cy="5790046"/>
            <wp:effectExtent l="0" t="0" r="0" b="1270"/>
            <wp:docPr id="15" name="Picture 15" descr="I:\Banks-Smith\EA (KBS)\Harman Orders - Annexures A-E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Banks-Smith\EA (KBS)\Harman Orders - Annexures A-E_Page_0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506379" cy="5800384"/>
                    </a:xfrm>
                    <a:prstGeom prst="rect">
                      <a:avLst/>
                    </a:prstGeom>
                    <a:noFill/>
                    <a:ln>
                      <a:noFill/>
                    </a:ln>
                  </pic:spPr>
                </pic:pic>
              </a:graphicData>
            </a:graphic>
          </wp:inline>
        </w:drawing>
      </w:r>
    </w:p>
    <w:p w:rsidR="00F85E5A" w:rsidRDefault="00F85E5A" w:rsidP="00F85E5A">
      <w:pPr>
        <w:pStyle w:val="SingleSpace"/>
        <w:jc w:val="center"/>
      </w:pPr>
      <w:r w:rsidRPr="00F85E5A">
        <w:rPr>
          <w:noProof/>
          <w:lang w:eastAsia="en-AU"/>
        </w:rPr>
        <w:lastRenderedPageBreak/>
        <w:drawing>
          <wp:inline distT="0" distB="0" distL="0" distR="0">
            <wp:extent cx="7531100" cy="5819487"/>
            <wp:effectExtent l="0" t="0" r="0" b="0"/>
            <wp:docPr id="16" name="Picture 16" descr="I:\Banks-Smith\EA (KBS)\Harman Orders - Annexures A-E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Banks-Smith\EA (KBS)\Harman Orders - Annexures A-E_Page_0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541438" cy="5827475"/>
                    </a:xfrm>
                    <a:prstGeom prst="rect">
                      <a:avLst/>
                    </a:prstGeom>
                    <a:noFill/>
                    <a:ln>
                      <a:noFill/>
                    </a:ln>
                  </pic:spPr>
                </pic:pic>
              </a:graphicData>
            </a:graphic>
          </wp:inline>
        </w:drawing>
      </w:r>
    </w:p>
    <w:p w:rsidR="00F85E5A" w:rsidRDefault="00F85E5A" w:rsidP="00F85E5A">
      <w:pPr>
        <w:pStyle w:val="SingleSpace"/>
        <w:jc w:val="center"/>
      </w:pPr>
      <w:r w:rsidRPr="00F85E5A">
        <w:rPr>
          <w:noProof/>
          <w:lang w:eastAsia="en-AU"/>
        </w:rPr>
        <w:lastRenderedPageBreak/>
        <w:drawing>
          <wp:inline distT="0" distB="0" distL="0" distR="0">
            <wp:extent cx="7473950" cy="5775325"/>
            <wp:effectExtent l="0" t="0" r="0" b="0"/>
            <wp:docPr id="17" name="Picture 17" descr="I:\Banks-Smith\EA (KBS)\Harman Orders - Annexures A-E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Banks-Smith\EA (KBS)\Harman Orders - Annexures A-E_Page_0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486033" cy="5784662"/>
                    </a:xfrm>
                    <a:prstGeom prst="rect">
                      <a:avLst/>
                    </a:prstGeom>
                    <a:noFill/>
                    <a:ln>
                      <a:noFill/>
                    </a:ln>
                  </pic:spPr>
                </pic:pic>
              </a:graphicData>
            </a:graphic>
          </wp:inline>
        </w:drawing>
      </w:r>
    </w:p>
    <w:p w:rsidR="00F85E5A" w:rsidRDefault="00F85E5A" w:rsidP="00F85E5A">
      <w:pPr>
        <w:pStyle w:val="SingleSpace"/>
        <w:jc w:val="center"/>
      </w:pPr>
      <w:r w:rsidRPr="00F85E5A">
        <w:rPr>
          <w:noProof/>
          <w:lang w:eastAsia="en-AU"/>
        </w:rPr>
        <w:lastRenderedPageBreak/>
        <w:drawing>
          <wp:inline distT="0" distB="0" distL="0" distR="0">
            <wp:extent cx="7480300" cy="5780231"/>
            <wp:effectExtent l="0" t="0" r="6350" b="0"/>
            <wp:docPr id="18" name="Picture 18" descr="I:\Banks-Smith\EA (KBS)\Harman Orders - Annexures A-E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Banks-Smith\EA (KBS)\Harman Orders - Annexures A-E_Page_1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489088" cy="5787022"/>
                    </a:xfrm>
                    <a:prstGeom prst="rect">
                      <a:avLst/>
                    </a:prstGeom>
                    <a:noFill/>
                    <a:ln>
                      <a:noFill/>
                    </a:ln>
                  </pic:spPr>
                </pic:pic>
              </a:graphicData>
            </a:graphic>
          </wp:inline>
        </w:drawing>
      </w:r>
    </w:p>
    <w:p w:rsidR="00F85E5A" w:rsidRDefault="00F85E5A" w:rsidP="00F85E5A">
      <w:pPr>
        <w:pStyle w:val="SingleSpace"/>
        <w:jc w:val="center"/>
      </w:pPr>
      <w:r w:rsidRPr="00F85E5A">
        <w:rPr>
          <w:noProof/>
          <w:lang w:eastAsia="en-AU"/>
        </w:rPr>
        <w:lastRenderedPageBreak/>
        <w:drawing>
          <wp:inline distT="0" distB="0" distL="0" distR="0">
            <wp:extent cx="7442200" cy="5750791"/>
            <wp:effectExtent l="0" t="0" r="6350" b="2540"/>
            <wp:docPr id="19" name="Picture 19" descr="I:\Banks-Smith\EA (KBS)\Harman Orders - Annexures A-E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Banks-Smith\EA (KBS)\Harman Orders - Annexures A-E_Page_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454223" cy="5760081"/>
                    </a:xfrm>
                    <a:prstGeom prst="rect">
                      <a:avLst/>
                    </a:prstGeom>
                    <a:noFill/>
                    <a:ln>
                      <a:noFill/>
                    </a:ln>
                  </pic:spPr>
                </pic:pic>
              </a:graphicData>
            </a:graphic>
          </wp:inline>
        </w:drawing>
      </w:r>
    </w:p>
    <w:p w:rsidR="00F85E5A" w:rsidRDefault="00F85E5A" w:rsidP="00F85E5A">
      <w:pPr>
        <w:pStyle w:val="SingleSpace"/>
        <w:jc w:val="center"/>
      </w:pPr>
      <w:r w:rsidRPr="00F85E5A">
        <w:rPr>
          <w:noProof/>
          <w:lang w:eastAsia="en-AU"/>
        </w:rPr>
        <w:lastRenderedPageBreak/>
        <w:drawing>
          <wp:inline distT="0" distB="0" distL="0" distR="0">
            <wp:extent cx="7512050" cy="5804766"/>
            <wp:effectExtent l="0" t="0" r="0" b="5715"/>
            <wp:docPr id="20" name="Picture 20" descr="I:\Banks-Smith\EA (KBS)\Harman Orders - Annexures A-E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Banks-Smith\EA (KBS)\Harman Orders - Annexures A-E_Page_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523633" cy="5813716"/>
                    </a:xfrm>
                    <a:prstGeom prst="rect">
                      <a:avLst/>
                    </a:prstGeom>
                    <a:noFill/>
                    <a:ln>
                      <a:noFill/>
                    </a:ln>
                  </pic:spPr>
                </pic:pic>
              </a:graphicData>
            </a:graphic>
          </wp:inline>
        </w:drawing>
      </w:r>
    </w:p>
    <w:p w:rsidR="00F85E5A" w:rsidRDefault="00F85E5A" w:rsidP="00F85E5A">
      <w:pPr>
        <w:pStyle w:val="SingleSpace"/>
        <w:jc w:val="center"/>
      </w:pPr>
      <w:r w:rsidRPr="00F85E5A">
        <w:rPr>
          <w:noProof/>
          <w:lang w:eastAsia="en-AU"/>
        </w:rPr>
        <w:lastRenderedPageBreak/>
        <w:drawing>
          <wp:inline distT="0" distB="0" distL="0" distR="0">
            <wp:extent cx="7512050" cy="5804766"/>
            <wp:effectExtent l="0" t="0" r="0" b="5715"/>
            <wp:docPr id="21" name="Picture 21" descr="I:\Banks-Smith\EA (KBS)\Harman Orders - Annexures A-E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Banks-Smith\EA (KBS)\Harman Orders - Annexures A-E_Page_1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526004" cy="5815548"/>
                    </a:xfrm>
                    <a:prstGeom prst="rect">
                      <a:avLst/>
                    </a:prstGeom>
                    <a:noFill/>
                    <a:ln>
                      <a:noFill/>
                    </a:ln>
                  </pic:spPr>
                </pic:pic>
              </a:graphicData>
            </a:graphic>
          </wp:inline>
        </w:drawing>
      </w:r>
    </w:p>
    <w:p w:rsidR="00F85E5A" w:rsidRDefault="00F85E5A" w:rsidP="00F85E5A">
      <w:pPr>
        <w:pStyle w:val="SingleSpace"/>
        <w:jc w:val="center"/>
      </w:pPr>
      <w:r w:rsidRPr="00F85E5A">
        <w:rPr>
          <w:noProof/>
          <w:lang w:eastAsia="en-AU"/>
        </w:rPr>
        <w:lastRenderedPageBreak/>
        <w:drawing>
          <wp:inline distT="0" distB="0" distL="0" distR="0">
            <wp:extent cx="7499350" cy="5794952"/>
            <wp:effectExtent l="0" t="0" r="6350" b="0"/>
            <wp:docPr id="22" name="Picture 22" descr="I:\Banks-Smith\EA (KBS)\Harman Orders - Annexures A-E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Banks-Smith\EA (KBS)\Harman Orders - Annexures A-E_Page_1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515269" cy="5807253"/>
                    </a:xfrm>
                    <a:prstGeom prst="rect">
                      <a:avLst/>
                    </a:prstGeom>
                    <a:noFill/>
                    <a:ln>
                      <a:noFill/>
                    </a:ln>
                  </pic:spPr>
                </pic:pic>
              </a:graphicData>
            </a:graphic>
          </wp:inline>
        </w:drawing>
      </w:r>
    </w:p>
    <w:p w:rsidR="00F85E5A" w:rsidRDefault="00F85E5A" w:rsidP="00F85E5A">
      <w:pPr>
        <w:pStyle w:val="SingleSpace"/>
        <w:jc w:val="center"/>
      </w:pPr>
      <w:r w:rsidRPr="00F85E5A">
        <w:rPr>
          <w:noProof/>
          <w:lang w:eastAsia="en-AU"/>
        </w:rPr>
        <w:lastRenderedPageBreak/>
        <w:drawing>
          <wp:inline distT="0" distB="0" distL="0" distR="0">
            <wp:extent cx="7512050" cy="5804766"/>
            <wp:effectExtent l="0" t="0" r="0" b="5715"/>
            <wp:docPr id="23" name="Picture 23" descr="I:\Banks-Smith\EA (KBS)\Harman Orders - Annexures A-E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Banks-Smith\EA (KBS)\Harman Orders - Annexures A-E_Page_1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21997" cy="5812452"/>
                    </a:xfrm>
                    <a:prstGeom prst="rect">
                      <a:avLst/>
                    </a:prstGeom>
                    <a:noFill/>
                    <a:ln>
                      <a:noFill/>
                    </a:ln>
                  </pic:spPr>
                </pic:pic>
              </a:graphicData>
            </a:graphic>
          </wp:inline>
        </w:drawing>
      </w:r>
    </w:p>
    <w:p w:rsidR="00F85E5A" w:rsidRDefault="00F85E5A" w:rsidP="00F85E5A">
      <w:pPr>
        <w:pStyle w:val="SingleSpace"/>
        <w:jc w:val="center"/>
      </w:pPr>
      <w:r w:rsidRPr="00F85E5A">
        <w:rPr>
          <w:noProof/>
          <w:lang w:eastAsia="en-AU"/>
        </w:rPr>
        <w:lastRenderedPageBreak/>
        <w:drawing>
          <wp:inline distT="0" distB="0" distL="0" distR="0">
            <wp:extent cx="7493000" cy="5790046"/>
            <wp:effectExtent l="0" t="0" r="0" b="1270"/>
            <wp:docPr id="24" name="Picture 24" descr="I:\Banks-Smith\EA (KBS)\Harman Orders - Annexures A-E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Banks-Smith\EA (KBS)\Harman Orders - Annexures A-E_Page_1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499811" cy="5795309"/>
                    </a:xfrm>
                    <a:prstGeom prst="rect">
                      <a:avLst/>
                    </a:prstGeom>
                    <a:noFill/>
                    <a:ln>
                      <a:noFill/>
                    </a:ln>
                  </pic:spPr>
                </pic:pic>
              </a:graphicData>
            </a:graphic>
          </wp:inline>
        </w:drawing>
      </w:r>
    </w:p>
    <w:p w:rsidR="00F85E5A" w:rsidRDefault="00F85E5A" w:rsidP="00F85E5A">
      <w:pPr>
        <w:pStyle w:val="SingleSpace"/>
        <w:jc w:val="center"/>
      </w:pPr>
      <w:r w:rsidRPr="00F85E5A">
        <w:rPr>
          <w:noProof/>
          <w:lang w:eastAsia="en-AU"/>
        </w:rPr>
        <w:lastRenderedPageBreak/>
        <w:drawing>
          <wp:inline distT="0" distB="0" distL="0" distR="0">
            <wp:extent cx="7442200" cy="5750791"/>
            <wp:effectExtent l="0" t="0" r="6350" b="2540"/>
            <wp:docPr id="25" name="Picture 25" descr="I:\Banks-Smith\EA (KBS)\Harman Orders - Annexures A-E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Banks-Smith\EA (KBS)\Harman Orders - Annexures A-E_Page_1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456009" cy="5761461"/>
                    </a:xfrm>
                    <a:prstGeom prst="rect">
                      <a:avLst/>
                    </a:prstGeom>
                    <a:noFill/>
                    <a:ln>
                      <a:noFill/>
                    </a:ln>
                  </pic:spPr>
                </pic:pic>
              </a:graphicData>
            </a:graphic>
          </wp:inline>
        </w:drawing>
      </w:r>
    </w:p>
    <w:p w:rsidR="00F85E5A" w:rsidRDefault="00F85E5A" w:rsidP="00F85E5A">
      <w:pPr>
        <w:pStyle w:val="SingleSpace"/>
        <w:jc w:val="center"/>
      </w:pPr>
      <w:r w:rsidRPr="00F85E5A">
        <w:rPr>
          <w:noProof/>
          <w:lang w:eastAsia="en-AU"/>
        </w:rPr>
        <w:lastRenderedPageBreak/>
        <w:drawing>
          <wp:inline distT="0" distB="0" distL="0" distR="0">
            <wp:extent cx="7459158" cy="5763895"/>
            <wp:effectExtent l="0" t="0" r="8890" b="8255"/>
            <wp:docPr id="26" name="Picture 26" descr="I:\Banks-Smith\EA (KBS)\Harman Orders - Annexures A-E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Banks-Smith\EA (KBS)\Harman Orders - Annexures A-E_Page_1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463491" cy="5767243"/>
                    </a:xfrm>
                    <a:prstGeom prst="rect">
                      <a:avLst/>
                    </a:prstGeom>
                    <a:noFill/>
                    <a:ln>
                      <a:noFill/>
                    </a:ln>
                  </pic:spPr>
                </pic:pic>
              </a:graphicData>
            </a:graphic>
          </wp:inline>
        </w:drawing>
      </w:r>
    </w:p>
    <w:p w:rsidR="00F85E5A" w:rsidRDefault="00F85E5A" w:rsidP="00F85E5A">
      <w:pPr>
        <w:pStyle w:val="SingleSpace"/>
        <w:jc w:val="center"/>
      </w:pPr>
      <w:r w:rsidRPr="00F85E5A">
        <w:rPr>
          <w:noProof/>
          <w:lang w:eastAsia="en-AU"/>
        </w:rPr>
        <w:lastRenderedPageBreak/>
        <w:drawing>
          <wp:inline distT="0" distB="0" distL="0" distR="0">
            <wp:extent cx="7467600" cy="5770418"/>
            <wp:effectExtent l="0" t="0" r="0" b="1905"/>
            <wp:docPr id="27" name="Picture 27" descr="I:\Banks-Smith\EA (KBS)\Harman Orders - Annexures A-E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Banks-Smith\EA (KBS)\Harman Orders - Annexures A-E_Page_1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477227" cy="5777857"/>
                    </a:xfrm>
                    <a:prstGeom prst="rect">
                      <a:avLst/>
                    </a:prstGeom>
                    <a:noFill/>
                    <a:ln>
                      <a:noFill/>
                    </a:ln>
                  </pic:spPr>
                </pic:pic>
              </a:graphicData>
            </a:graphic>
          </wp:inline>
        </w:drawing>
      </w:r>
    </w:p>
    <w:p w:rsidR="00F85E5A" w:rsidRDefault="00F85E5A" w:rsidP="00F85E5A">
      <w:pPr>
        <w:pStyle w:val="SingleSpace"/>
        <w:jc w:val="center"/>
      </w:pPr>
      <w:r w:rsidRPr="00F85E5A">
        <w:rPr>
          <w:noProof/>
          <w:lang w:eastAsia="en-AU"/>
        </w:rPr>
        <w:lastRenderedPageBreak/>
        <w:drawing>
          <wp:inline distT="0" distB="0" distL="0" distR="0">
            <wp:extent cx="7518400" cy="5809673"/>
            <wp:effectExtent l="0" t="0" r="6350" b="635"/>
            <wp:docPr id="28" name="Picture 28" descr="I:\Banks-Smith\EA (KBS)\Harman Orders - Annexures A-E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Banks-Smith\EA (KBS)\Harman Orders - Annexures A-E_Page_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531775" cy="5820008"/>
                    </a:xfrm>
                    <a:prstGeom prst="rect">
                      <a:avLst/>
                    </a:prstGeom>
                    <a:noFill/>
                    <a:ln>
                      <a:noFill/>
                    </a:ln>
                  </pic:spPr>
                </pic:pic>
              </a:graphicData>
            </a:graphic>
          </wp:inline>
        </w:drawing>
      </w:r>
    </w:p>
    <w:p w:rsidR="00F85E5A" w:rsidRDefault="00F85E5A" w:rsidP="00F85E5A">
      <w:pPr>
        <w:pStyle w:val="SingleSpace"/>
        <w:jc w:val="center"/>
      </w:pPr>
      <w:r w:rsidRPr="00F85E5A">
        <w:rPr>
          <w:noProof/>
          <w:lang w:eastAsia="en-AU"/>
        </w:rPr>
        <w:lastRenderedPageBreak/>
        <w:drawing>
          <wp:inline distT="0" distB="0" distL="0" distR="0">
            <wp:extent cx="7505700" cy="5799859"/>
            <wp:effectExtent l="0" t="0" r="0" b="0"/>
            <wp:docPr id="29" name="Picture 29" descr="I:\Banks-Smith\EA (KBS)\Harman Orders - Annexures A-E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Banks-Smith\EA (KBS)\Harman Orders - Annexures A-E_Page_2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513447" cy="5805845"/>
                    </a:xfrm>
                    <a:prstGeom prst="rect">
                      <a:avLst/>
                    </a:prstGeom>
                    <a:noFill/>
                    <a:ln>
                      <a:noFill/>
                    </a:ln>
                  </pic:spPr>
                </pic:pic>
              </a:graphicData>
            </a:graphic>
          </wp:inline>
        </w:drawing>
      </w:r>
    </w:p>
    <w:p w:rsidR="00F85E5A" w:rsidRDefault="00F85E5A" w:rsidP="00F85E5A">
      <w:pPr>
        <w:pStyle w:val="SingleSpace"/>
        <w:jc w:val="center"/>
      </w:pPr>
      <w:r w:rsidRPr="00F85E5A">
        <w:rPr>
          <w:noProof/>
          <w:lang w:eastAsia="en-AU"/>
        </w:rPr>
        <w:lastRenderedPageBreak/>
        <w:drawing>
          <wp:inline distT="0" distB="0" distL="0" distR="0">
            <wp:extent cx="7524079" cy="5814060"/>
            <wp:effectExtent l="0" t="0" r="1270" b="0"/>
            <wp:docPr id="31" name="Picture 31" descr="I:\Banks-Smith\EA (KBS)\Harman Orders - Annexures A-E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Banks-Smith\EA (KBS)\Harman Orders - Annexures A-E_Page_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539973" cy="5826342"/>
                    </a:xfrm>
                    <a:prstGeom prst="rect">
                      <a:avLst/>
                    </a:prstGeom>
                    <a:noFill/>
                    <a:ln>
                      <a:noFill/>
                    </a:ln>
                  </pic:spPr>
                </pic:pic>
              </a:graphicData>
            </a:graphic>
          </wp:inline>
        </w:drawing>
      </w:r>
    </w:p>
    <w:p w:rsidR="00F85E5A" w:rsidRDefault="000E635C" w:rsidP="00F85E5A">
      <w:pPr>
        <w:pStyle w:val="SingleSpace"/>
        <w:jc w:val="center"/>
      </w:pPr>
      <w:r w:rsidRPr="000E635C">
        <w:rPr>
          <w:noProof/>
          <w:lang w:eastAsia="en-AU"/>
        </w:rPr>
        <w:lastRenderedPageBreak/>
        <w:drawing>
          <wp:inline distT="0" distB="0" distL="0" distR="0">
            <wp:extent cx="7264400" cy="5613400"/>
            <wp:effectExtent l="0" t="0" r="0" b="6350"/>
            <wp:docPr id="32" name="Picture 32" descr="I:\Banks-Smith\EA (KBS)\Harman Orders - Annexures A-E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Banks-Smith\EA (KBS)\Harman Orders - Annexures A-E_Page_2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270291" cy="5617952"/>
                    </a:xfrm>
                    <a:prstGeom prst="rect">
                      <a:avLst/>
                    </a:prstGeom>
                    <a:noFill/>
                    <a:ln>
                      <a:noFill/>
                    </a:ln>
                  </pic:spPr>
                </pic:pic>
              </a:graphicData>
            </a:graphic>
          </wp:inline>
        </w:drawing>
      </w:r>
    </w:p>
    <w:p w:rsidR="000E635C" w:rsidRDefault="000E635C" w:rsidP="00F85E5A">
      <w:pPr>
        <w:pStyle w:val="SingleSpace"/>
        <w:jc w:val="center"/>
        <w:sectPr w:rsidR="000E635C" w:rsidSect="00FF5D57">
          <w:footerReference w:type="first" r:id="rId37"/>
          <w:endnotePr>
            <w:numFmt w:val="decimal"/>
          </w:endnotePr>
          <w:pgSz w:w="16840" w:h="11907" w:orient="landscape" w:code="9"/>
          <w:pgMar w:top="1440" w:right="1440" w:bottom="1440" w:left="1440" w:header="851" w:footer="851" w:gutter="0"/>
          <w:pgNumType w:fmt="lowerRoman" w:start="4"/>
          <w:cols w:space="720"/>
          <w:noEndnote/>
          <w:titlePg/>
        </w:sectPr>
      </w:pPr>
      <w:r w:rsidRPr="000E635C">
        <w:rPr>
          <w:noProof/>
          <w:lang w:eastAsia="en-AU"/>
        </w:rPr>
        <w:lastRenderedPageBreak/>
        <w:drawing>
          <wp:inline distT="0" distB="0" distL="0" distR="0">
            <wp:extent cx="7397750" cy="5716443"/>
            <wp:effectExtent l="0" t="0" r="0" b="0"/>
            <wp:docPr id="33" name="Picture 33" descr="I:\Banks-Smith\EA (KBS)\Harman Orders - Annexures A-E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Banks-Smith\EA (KBS)\Harman Orders - Annexures A-E_Page_2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415693" cy="5730308"/>
                    </a:xfrm>
                    <a:prstGeom prst="rect">
                      <a:avLst/>
                    </a:prstGeom>
                    <a:noFill/>
                    <a:ln>
                      <a:noFill/>
                    </a:ln>
                  </pic:spPr>
                </pic:pic>
              </a:graphicData>
            </a:graphic>
          </wp:inline>
        </w:drawing>
      </w:r>
    </w:p>
    <w:p w:rsidR="000E635C" w:rsidRDefault="000E635C" w:rsidP="00F85E5A">
      <w:pPr>
        <w:pStyle w:val="SingleSpace"/>
        <w:jc w:val="center"/>
      </w:pPr>
      <w:r w:rsidRPr="000E635C">
        <w:rPr>
          <w:noProof/>
          <w:lang w:eastAsia="en-AU"/>
        </w:rPr>
        <w:lastRenderedPageBreak/>
        <w:drawing>
          <wp:inline distT="0" distB="0" distL="0" distR="0">
            <wp:extent cx="5732145" cy="8104897"/>
            <wp:effectExtent l="0" t="0" r="1905" b="0"/>
            <wp:docPr id="34" name="Picture 34" descr="I:\Banks-Smith\EA (KBS)\Harman Orders - Annexures A-E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Banks-Smith\EA (KBS)\Harman Orders - Annexures A-E_Page_2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2145" cy="8104897"/>
                    </a:xfrm>
                    <a:prstGeom prst="rect">
                      <a:avLst/>
                    </a:prstGeom>
                    <a:noFill/>
                    <a:ln>
                      <a:noFill/>
                    </a:ln>
                  </pic:spPr>
                </pic:pic>
              </a:graphicData>
            </a:graphic>
          </wp:inline>
        </w:drawing>
      </w:r>
    </w:p>
    <w:p w:rsidR="000E635C" w:rsidRDefault="000E635C" w:rsidP="00F85E5A">
      <w:pPr>
        <w:pStyle w:val="SingleSpace"/>
        <w:jc w:val="center"/>
      </w:pPr>
    </w:p>
    <w:p w:rsidR="000E635C" w:rsidRDefault="000E635C" w:rsidP="00F85E5A">
      <w:pPr>
        <w:pStyle w:val="SingleSpace"/>
        <w:jc w:val="center"/>
      </w:pPr>
    </w:p>
    <w:p w:rsidR="000E635C" w:rsidRDefault="000E635C" w:rsidP="00F85E5A">
      <w:pPr>
        <w:pStyle w:val="SingleSpace"/>
        <w:jc w:val="center"/>
      </w:pPr>
    </w:p>
    <w:p w:rsidR="000E635C" w:rsidRDefault="000E635C" w:rsidP="00F85E5A">
      <w:pPr>
        <w:pStyle w:val="SingleSpace"/>
        <w:jc w:val="center"/>
      </w:pPr>
    </w:p>
    <w:p w:rsidR="000E635C" w:rsidRDefault="000E635C" w:rsidP="00F85E5A">
      <w:pPr>
        <w:pStyle w:val="SingleSpace"/>
        <w:jc w:val="center"/>
      </w:pPr>
      <w:r w:rsidRPr="000E635C">
        <w:rPr>
          <w:noProof/>
          <w:lang w:eastAsia="en-AU"/>
        </w:rPr>
        <w:lastRenderedPageBreak/>
        <w:drawing>
          <wp:inline distT="0" distB="0" distL="0" distR="0">
            <wp:extent cx="5732145" cy="8111708"/>
            <wp:effectExtent l="0" t="0" r="1905" b="3810"/>
            <wp:docPr id="35" name="Picture 35" descr="I:\Banks-Smith\EA (KBS)\Harman Orders - Annexures A-E_Pag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Banks-Smith\EA (KBS)\Harman Orders - Annexures A-E_Page_2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2145" cy="8111708"/>
                    </a:xfrm>
                    <a:prstGeom prst="rect">
                      <a:avLst/>
                    </a:prstGeom>
                    <a:noFill/>
                    <a:ln>
                      <a:noFill/>
                    </a:ln>
                  </pic:spPr>
                </pic:pic>
              </a:graphicData>
            </a:graphic>
          </wp:inline>
        </w:drawing>
      </w:r>
    </w:p>
    <w:p w:rsidR="000E635C" w:rsidRDefault="000E635C" w:rsidP="00F85E5A">
      <w:pPr>
        <w:pStyle w:val="SingleSpace"/>
        <w:jc w:val="center"/>
      </w:pPr>
    </w:p>
    <w:p w:rsidR="007F4D0A" w:rsidRDefault="007F4D0A" w:rsidP="00F85E5A">
      <w:pPr>
        <w:pStyle w:val="SingleSpace"/>
        <w:jc w:val="center"/>
      </w:pPr>
    </w:p>
    <w:p w:rsidR="00604342" w:rsidRDefault="00604342" w:rsidP="002B0E91">
      <w:pPr>
        <w:pStyle w:val="BodyText"/>
      </w:pPr>
    </w:p>
    <w:p w:rsidR="00395B24" w:rsidRDefault="00395B24">
      <w:pPr>
        <w:pStyle w:val="NormalHeadings"/>
        <w:spacing w:before="240" w:after="120"/>
        <w:rPr>
          <w:b w:val="0"/>
        </w:rPr>
        <w:sectPr w:rsidR="00395B24" w:rsidSect="00FF5D57">
          <w:footerReference w:type="first" r:id="rId41"/>
          <w:endnotePr>
            <w:numFmt w:val="decimal"/>
          </w:endnotePr>
          <w:pgSz w:w="11907" w:h="16840" w:code="9"/>
          <w:pgMar w:top="1440" w:right="1440" w:bottom="1440" w:left="1440" w:header="851" w:footer="851" w:gutter="0"/>
          <w:pgNumType w:fmt="lowerRoman" w:start="28"/>
          <w:cols w:space="720"/>
          <w:noEndnote/>
          <w:titlePg/>
        </w:sectPr>
      </w:pPr>
    </w:p>
    <w:p w:rsidR="00484F6D" w:rsidRPr="00045BB7" w:rsidRDefault="00484F6D" w:rsidP="00045BB7">
      <w:pPr>
        <w:pStyle w:val="NormalHeadings"/>
        <w:spacing w:line="480" w:lineRule="auto"/>
        <w:jc w:val="center"/>
        <w:rPr>
          <w:sz w:val="28"/>
          <w:szCs w:val="28"/>
        </w:rPr>
      </w:pPr>
      <w:bookmarkStart w:id="23" w:name="ReasonsPage"/>
      <w:bookmarkEnd w:id="23"/>
      <w:r w:rsidRPr="00045BB7">
        <w:rPr>
          <w:sz w:val="28"/>
          <w:szCs w:val="28"/>
        </w:rPr>
        <w:lastRenderedPageBreak/>
        <w:t>REASONS FOR JUDGMENT</w:t>
      </w:r>
    </w:p>
    <w:p w:rsidR="00694BEB" w:rsidRDefault="00572156" w:rsidP="005E0510">
      <w:pPr>
        <w:pStyle w:val="NormalHeadings"/>
        <w:spacing w:line="360" w:lineRule="auto"/>
        <w:jc w:val="left"/>
        <w:rPr>
          <w:sz w:val="26"/>
          <w:szCs w:val="26"/>
        </w:rPr>
      </w:pPr>
      <w:r>
        <w:rPr>
          <w:sz w:val="26"/>
          <w:szCs w:val="26"/>
        </w:rPr>
        <w:t>BANKS-SMITH J:</w:t>
      </w:r>
    </w:p>
    <w:p w:rsidR="006032BD" w:rsidRDefault="006032BD" w:rsidP="006032BD">
      <w:pPr>
        <w:pStyle w:val="ParaNumbering"/>
      </w:pPr>
      <w:r>
        <w:t>This is a second application by the applicant seeking a release of the implied undertaking to the Court</w:t>
      </w:r>
      <w:r w:rsidR="000B67CB">
        <w:t>, commonly referred to as the Harman undertaking,</w:t>
      </w:r>
      <w:r>
        <w:t xml:space="preserve"> in relation to the use of documents</w:t>
      </w:r>
      <w:r w:rsidR="003962AC">
        <w:t xml:space="preserve">.  </w:t>
      </w:r>
      <w:r w:rsidR="00B41007">
        <w:t xml:space="preserve">At the hearing on 6 October 2021 I indicated that I would make orders as requested, subject to </w:t>
      </w:r>
      <w:r w:rsidR="00B545AD">
        <w:t>certain revision to be discussed by the parties</w:t>
      </w:r>
      <w:r w:rsidR="003962AC">
        <w:t>.</w:t>
      </w:r>
      <w:r w:rsidR="00B545AD">
        <w:t xml:space="preserve">  A revised set of proposed orders was provided on 8 October 2021.</w:t>
      </w:r>
    </w:p>
    <w:p w:rsidR="006032BD" w:rsidRDefault="006032BD" w:rsidP="006032BD">
      <w:pPr>
        <w:pStyle w:val="ParaNumbering"/>
      </w:pPr>
      <w:r>
        <w:t>In</w:t>
      </w:r>
      <w:r w:rsidR="00466564">
        <w:t xml:space="preserve"> reasons dealing with the first application, </w:t>
      </w:r>
      <w:r w:rsidRPr="00FC339A">
        <w:rPr>
          <w:i/>
        </w:rPr>
        <w:t>JKC Australia LNG Pty Ltd v AkzoNobel NV</w:t>
      </w:r>
      <w:r w:rsidRPr="00FC339A">
        <w:t xml:space="preserve"> [2019] FCA 1032</w:t>
      </w:r>
      <w:r>
        <w:t xml:space="preserve"> (</w:t>
      </w:r>
      <w:r w:rsidRPr="006032BD">
        <w:rPr>
          <w:b/>
          <w:i/>
        </w:rPr>
        <w:t>JKC (No 1)</w:t>
      </w:r>
      <w:r>
        <w:t>)</w:t>
      </w:r>
      <w:r w:rsidR="00466564">
        <w:t>,</w:t>
      </w:r>
      <w:r>
        <w:t xml:space="preserve"> I provided a brief summary of the dispute between the parties</w:t>
      </w:r>
      <w:r w:rsidR="003962AC">
        <w:t xml:space="preserve">.  </w:t>
      </w:r>
      <w:r>
        <w:t>Some of what follows adopts that summary.</w:t>
      </w:r>
    </w:p>
    <w:p w:rsidR="00077768" w:rsidRDefault="006032BD" w:rsidP="006032BD">
      <w:pPr>
        <w:pStyle w:val="ParaNumbering"/>
      </w:pPr>
      <w:r>
        <w:t xml:space="preserve">The </w:t>
      </w:r>
      <w:proofErr w:type="spellStart"/>
      <w:r>
        <w:t>Ichthys</w:t>
      </w:r>
      <w:proofErr w:type="spellEnd"/>
      <w:r>
        <w:t xml:space="preserve"> Onshore Project </w:t>
      </w:r>
      <w:r w:rsidR="003646CF">
        <w:t>(</w:t>
      </w:r>
      <w:r w:rsidR="003646CF" w:rsidRPr="003646CF">
        <w:rPr>
          <w:b/>
        </w:rPr>
        <w:t>Project</w:t>
      </w:r>
      <w:r w:rsidR="003646CF">
        <w:t xml:space="preserve">) </w:t>
      </w:r>
      <w:r>
        <w:t>is one of the world's largest liquefied natural gas developments</w:t>
      </w:r>
      <w:r w:rsidR="003962AC">
        <w:t xml:space="preserve">.  </w:t>
      </w:r>
      <w:r>
        <w:t>In short, it involves the extraction of gas and condensate from the Ichthys Field in the Browse Basin off North West Australia and transportation of the gas and condensate by 890 km of undersea pipeline to onshore LNG facilities near Darwin for conversion into LNG for export.</w:t>
      </w:r>
    </w:p>
    <w:p w:rsidR="006032BD" w:rsidRDefault="006032BD" w:rsidP="006032BD">
      <w:pPr>
        <w:pStyle w:val="ParaNumbering"/>
      </w:pPr>
      <w:r>
        <w:t>The applicant in these proceedings (</w:t>
      </w:r>
      <w:r w:rsidRPr="00DB138A">
        <w:rPr>
          <w:b/>
        </w:rPr>
        <w:t>JKC</w:t>
      </w:r>
      <w:r>
        <w:t>) entered into a contract with INPEX Operations Australia Pty Ltd (</w:t>
      </w:r>
      <w:r w:rsidRPr="00DB138A">
        <w:rPr>
          <w:b/>
        </w:rPr>
        <w:t>I</w:t>
      </w:r>
      <w:r>
        <w:rPr>
          <w:b/>
        </w:rPr>
        <w:t>NPEX</w:t>
      </w:r>
      <w:r>
        <w:t>) for JKC to undertake certain engineering, procurement, supply, construc</w:t>
      </w:r>
      <w:r w:rsidR="003646CF">
        <w:t>tion and commissioning for the P</w:t>
      </w:r>
      <w:r>
        <w:t xml:space="preserve">roject (the contract is referred to as the </w:t>
      </w:r>
      <w:r w:rsidRPr="009863DF">
        <w:rPr>
          <w:b/>
        </w:rPr>
        <w:t>EPC contract</w:t>
      </w:r>
      <w:r>
        <w:t>).</w:t>
      </w:r>
    </w:p>
    <w:p w:rsidR="006032BD" w:rsidRDefault="006032BD" w:rsidP="006032BD">
      <w:pPr>
        <w:pStyle w:val="ParaNumbering"/>
      </w:pPr>
      <w:r>
        <w:t>Relevantly, one of JKC's tasks under the contract was to develop coating specifications for pipework and equipment as necessary for the scope of its works.</w:t>
      </w:r>
    </w:p>
    <w:p w:rsidR="006032BD" w:rsidRDefault="006032BD" w:rsidP="006032BD">
      <w:pPr>
        <w:pStyle w:val="ParaNumbering"/>
      </w:pPr>
      <w:r>
        <w:t xml:space="preserve">After various </w:t>
      </w:r>
      <w:r w:rsidR="003646CF">
        <w:t>communications</w:t>
      </w:r>
      <w:r>
        <w:t xml:space="preserve"> with one or both of the respondents, JKC directed certain suppliers to use a particular coating system known as </w:t>
      </w:r>
      <w:r w:rsidRPr="006032BD">
        <w:rPr>
          <w:b/>
        </w:rPr>
        <w:t>Intertherm 228</w:t>
      </w:r>
      <w:r>
        <w:t xml:space="preserve"> on pipework and equipment modules.</w:t>
      </w:r>
    </w:p>
    <w:p w:rsidR="006032BD" w:rsidRDefault="006032BD" w:rsidP="006032BD">
      <w:pPr>
        <w:pStyle w:val="ParaNumbering"/>
      </w:pPr>
      <w:r>
        <w:t xml:space="preserve">Following </w:t>
      </w:r>
      <w:r w:rsidR="00617C45">
        <w:t xml:space="preserve">the </w:t>
      </w:r>
      <w:r>
        <w:t>use of Intertherm 228, degradation and decolourisation issues arose with respect to the coated pipework and equipment</w:t>
      </w:r>
      <w:r w:rsidR="003962AC">
        <w:t xml:space="preserve">.  </w:t>
      </w:r>
      <w:r>
        <w:t>The pleaded claim relates to the communications, selection and use of that product.</w:t>
      </w:r>
    </w:p>
    <w:p w:rsidR="006032BD" w:rsidRDefault="006032BD" w:rsidP="006032BD">
      <w:pPr>
        <w:pStyle w:val="ParaNumbering"/>
      </w:pPr>
      <w:r>
        <w:t xml:space="preserve">Separately, INPEX has issued related proceedings in this Court </w:t>
      </w:r>
      <w:r w:rsidR="003962AC">
        <w:t>as to the use of Intertherm </w:t>
      </w:r>
      <w:r w:rsidR="00617C45">
        <w:t xml:space="preserve">228 </w:t>
      </w:r>
      <w:r>
        <w:t xml:space="preserve">against parties including the </w:t>
      </w:r>
      <w:r w:rsidR="003646CF">
        <w:t>respondents</w:t>
      </w:r>
      <w:r>
        <w:t>.</w:t>
      </w:r>
    </w:p>
    <w:p w:rsidR="006032BD" w:rsidRDefault="006032BD" w:rsidP="006032BD">
      <w:pPr>
        <w:pStyle w:val="ParaNumbering"/>
      </w:pPr>
      <w:r>
        <w:lastRenderedPageBreak/>
        <w:t>This proceeding is relatively advanced</w:t>
      </w:r>
      <w:r w:rsidR="003962AC">
        <w:t xml:space="preserve">.  </w:t>
      </w:r>
      <w:r>
        <w:t xml:space="preserve">Relevantly, a </w:t>
      </w:r>
      <w:r w:rsidR="000B67CB">
        <w:t>thorough</w:t>
      </w:r>
      <w:r>
        <w:t xml:space="preserve"> discovery process has been </w:t>
      </w:r>
      <w:r w:rsidR="0013142E">
        <w:t>undertaken</w:t>
      </w:r>
      <w:r w:rsidR="003962AC">
        <w:t xml:space="preserve">.  </w:t>
      </w:r>
      <w:r w:rsidR="00076AD3">
        <w:t>S</w:t>
      </w:r>
      <w:r>
        <w:t xml:space="preserve">ubpoenas have been issued resulting in the production of documents by certain </w:t>
      </w:r>
      <w:r w:rsidR="00076AD3">
        <w:t xml:space="preserve">related companies and </w:t>
      </w:r>
      <w:r>
        <w:t>third parties</w:t>
      </w:r>
      <w:r w:rsidR="003962AC">
        <w:t xml:space="preserve">.  </w:t>
      </w:r>
      <w:r w:rsidR="00076AD3">
        <w:t>S</w:t>
      </w:r>
      <w:r w:rsidR="0013142E">
        <w:t>tatements of lay evidence have been served</w:t>
      </w:r>
      <w:r w:rsidR="003962AC">
        <w:t xml:space="preserve">.  </w:t>
      </w:r>
      <w:r w:rsidR="0013142E">
        <w:t>Preparation of expert reports is continuing.</w:t>
      </w:r>
    </w:p>
    <w:p w:rsidR="0013142E" w:rsidRDefault="0013142E" w:rsidP="006032BD">
      <w:pPr>
        <w:pStyle w:val="ParaNumbering"/>
      </w:pPr>
      <w:r>
        <w:t>As a result of the document production processes, JKC has in its possession</w:t>
      </w:r>
      <w:r w:rsidRPr="0013142E">
        <w:t xml:space="preserve"> </w:t>
      </w:r>
      <w:r>
        <w:t xml:space="preserve">documents from the </w:t>
      </w:r>
      <w:r w:rsidR="003646CF">
        <w:t>respondents</w:t>
      </w:r>
      <w:r w:rsidR="00AE7BC5">
        <w:t xml:space="preserve"> and related Australian companies</w:t>
      </w:r>
      <w:r>
        <w:t xml:space="preserve"> and from, relevantly, a third party being </w:t>
      </w:r>
      <w:r w:rsidR="00466564" w:rsidRPr="00466564">
        <w:rPr>
          <w:b/>
        </w:rPr>
        <w:t>Corrotek</w:t>
      </w:r>
      <w:r w:rsidR="00466564">
        <w:t xml:space="preserve"> Consultants Pty Ltd</w:t>
      </w:r>
      <w:r w:rsidR="003962AC">
        <w:t xml:space="preserve">.  </w:t>
      </w:r>
      <w:r w:rsidR="00617C45">
        <w:t xml:space="preserve">The parties have </w:t>
      </w:r>
      <w:r w:rsidR="00466564">
        <w:t xml:space="preserve">determined </w:t>
      </w:r>
      <w:r w:rsidR="00617C45">
        <w:t xml:space="preserve">that some of those documents are </w:t>
      </w:r>
      <w:r w:rsidR="00466564">
        <w:t>confidential.</w:t>
      </w:r>
    </w:p>
    <w:p w:rsidR="00466564" w:rsidRDefault="00466564" w:rsidP="00C41FFC">
      <w:pPr>
        <w:pStyle w:val="ParaNumbering"/>
      </w:pPr>
      <w:r>
        <w:t xml:space="preserve">JKC seeks orders relieving it of the implied undertaking with respect to </w:t>
      </w:r>
      <w:r w:rsidR="003A0C55">
        <w:t xml:space="preserve">particular </w:t>
      </w:r>
      <w:r>
        <w:t>identified documents</w:t>
      </w:r>
      <w:r w:rsidR="003A0C55">
        <w:t xml:space="preserve">, which, consistently with JKC's submissions, I will refer to as the </w:t>
      </w:r>
      <w:r w:rsidR="003A0C55" w:rsidRPr="003A0C55">
        <w:rPr>
          <w:b/>
        </w:rPr>
        <w:t>Relevant Documents</w:t>
      </w:r>
      <w:r w:rsidR="003A0C55">
        <w:t>.</w:t>
      </w:r>
    </w:p>
    <w:p w:rsidR="003A0C55" w:rsidRDefault="003A0C55" w:rsidP="003A0C55">
      <w:pPr>
        <w:pStyle w:val="Heading2"/>
      </w:pPr>
      <w:r>
        <w:t>A</w:t>
      </w:r>
      <w:r w:rsidR="00AD1B11">
        <w:t>ffidavits</w:t>
      </w:r>
    </w:p>
    <w:p w:rsidR="00AD1B11" w:rsidRDefault="00AD1B11" w:rsidP="00AD1B11">
      <w:pPr>
        <w:pStyle w:val="ParaNumbering"/>
      </w:pPr>
      <w:r>
        <w:t xml:space="preserve">JKC relied </w:t>
      </w:r>
      <w:r w:rsidR="003646CF">
        <w:t xml:space="preserve">relevantly </w:t>
      </w:r>
      <w:r>
        <w:t>upon affidavits of</w:t>
      </w:r>
      <w:r w:rsidRPr="00AD1B11">
        <w:t xml:space="preserve"> </w:t>
      </w:r>
      <w:r>
        <w:t xml:space="preserve">Trafford Gazsik, Liam Prescott and </w:t>
      </w:r>
      <w:proofErr w:type="spellStart"/>
      <w:r>
        <w:t>Sophy</w:t>
      </w:r>
      <w:proofErr w:type="spellEnd"/>
      <w:r>
        <w:t xml:space="preserve"> Woodward</w:t>
      </w:r>
      <w:r w:rsidR="00F22F5B">
        <w:t>.</w:t>
      </w:r>
    </w:p>
    <w:p w:rsidR="00AD1B11" w:rsidRPr="00AD1B11" w:rsidRDefault="00F22F5B" w:rsidP="00AD1B11">
      <w:pPr>
        <w:pStyle w:val="ParaNumbering"/>
      </w:pPr>
      <w:r>
        <w:t>Mr </w:t>
      </w:r>
      <w:r w:rsidR="00AD1B11">
        <w:t>Gazsik holds the position of senior legal counsel for JKC and is responsible for the day</w:t>
      </w:r>
      <w:r w:rsidR="00AD1B11">
        <w:noBreakHyphen/>
        <w:t>to</w:t>
      </w:r>
      <w:r w:rsidR="00AD1B11">
        <w:noBreakHyphen/>
        <w:t xml:space="preserve">day management of </w:t>
      </w:r>
      <w:r w:rsidR="00FC60AE">
        <w:t>this</w:t>
      </w:r>
      <w:r w:rsidR="00AD1B11">
        <w:t xml:space="preserve"> proceeding</w:t>
      </w:r>
      <w:r w:rsidR="003962AC">
        <w:t xml:space="preserve">.  </w:t>
      </w:r>
      <w:r w:rsidR="00AD1B11">
        <w:t>I therefore infer that he has a good understanding of the matters in issue in these proceedings</w:t>
      </w:r>
      <w:r w:rsidR="003962AC">
        <w:t xml:space="preserve">.  </w:t>
      </w:r>
      <w:r w:rsidR="00FC60AE">
        <w:t>I also accept that he would have a good understanding of the arbitration and insurance proceedings to which I will refer shortly</w:t>
      </w:r>
      <w:r w:rsidR="003962AC">
        <w:t xml:space="preserve">.  </w:t>
      </w:r>
      <w:r w:rsidR="00AD1B11">
        <w:t xml:space="preserve">I infer that accordingly he understands the significance of the documents that have been </w:t>
      </w:r>
      <w:r w:rsidR="00FC60AE">
        <w:t xml:space="preserve">received </w:t>
      </w:r>
      <w:r w:rsidR="00AD1B11">
        <w:t xml:space="preserve">by </w:t>
      </w:r>
      <w:r w:rsidR="00FC60AE">
        <w:t>JKC</w:t>
      </w:r>
      <w:r w:rsidR="000B67CB">
        <w:t xml:space="preserve"> through the document production processes</w:t>
      </w:r>
      <w:r w:rsidR="00AD1B11">
        <w:t>.</w:t>
      </w:r>
    </w:p>
    <w:p w:rsidR="00AD1B11" w:rsidRDefault="00F22F5B" w:rsidP="00AD1B11">
      <w:pPr>
        <w:pStyle w:val="ParaNumbering"/>
      </w:pPr>
      <w:r>
        <w:t>Mr </w:t>
      </w:r>
      <w:r w:rsidR="00AD1B11">
        <w:t>Prescott is a partner of the law firm DLA Piper</w:t>
      </w:r>
      <w:r>
        <w:t xml:space="preserve"> A</w:t>
      </w:r>
      <w:r w:rsidR="00610909">
        <w:t>ustralia</w:t>
      </w:r>
      <w:r w:rsidR="003962AC">
        <w:t xml:space="preserve">.  </w:t>
      </w:r>
      <w:r>
        <w:t>Ms </w:t>
      </w:r>
      <w:r w:rsidR="00AD1B11">
        <w:t>Woodward is special counsel at the law firm HFW Australia</w:t>
      </w:r>
      <w:r w:rsidR="003962AC">
        <w:t xml:space="preserve">.  </w:t>
      </w:r>
      <w:r w:rsidR="000B67CB">
        <w:t>Although JKC is represented by Solomon Brothers in this proceeding, both Mr Prescott and Ms Woodward also act for JKC</w:t>
      </w:r>
      <w:r w:rsidR="003646CF">
        <w:t>, but in different capacities,</w:t>
      </w:r>
      <w:r w:rsidR="000B67CB">
        <w:t xml:space="preserve"> as explained below.</w:t>
      </w:r>
    </w:p>
    <w:p w:rsidR="000B67CB" w:rsidRDefault="000B67CB" w:rsidP="000B67CB">
      <w:pPr>
        <w:pStyle w:val="Heading2"/>
      </w:pPr>
      <w:r>
        <w:t>Mr Fred Salome</w:t>
      </w:r>
    </w:p>
    <w:p w:rsidR="000B67CB" w:rsidRDefault="000B67CB" w:rsidP="003A0C55">
      <w:pPr>
        <w:pStyle w:val="ParaNumbering"/>
      </w:pPr>
      <w:r>
        <w:t>JKC has engaged F</w:t>
      </w:r>
      <w:r w:rsidR="003646CF">
        <w:t>red Salome as an expert in this</w:t>
      </w:r>
      <w:r>
        <w:t xml:space="preserve"> proceeding</w:t>
      </w:r>
      <w:r w:rsidR="003962AC">
        <w:t xml:space="preserve">.  </w:t>
      </w:r>
      <w:r>
        <w:t>Mr Salome is a paint chemist</w:t>
      </w:r>
      <w:r w:rsidR="003962AC">
        <w:t xml:space="preserve">.  </w:t>
      </w:r>
      <w:r>
        <w:t>One question upon which Mr Salome has been engaged to opine includes the extent to which damage has arisen from th</w:t>
      </w:r>
      <w:r w:rsidR="003646CF">
        <w:t>e use of Intertherm 228 on the P</w:t>
      </w:r>
      <w:r>
        <w:t>roject and the reasons for that damage</w:t>
      </w:r>
      <w:r w:rsidR="003962AC">
        <w:t xml:space="preserve">.  </w:t>
      </w:r>
      <w:r>
        <w:t>Although Mr Salome has not yet finalised his report addressing those matters, he has prepared a draft report</w:t>
      </w:r>
      <w:r w:rsidR="003962AC">
        <w:t xml:space="preserve">.  </w:t>
      </w:r>
      <w:r>
        <w:t xml:space="preserve">Mr Salome has had access to all of the Relevant Documents for the purpose of </w:t>
      </w:r>
      <w:r w:rsidRPr="000B67CB">
        <w:t>preparing</w:t>
      </w:r>
      <w:r>
        <w:t xml:space="preserve"> his report.</w:t>
      </w:r>
    </w:p>
    <w:p w:rsidR="003A0C55" w:rsidRDefault="003A0C55" w:rsidP="003A0C55">
      <w:pPr>
        <w:pStyle w:val="Heading2"/>
      </w:pPr>
      <w:r>
        <w:lastRenderedPageBreak/>
        <w:t xml:space="preserve">Relevant </w:t>
      </w:r>
      <w:r w:rsidR="00F22F5B">
        <w:t>D</w:t>
      </w:r>
      <w:r>
        <w:t>ocuments</w:t>
      </w:r>
    </w:p>
    <w:p w:rsidR="003A0C55" w:rsidRDefault="003A0C55" w:rsidP="003A0C55">
      <w:pPr>
        <w:pStyle w:val="ParaNumbering"/>
      </w:pPr>
      <w:r>
        <w:t>The Relevant Documents are divided into three categories, listed in Annexures A, B and C of the application.</w:t>
      </w:r>
    </w:p>
    <w:p w:rsidR="00266651" w:rsidRDefault="003A0C55" w:rsidP="003A0C55">
      <w:pPr>
        <w:pStyle w:val="ParaNumbering"/>
      </w:pPr>
      <w:r>
        <w:t xml:space="preserve">The documents listed in Annexures A and B are those documents that have been produced by the </w:t>
      </w:r>
      <w:r w:rsidR="003646CF">
        <w:t>respondents</w:t>
      </w:r>
      <w:r>
        <w:t xml:space="preserve"> by discovery in this proceeding and by related Australian entities under subpoenas</w:t>
      </w:r>
      <w:r w:rsidR="003962AC">
        <w:t xml:space="preserve">.  </w:t>
      </w:r>
      <w:r>
        <w:t>There are 854 documents in this category</w:t>
      </w:r>
      <w:r w:rsidR="003962AC">
        <w:t xml:space="preserve">.  </w:t>
      </w:r>
      <w:r>
        <w:t>These documents broadly comprise testing and laboratory reports, product information sheets and documents concerning the composition of products, inspection reports, correspondence and meeting minutes</w:t>
      </w:r>
      <w:r w:rsidR="003962AC">
        <w:t xml:space="preserve">.  </w:t>
      </w:r>
      <w:r>
        <w:t>The documents are divided into two categories</w:t>
      </w:r>
      <w:r w:rsidR="003962AC">
        <w:t xml:space="preserve">.  </w:t>
      </w:r>
      <w:r>
        <w:t>Non</w:t>
      </w:r>
      <w:r>
        <w:noBreakHyphen/>
        <w:t>confidential documents are listed in Annexure</w:t>
      </w:r>
      <w:r w:rsidR="00F22F5B">
        <w:t> </w:t>
      </w:r>
      <w:r>
        <w:t>A</w:t>
      </w:r>
      <w:r w:rsidR="003962AC">
        <w:t xml:space="preserve">.  </w:t>
      </w:r>
      <w:r>
        <w:t>Confidential documents are listed in Annexure B</w:t>
      </w:r>
      <w:r w:rsidR="00266651">
        <w:t>.</w:t>
      </w:r>
    </w:p>
    <w:p w:rsidR="00266651" w:rsidRDefault="00F22F5B" w:rsidP="003A0C55">
      <w:pPr>
        <w:pStyle w:val="ParaNumbering"/>
      </w:pPr>
      <w:r>
        <w:t>Mr </w:t>
      </w:r>
      <w:r w:rsidR="003A0C55">
        <w:t xml:space="preserve">Gazsik explained that </w:t>
      </w:r>
      <w:r w:rsidR="00FC60AE">
        <w:t xml:space="preserve">since December 2017 </w:t>
      </w:r>
      <w:r w:rsidR="00266651">
        <w:t xml:space="preserve">the parties have had in place a protocol and agreement governing how information in documents that JKC or the </w:t>
      </w:r>
      <w:r w:rsidR="003646CF">
        <w:t>respondents</w:t>
      </w:r>
      <w:r w:rsidR="00266651">
        <w:t xml:space="preserve"> consider to be confidential would be treated by the parties and other persons, for example, external legal representatives.</w:t>
      </w:r>
    </w:p>
    <w:p w:rsidR="003A0C55" w:rsidRDefault="00266651" w:rsidP="003A0C55">
      <w:pPr>
        <w:pStyle w:val="ParaNumbering"/>
      </w:pPr>
      <w:r>
        <w:t xml:space="preserve">Relevantly, those documents listed in Annexure B are subject to a confidentiality agreement entered into between JKC and the </w:t>
      </w:r>
      <w:r w:rsidR="003646CF">
        <w:t>respondents</w:t>
      </w:r>
      <w:r w:rsidR="003962AC">
        <w:t xml:space="preserve">.  </w:t>
      </w:r>
      <w:r>
        <w:t>Similarly, there is a</w:t>
      </w:r>
      <w:r w:rsidR="003A0C55">
        <w:t xml:space="preserve"> subpoena confidentiality agreement</w:t>
      </w:r>
      <w:r>
        <w:t xml:space="preserve"> entered into between JKC and the </w:t>
      </w:r>
      <w:r w:rsidR="00FC60AE">
        <w:t>respondents'</w:t>
      </w:r>
      <w:r>
        <w:t xml:space="preserve"> </w:t>
      </w:r>
      <w:r w:rsidR="00FC60AE">
        <w:t xml:space="preserve">Australian </w:t>
      </w:r>
      <w:r>
        <w:t>related companies that produced documents under subpoena</w:t>
      </w:r>
      <w:r w:rsidR="003962AC">
        <w:t xml:space="preserve">.  </w:t>
      </w:r>
      <w:r>
        <w:t>JKC proposed in this application that there be similar confidentiality undertakings given by any other person who may have access to those documents in the event that the application to be relieved from the implied undertaking is granted.</w:t>
      </w:r>
    </w:p>
    <w:p w:rsidR="003A0C55" w:rsidRDefault="003A0C55" w:rsidP="003A0C55">
      <w:pPr>
        <w:pStyle w:val="ParaNumbering"/>
      </w:pPr>
      <w:r>
        <w:t xml:space="preserve">The </w:t>
      </w:r>
      <w:r w:rsidR="000B67CB">
        <w:t xml:space="preserve">seven </w:t>
      </w:r>
      <w:r>
        <w:t xml:space="preserve">documents </w:t>
      </w:r>
      <w:r w:rsidR="000B67CB">
        <w:t>listed</w:t>
      </w:r>
      <w:r>
        <w:t xml:space="preserve"> in Annexure C have been produced by Corrotek under subpoena</w:t>
      </w:r>
      <w:r w:rsidR="003962AC">
        <w:t xml:space="preserve">.  </w:t>
      </w:r>
      <w:r>
        <w:t>These documents broadly comprise correspondence and other technical documents concerning the coating system used for the Project.</w:t>
      </w:r>
    </w:p>
    <w:p w:rsidR="003A0C55" w:rsidRDefault="00F22F5B" w:rsidP="003A0C55">
      <w:pPr>
        <w:pStyle w:val="ParaNumbering"/>
      </w:pPr>
      <w:r>
        <w:t>All of the R</w:t>
      </w:r>
      <w:r w:rsidR="003A0C55">
        <w:t xml:space="preserve">elevant </w:t>
      </w:r>
      <w:r>
        <w:t>D</w:t>
      </w:r>
      <w:r w:rsidR="003A0C55">
        <w:t xml:space="preserve">ocuments were provided to </w:t>
      </w:r>
      <w:r>
        <w:t>Mr </w:t>
      </w:r>
      <w:r w:rsidR="003A0C55">
        <w:t xml:space="preserve">Salome to assist with his investigation into the root cause of the </w:t>
      </w:r>
      <w:r w:rsidR="00BC1EB0">
        <w:t xml:space="preserve">alleged </w:t>
      </w:r>
      <w:r w:rsidR="003A0C55">
        <w:t>Intertherm 228 failure</w:t>
      </w:r>
      <w:r w:rsidR="003962AC">
        <w:t xml:space="preserve">.  </w:t>
      </w:r>
      <w:r w:rsidR="003A0C55">
        <w:t xml:space="preserve">With the exception of the documents obtained by JKC through subpoenas, the </w:t>
      </w:r>
      <w:r>
        <w:t>R</w:t>
      </w:r>
      <w:r w:rsidR="003A0C55">
        <w:t xml:space="preserve">elevant </w:t>
      </w:r>
      <w:r>
        <w:t>D</w:t>
      </w:r>
      <w:r w:rsidR="003A0C55">
        <w:t>ocuments contain technical and testing information that is not otherwise available to JKC</w:t>
      </w:r>
      <w:r w:rsidR="003962AC">
        <w:t xml:space="preserve">.  </w:t>
      </w:r>
      <w:r>
        <w:t>Mr </w:t>
      </w:r>
      <w:r w:rsidR="003A0C55">
        <w:t xml:space="preserve">Gazsik deposed to the fact that he has spoken to </w:t>
      </w:r>
      <w:r>
        <w:t>Mr </w:t>
      </w:r>
      <w:r w:rsidR="003A0C55">
        <w:t xml:space="preserve">Salome who informed him </w:t>
      </w:r>
      <w:r w:rsidR="00266651">
        <w:t xml:space="preserve">that </w:t>
      </w:r>
      <w:r w:rsidR="003A0C55">
        <w:t xml:space="preserve">the fact that he has relied upon </w:t>
      </w:r>
      <w:r w:rsidR="00266651">
        <w:t xml:space="preserve">the Relevant Documents </w:t>
      </w:r>
      <w:r w:rsidR="003A0C55">
        <w:t>will be evident from the text of his report.</w:t>
      </w:r>
    </w:p>
    <w:p w:rsidR="003A0C55" w:rsidRDefault="00AD1B11" w:rsidP="003A0C55">
      <w:pPr>
        <w:pStyle w:val="Heading2"/>
      </w:pPr>
      <w:r>
        <w:lastRenderedPageBreak/>
        <w:t>Proposed use of Relevant D</w:t>
      </w:r>
      <w:r w:rsidR="003A0C55">
        <w:t>ocuments</w:t>
      </w:r>
    </w:p>
    <w:p w:rsidR="00D11529" w:rsidRDefault="00F22F5B" w:rsidP="00D11529">
      <w:pPr>
        <w:pStyle w:val="ParaNumbering"/>
      </w:pPr>
      <w:r>
        <w:t>Mr </w:t>
      </w:r>
      <w:r w:rsidR="00D11529">
        <w:t>Gazsik explained that JKC and INPEX are currently involved in an arbitral disp</w:t>
      </w:r>
      <w:r w:rsidR="00266651">
        <w:t>ute which arises under the EPC c</w:t>
      </w:r>
      <w:r w:rsidR="00D11529">
        <w:t xml:space="preserve">ontract, and in which some of the key issues </w:t>
      </w:r>
      <w:r w:rsidR="00266651">
        <w:t>include</w:t>
      </w:r>
      <w:r w:rsidR="00D11529">
        <w:t xml:space="preserve"> the damage to the Intertherm 228 on the Project and how it is to be rectified (</w:t>
      </w:r>
      <w:r w:rsidR="00D11529" w:rsidRPr="00D11529">
        <w:rPr>
          <w:b/>
        </w:rPr>
        <w:t>INPEX Dispute</w:t>
      </w:r>
      <w:r w:rsidR="00D11529">
        <w:t>)</w:t>
      </w:r>
      <w:r w:rsidR="003962AC">
        <w:t xml:space="preserve">.  </w:t>
      </w:r>
      <w:r w:rsidR="00D11529">
        <w:t>The INPEX Dispute is the subject of an international arbitration (</w:t>
      </w:r>
      <w:r w:rsidR="00D11529" w:rsidRPr="00D11529">
        <w:rPr>
          <w:b/>
        </w:rPr>
        <w:t>Arbitration</w:t>
      </w:r>
      <w:r w:rsidR="00D11529">
        <w:t>).</w:t>
      </w:r>
    </w:p>
    <w:p w:rsidR="00D11529" w:rsidRDefault="00D11529" w:rsidP="00D11529">
      <w:pPr>
        <w:pStyle w:val="ParaNumbering"/>
      </w:pPr>
      <w:r>
        <w:t>JKC has also issued proceedings in the Supreme Court of Western Australia (CIV 1620 of 2020 and CIV 1729 of 2020) (</w:t>
      </w:r>
      <w:r w:rsidRPr="00D11529">
        <w:rPr>
          <w:b/>
        </w:rPr>
        <w:t>Insurance Proceedings</w:t>
      </w:r>
      <w:r>
        <w:rPr>
          <w:b/>
        </w:rPr>
        <w:t>)</w:t>
      </w:r>
      <w:r w:rsidR="003962AC">
        <w:t xml:space="preserve">.  </w:t>
      </w:r>
      <w:r>
        <w:t>The Insurance Proceedings involve claims under insurance policies with respect to Intertherm 228 and its use on the Project</w:t>
      </w:r>
      <w:r w:rsidR="003962AC">
        <w:t xml:space="preserve">.  </w:t>
      </w:r>
      <w:r>
        <w:t xml:space="preserve">The proceedings are said by </w:t>
      </w:r>
      <w:r w:rsidR="00F22F5B">
        <w:t>Mr </w:t>
      </w:r>
      <w:r>
        <w:t>Gazsik to also broadly relate to the same or similar factual circumstances concerning Intertherm 228</w:t>
      </w:r>
      <w:r w:rsidR="003962AC">
        <w:t xml:space="preserve">.  </w:t>
      </w:r>
      <w:r w:rsidR="00925A95">
        <w:t xml:space="preserve">Those proceedings were required to be brought in the </w:t>
      </w:r>
      <w:r>
        <w:t xml:space="preserve">Supreme Court of Western Australia </w:t>
      </w:r>
      <w:r w:rsidR="00925A95">
        <w:t>under an exclusive jurisdiction clause in the insurance contracts</w:t>
      </w:r>
      <w:r>
        <w:t>.</w:t>
      </w:r>
      <w:r w:rsidR="00B545AD">
        <w:t xml:space="preserve">  INPEX has also brought proceedings </w:t>
      </w:r>
      <w:r w:rsidR="00BC1EB0">
        <w:t xml:space="preserve">in the Supreme Court of Western Australia against a common insurer with respect to the use of Intertherm 228 on the Project, and </w:t>
      </w:r>
      <w:r w:rsidR="00B545AD">
        <w:t>with respect to a common policy, and those proceedings are to be heard at the same time as the Insurance Proceedings.</w:t>
      </w:r>
    </w:p>
    <w:p w:rsidR="003A0C55" w:rsidRDefault="00D11529" w:rsidP="003A0C55">
      <w:pPr>
        <w:pStyle w:val="Heading2"/>
      </w:pPr>
      <w:r>
        <w:t>Relevance to the Arbitration</w:t>
      </w:r>
    </w:p>
    <w:p w:rsidR="003A0C55" w:rsidRDefault="00D11529" w:rsidP="003A0C55">
      <w:pPr>
        <w:pStyle w:val="ParaNumbering"/>
      </w:pPr>
      <w:r>
        <w:t>The Arbitration wa</w:t>
      </w:r>
      <w:r w:rsidR="003A0C55">
        <w:t xml:space="preserve">s referred to in </w:t>
      </w:r>
      <w:r>
        <w:t xml:space="preserve">general terms in </w:t>
      </w:r>
      <w:r w:rsidR="003A0C55" w:rsidRPr="00E0129F">
        <w:rPr>
          <w:i/>
        </w:rPr>
        <w:t>JKC (No 1)</w:t>
      </w:r>
      <w:r>
        <w:t xml:space="preserve"> at [14]</w:t>
      </w:r>
      <w:r w:rsidR="003962AC">
        <w:t xml:space="preserve">.  </w:t>
      </w:r>
      <w:r w:rsidR="003A0C55">
        <w:t>JKC has retain</w:t>
      </w:r>
      <w:r>
        <w:t>ed</w:t>
      </w:r>
      <w:r w:rsidR="003A0C55">
        <w:t xml:space="preserve"> </w:t>
      </w:r>
      <w:r>
        <w:t xml:space="preserve">DLA Piper </w:t>
      </w:r>
      <w:r w:rsidR="00610909">
        <w:t>Australia</w:t>
      </w:r>
      <w:r w:rsidR="00FC60AE">
        <w:t xml:space="preserve"> in the Arbitration</w:t>
      </w:r>
      <w:r w:rsidR="003962AC">
        <w:t xml:space="preserve">.  </w:t>
      </w:r>
      <w:r w:rsidR="00F22F5B">
        <w:t>Mr</w:t>
      </w:r>
      <w:r w:rsidR="00BC1EB0">
        <w:t> Prescott</w:t>
      </w:r>
      <w:r w:rsidR="003A0C55">
        <w:t xml:space="preserve"> </w:t>
      </w:r>
      <w:r>
        <w:t>explained in his affidavit that the INPEX D</w:t>
      </w:r>
      <w:r w:rsidR="003A0C55">
        <w:t xml:space="preserve">ispute </w:t>
      </w:r>
      <w:r>
        <w:t>relates to</w:t>
      </w:r>
      <w:r w:rsidR="003A0C55">
        <w:t xml:space="preserve"> the use on the Project of Intertherm 228 and what is reasonable and necessary to rectify any problems with respect to the use of Intertherm 228.</w:t>
      </w:r>
    </w:p>
    <w:p w:rsidR="00CF21CE" w:rsidRDefault="003A0C55" w:rsidP="00CF21CE">
      <w:pPr>
        <w:pStyle w:val="ParaNumbering"/>
      </w:pPr>
      <w:r>
        <w:t>For the purposes of the INPEX Dispute, JKC has engaged coating and rectification experts who have been considering products, testing, inspect</w:t>
      </w:r>
      <w:r w:rsidR="007F1289">
        <w:t>ion</w:t>
      </w:r>
      <w:r>
        <w:t xml:space="preserve"> and other technical data relating to Intertherm 228</w:t>
      </w:r>
      <w:r w:rsidR="003962AC">
        <w:t xml:space="preserve">.  </w:t>
      </w:r>
      <w:r>
        <w:t xml:space="preserve">It has received data from JKC, </w:t>
      </w:r>
      <w:r w:rsidR="00D11529">
        <w:t>including</w:t>
      </w:r>
      <w:r>
        <w:t xml:space="preserve"> the 28 documents that were the subject of </w:t>
      </w:r>
      <w:r w:rsidRPr="00E0129F">
        <w:rPr>
          <w:i/>
        </w:rPr>
        <w:t>JKC (No 1)</w:t>
      </w:r>
      <w:r w:rsidR="003962AC">
        <w:t xml:space="preserve">.  </w:t>
      </w:r>
      <w:r w:rsidR="00CF21CE">
        <w:t>The release of the implied undertaking as ordered</w:t>
      </w:r>
      <w:r>
        <w:t xml:space="preserve"> in </w:t>
      </w:r>
      <w:r w:rsidRPr="00E0129F">
        <w:rPr>
          <w:i/>
        </w:rPr>
        <w:t>JKC (No 1)</w:t>
      </w:r>
      <w:r>
        <w:t xml:space="preserve"> </w:t>
      </w:r>
      <w:r w:rsidR="00CF21CE">
        <w:t xml:space="preserve">allowed </w:t>
      </w:r>
      <w:r>
        <w:t xml:space="preserve">those 28 documents </w:t>
      </w:r>
      <w:r w:rsidR="00CF21CE">
        <w:t xml:space="preserve">to be </w:t>
      </w:r>
      <w:r>
        <w:t>provided to JKC's coating experts in the INPEX Dispute</w:t>
      </w:r>
      <w:r w:rsidR="00610909">
        <w:t>.</w:t>
      </w:r>
    </w:p>
    <w:p w:rsidR="003A0C55" w:rsidRDefault="00F22F5B" w:rsidP="00CF21CE">
      <w:pPr>
        <w:pStyle w:val="ParaNumbering"/>
      </w:pPr>
      <w:r>
        <w:t>Mr </w:t>
      </w:r>
      <w:r w:rsidR="003A0C55">
        <w:t xml:space="preserve">Prescott </w:t>
      </w:r>
      <w:r w:rsidR="00CF21CE">
        <w:t xml:space="preserve">said that he </w:t>
      </w:r>
      <w:r w:rsidR="003A0C55">
        <w:t>is aware from communications with the solicitors for JKC in this matter</w:t>
      </w:r>
      <w:r w:rsidR="00CF21CE">
        <w:t xml:space="preserve"> (Solomon Brothers)</w:t>
      </w:r>
      <w:r w:rsidR="003A0C55">
        <w:t xml:space="preserve"> and with </w:t>
      </w:r>
      <w:r>
        <w:t>Mr </w:t>
      </w:r>
      <w:r w:rsidR="003A0C55">
        <w:t>Gazsik t</w:t>
      </w:r>
      <w:r w:rsidR="00CF21CE">
        <w:t xml:space="preserve">hat </w:t>
      </w:r>
      <w:r>
        <w:t>Mr </w:t>
      </w:r>
      <w:r w:rsidR="00CF21CE">
        <w:t xml:space="preserve">Salome has had access to </w:t>
      </w:r>
      <w:r w:rsidR="003A0C55">
        <w:t>a much broader set of documents than the 28 documents that have already been provided</w:t>
      </w:r>
      <w:r w:rsidR="00CF21CE">
        <w:t xml:space="preserve"> to DLA Piper </w:t>
      </w:r>
      <w:r w:rsidR="00610909">
        <w:t>Australia</w:t>
      </w:r>
      <w:r w:rsidR="003962AC">
        <w:t xml:space="preserve">.  </w:t>
      </w:r>
      <w:r>
        <w:t>Mr </w:t>
      </w:r>
      <w:r w:rsidR="003A0C55">
        <w:t xml:space="preserve">Prescott </w:t>
      </w:r>
      <w:r w:rsidR="00CF21CE">
        <w:t xml:space="preserve">said </w:t>
      </w:r>
      <w:r w:rsidR="003A0C55">
        <w:t>that he is aware of the issues in these proceedings and the fact that they concern damage said to arise from the use of Intertherm 228, being an issue common to the INPEX Dispute</w:t>
      </w:r>
      <w:r w:rsidR="003962AC">
        <w:t xml:space="preserve">.  </w:t>
      </w:r>
      <w:r w:rsidR="003A0C55">
        <w:t xml:space="preserve">He </w:t>
      </w:r>
      <w:r w:rsidR="00CF21CE">
        <w:t>stated</w:t>
      </w:r>
      <w:r w:rsidR="003A0C55">
        <w:t xml:space="preserve"> that in his view it is necessary to provide the documents that have </w:t>
      </w:r>
      <w:r w:rsidR="003A0C55">
        <w:lastRenderedPageBreak/>
        <w:t xml:space="preserve">already been given to </w:t>
      </w:r>
      <w:r>
        <w:t>Mr </w:t>
      </w:r>
      <w:r w:rsidR="003A0C55">
        <w:t>Salome to the experts retained by JKC for the purposes of the INPEX Dispute</w:t>
      </w:r>
      <w:r w:rsidR="00CF21CE">
        <w:t>,</w:t>
      </w:r>
      <w:r w:rsidR="003A0C55">
        <w:t xml:space="preserve"> so that the</w:t>
      </w:r>
      <w:r w:rsidR="00CF21CE">
        <w:t>se</w:t>
      </w:r>
      <w:r w:rsidR="003A0C55">
        <w:t xml:space="preserve"> experts can provide an opinion on the issues relating to damage and rectification having regard to all the relevant available material</w:t>
      </w:r>
      <w:r w:rsidR="003962AC">
        <w:t xml:space="preserve">.  </w:t>
      </w:r>
      <w:r w:rsidR="003A0C55">
        <w:t xml:space="preserve">If JKC is permitted to provide the relevant documents to the experts </w:t>
      </w:r>
      <w:r w:rsidR="00CF21CE">
        <w:t xml:space="preserve">retained </w:t>
      </w:r>
      <w:r w:rsidR="003A0C55">
        <w:t>for the INPEX Dispute, it will avoid the need for JKC to take further potentially costly and time consuming steps to seek those documents from the respondents</w:t>
      </w:r>
      <w:r w:rsidR="00CF21CE">
        <w:t>, their related entities and Corrotek</w:t>
      </w:r>
      <w:r w:rsidR="003A0C55">
        <w:t>, including through request</w:t>
      </w:r>
      <w:r w:rsidR="00CF21CE">
        <w:t>s</w:t>
      </w:r>
      <w:r w:rsidR="003A0C55">
        <w:t xml:space="preserve"> for subpoenas</w:t>
      </w:r>
      <w:r w:rsidR="00CF21CE">
        <w:t xml:space="preserve"> to issue</w:t>
      </w:r>
      <w:r w:rsidR="003A0C55">
        <w:t>.</w:t>
      </w:r>
    </w:p>
    <w:p w:rsidR="00CF21CE" w:rsidRDefault="00FC60AE" w:rsidP="00CF21CE">
      <w:pPr>
        <w:pStyle w:val="Heading2"/>
      </w:pPr>
      <w:r>
        <w:t xml:space="preserve">Relevance to the </w:t>
      </w:r>
      <w:r w:rsidR="00CF21CE">
        <w:t>Insurance Proceedings</w:t>
      </w:r>
    </w:p>
    <w:p w:rsidR="00845C96" w:rsidRDefault="00F22F5B" w:rsidP="003A0C55">
      <w:pPr>
        <w:pStyle w:val="ParaNumbering"/>
      </w:pPr>
      <w:r>
        <w:t>Ms </w:t>
      </w:r>
      <w:r w:rsidR="003A0C55">
        <w:t>Woodward</w:t>
      </w:r>
      <w:r w:rsidR="00FC60AE">
        <w:t xml:space="preserve"> </w:t>
      </w:r>
      <w:r w:rsidR="00CF21CE">
        <w:t>has the day to day conduct of the Insurance Proceedings on behalf of JKC</w:t>
      </w:r>
      <w:r w:rsidR="003962AC">
        <w:t xml:space="preserve">.  </w:t>
      </w:r>
      <w:r>
        <w:t>Ms </w:t>
      </w:r>
      <w:r w:rsidR="003A0C55">
        <w:t>Woodward deposed to claims brought under two policies in which JKC is a party or claims an interest as an insured</w:t>
      </w:r>
      <w:r w:rsidR="003962AC">
        <w:t xml:space="preserve">.  </w:t>
      </w:r>
      <w:r w:rsidR="003A0C55">
        <w:t>It is not necessary to set out the relevant pr</w:t>
      </w:r>
      <w:r w:rsidR="00CF21CE">
        <w:t>ovisions of the insurance policies</w:t>
      </w:r>
      <w:r w:rsidR="003A0C55">
        <w:t xml:space="preserve"> in order to dispose of this application</w:t>
      </w:r>
      <w:r w:rsidR="003962AC">
        <w:t xml:space="preserve">.  </w:t>
      </w:r>
      <w:r w:rsidR="003A0C55">
        <w:t>Relevantly, however, the policies relate to damage</w:t>
      </w:r>
      <w:r w:rsidR="00CF21CE">
        <w:t>s</w:t>
      </w:r>
      <w:r w:rsidR="003962AC">
        <w:t xml:space="preserve">.  </w:t>
      </w:r>
      <w:r w:rsidR="00CF21CE">
        <w:t>'D</w:t>
      </w:r>
      <w:r w:rsidR="003A0C55">
        <w:t>amages</w:t>
      </w:r>
      <w:r w:rsidR="00CF21CE">
        <w:t>' is</w:t>
      </w:r>
      <w:r w:rsidR="003A0C55">
        <w:t xml:space="preserve"> defined under both policies to mean 'physical loss, destruction or damage'</w:t>
      </w:r>
      <w:r w:rsidR="003962AC">
        <w:t xml:space="preserve">.  </w:t>
      </w:r>
      <w:r w:rsidR="003A0C55">
        <w:t xml:space="preserve">It is therefore apparent that under both insurance policies it is relevant to establish that damage has occurred and whether the cause of any damage </w:t>
      </w:r>
      <w:r w:rsidR="00CF21CE">
        <w:t xml:space="preserve">excludes or otherwise affects </w:t>
      </w:r>
      <w:r w:rsidR="00FC60AE">
        <w:t xml:space="preserve">insurance </w:t>
      </w:r>
      <w:r w:rsidR="00CF21CE">
        <w:t>cover</w:t>
      </w:r>
      <w:r w:rsidR="00FC60AE">
        <w:t>.</w:t>
      </w:r>
    </w:p>
    <w:p w:rsidR="003A0C55" w:rsidRDefault="00F22F5B" w:rsidP="003A0C55">
      <w:pPr>
        <w:pStyle w:val="ParaNumbering"/>
      </w:pPr>
      <w:r>
        <w:t>Ms </w:t>
      </w:r>
      <w:r w:rsidR="003A0C55">
        <w:t>Woodward deposes to the fact that she is familiar with the claims and issues raised in these proceedings and the evidence that has been served by JKC</w:t>
      </w:r>
      <w:r w:rsidR="003962AC">
        <w:t xml:space="preserve">.  </w:t>
      </w:r>
      <w:r w:rsidR="00CF21CE">
        <w:t>She states that insofar as the I</w:t>
      </w:r>
      <w:r w:rsidR="003A0C55">
        <w:t xml:space="preserve">nsurance </w:t>
      </w:r>
      <w:r w:rsidR="00CF21CE">
        <w:t>Proceedings</w:t>
      </w:r>
      <w:r w:rsidR="003A0C55">
        <w:t xml:space="preserve"> concern Intertherm 228, they arise from the same factual circumstances as </w:t>
      </w:r>
      <w:r w:rsidR="00CF21CE">
        <w:t xml:space="preserve">those the subject of </w:t>
      </w:r>
      <w:r w:rsidR="003A0C55">
        <w:t xml:space="preserve">this proceeding, namely damage </w:t>
      </w:r>
      <w:r w:rsidR="00CF21CE">
        <w:t xml:space="preserve">said to have been </w:t>
      </w:r>
      <w:r w:rsidR="003A0C55">
        <w:t>suffered as a result of the use of Intertherm 228 on the P</w:t>
      </w:r>
      <w:r w:rsidR="00CF21CE">
        <w:t>roject</w:t>
      </w:r>
      <w:r w:rsidR="003A0C55">
        <w:t>.</w:t>
      </w:r>
    </w:p>
    <w:p w:rsidR="003A0C55" w:rsidRDefault="003A0C55" w:rsidP="003A0C55">
      <w:pPr>
        <w:pStyle w:val="ParaNumbering"/>
      </w:pPr>
      <w:r>
        <w:t>Statements of claim in the Insurance Procee</w:t>
      </w:r>
      <w:r w:rsidR="00CF21CE">
        <w:t>dings have not yet been filed</w:t>
      </w:r>
      <w:r w:rsidR="003962AC">
        <w:t xml:space="preserve">.  </w:t>
      </w:r>
      <w:r w:rsidR="00F22F5B">
        <w:t>Ms </w:t>
      </w:r>
      <w:r w:rsidR="00CF21CE">
        <w:t>Woodward deposed</w:t>
      </w:r>
      <w:r>
        <w:t xml:space="preserve"> to the fact that she has spoken to </w:t>
      </w:r>
      <w:r w:rsidR="00F22F5B">
        <w:t>Mr </w:t>
      </w:r>
      <w:r>
        <w:t>Salome and that</w:t>
      </w:r>
      <w:r w:rsidR="00CF21CE">
        <w:t>,</w:t>
      </w:r>
      <w:r>
        <w:t xml:space="preserve"> subject to this application being granted, </w:t>
      </w:r>
      <w:r w:rsidR="00F22F5B">
        <w:t>Mr </w:t>
      </w:r>
      <w:r>
        <w:t xml:space="preserve">Salome is to be retained </w:t>
      </w:r>
      <w:r w:rsidR="00CF21CE">
        <w:t xml:space="preserve">by JKC </w:t>
      </w:r>
      <w:r>
        <w:t>to give expert evidence in the Insurance Proceedings</w:t>
      </w:r>
      <w:r w:rsidR="003962AC">
        <w:t xml:space="preserve">.  </w:t>
      </w:r>
      <w:r w:rsidR="00845C96">
        <w:t>JKC accordingly wishes</w:t>
      </w:r>
      <w:r w:rsidR="00B545AD">
        <w:t xml:space="preserve"> to use the draft report in the Insurance Proceedings and also wishes </w:t>
      </w:r>
      <w:r w:rsidR="00845C96">
        <w:t>to provide IN</w:t>
      </w:r>
      <w:r w:rsidR="003962AC">
        <w:t>PEX with the draft report of Mr </w:t>
      </w:r>
      <w:r w:rsidR="00B545AD">
        <w:t>Salome</w:t>
      </w:r>
      <w:r w:rsidR="00BC1EB0">
        <w:t>, having regard to its insurance proceedings</w:t>
      </w:r>
      <w:r w:rsidR="00B545AD">
        <w:t>.  B</w:t>
      </w:r>
      <w:r w:rsidR="00845C96">
        <w:t xml:space="preserve">ecause the report apparently refers to the Relevant Documents, JKC also seeks that any release of the implied undertaking extend to the </w:t>
      </w:r>
      <w:r w:rsidR="00B545AD">
        <w:t xml:space="preserve">use of the draft report in the Insurance Proceedings and the </w:t>
      </w:r>
      <w:r w:rsidR="00845C96">
        <w:t>disclosure of the draft expert report of Mr</w:t>
      </w:r>
      <w:r w:rsidR="003962AC">
        <w:t> </w:t>
      </w:r>
      <w:r w:rsidR="00845C96">
        <w:t>Salome to INPEX.</w:t>
      </w:r>
    </w:p>
    <w:p w:rsidR="003A0C55" w:rsidRDefault="00F22F5B" w:rsidP="003A0C55">
      <w:pPr>
        <w:pStyle w:val="ParaNumbering"/>
      </w:pPr>
      <w:r>
        <w:t>Ms </w:t>
      </w:r>
      <w:r w:rsidR="00CF21CE">
        <w:t>Woodward said that i</w:t>
      </w:r>
      <w:r w:rsidR="003A0C55">
        <w:t xml:space="preserve">f JKC is unable to rely on </w:t>
      </w:r>
      <w:r>
        <w:t>Mr </w:t>
      </w:r>
      <w:r w:rsidR="003A0C55">
        <w:t xml:space="preserve">Salome's </w:t>
      </w:r>
      <w:r w:rsidR="00CF21CE">
        <w:t>opinion</w:t>
      </w:r>
      <w:r w:rsidR="003A0C55">
        <w:t>, JKC will have no choice but to engage a different expert in the Insurance Proceedings to opine on the same matters</w:t>
      </w:r>
      <w:r w:rsidR="003962AC">
        <w:t xml:space="preserve">.  </w:t>
      </w:r>
      <w:r w:rsidR="003A0C55">
        <w:t xml:space="preserve">In her view, a second expert will be obliged to form a view on the cause of </w:t>
      </w:r>
      <w:r w:rsidR="00CF21CE">
        <w:t xml:space="preserve">any </w:t>
      </w:r>
      <w:r w:rsidR="003A0C55">
        <w:t xml:space="preserve">damage </w:t>
      </w:r>
      <w:r w:rsidR="003A0C55">
        <w:lastRenderedPageBreak/>
        <w:t>arising from the use of Intertherm 228 without necessarily being able to rely on the same evidence</w:t>
      </w:r>
      <w:r w:rsidR="003962AC">
        <w:t xml:space="preserve">.  </w:t>
      </w:r>
      <w:r>
        <w:t>Ms </w:t>
      </w:r>
      <w:r w:rsidR="003A0C55">
        <w:t>Woodward considers that there would therefore be a real risk that another expert, without the benefit of the relevant documents, would reach a different view because of a different set of briefing documents</w:t>
      </w:r>
      <w:r w:rsidR="003962AC">
        <w:t xml:space="preserve">.  </w:t>
      </w:r>
      <w:r>
        <w:t>Ms </w:t>
      </w:r>
      <w:r w:rsidR="003A0C55">
        <w:t>Woodward says it is clearly inefficient, costly and time consuming for JKC to engage two separate experts to opine on the same issue and also inefficient that they do so from different sets of underlying records.</w:t>
      </w:r>
    </w:p>
    <w:p w:rsidR="003A0C55" w:rsidRDefault="00F22F5B" w:rsidP="003A0C55">
      <w:pPr>
        <w:pStyle w:val="ParaNumbering"/>
      </w:pPr>
      <w:r>
        <w:t>Ms </w:t>
      </w:r>
      <w:r w:rsidR="003A0C55">
        <w:t xml:space="preserve">Woodward says that it may be possible for JKC to seek to obtain the relevant documents from the </w:t>
      </w:r>
      <w:r w:rsidR="00C435F5">
        <w:t>relevant parties and subpoenaed entities</w:t>
      </w:r>
      <w:r w:rsidR="003A0C55">
        <w:t xml:space="preserve"> at added cost</w:t>
      </w:r>
      <w:r w:rsidR="003962AC">
        <w:t xml:space="preserve">.  </w:t>
      </w:r>
      <w:r w:rsidR="003A0C55">
        <w:t>However she notes that both respondents in these proceedings are overseas entities</w:t>
      </w:r>
      <w:r w:rsidR="00C435F5">
        <w:t>,</w:t>
      </w:r>
      <w:r w:rsidR="003A0C55">
        <w:t xml:space="preserve"> so that obtaining third party discovery or issuing subpoenas may not be straightforward and </w:t>
      </w:r>
      <w:r w:rsidR="00C435F5">
        <w:t xml:space="preserve">inevitably </w:t>
      </w:r>
      <w:r w:rsidR="003A0C55">
        <w:t>there would be time and costs involved.</w:t>
      </w:r>
    </w:p>
    <w:p w:rsidR="00683CE0" w:rsidRPr="00683CE0" w:rsidRDefault="00683CE0" w:rsidP="00683CE0">
      <w:pPr>
        <w:keepNext/>
        <w:spacing w:before="240" w:after="60" w:line="240" w:lineRule="auto"/>
        <w:outlineLvl w:val="1"/>
        <w:rPr>
          <w:b/>
          <w:szCs w:val="24"/>
        </w:rPr>
      </w:pPr>
      <w:r w:rsidRPr="00683CE0">
        <w:rPr>
          <w:b/>
          <w:szCs w:val="24"/>
        </w:rPr>
        <w:t>Relevant principles</w:t>
      </w:r>
    </w:p>
    <w:p w:rsidR="00683CE0" w:rsidRPr="00A06F82" w:rsidRDefault="00683CE0" w:rsidP="00A06F82">
      <w:pPr>
        <w:pStyle w:val="ParaNumbering"/>
      </w:pPr>
      <w:r w:rsidRPr="00A06F82">
        <w:t>The relevant principles are uncontroversial</w:t>
      </w:r>
      <w:r w:rsidR="00C435F5" w:rsidRPr="00A06F82">
        <w:t xml:space="preserve">, and were summarised in </w:t>
      </w:r>
      <w:r w:rsidR="00C435F5" w:rsidRPr="00A06F82">
        <w:rPr>
          <w:i/>
        </w:rPr>
        <w:t>JKC (No 1)</w:t>
      </w:r>
      <w:r w:rsidR="003962AC">
        <w:t>.</w:t>
      </w:r>
    </w:p>
    <w:p w:rsidR="00683CE0" w:rsidRPr="00683CE0" w:rsidRDefault="00683CE0" w:rsidP="00683CE0">
      <w:pPr>
        <w:pStyle w:val="ParaNumbering"/>
      </w:pPr>
      <w:r w:rsidRPr="00683CE0">
        <w:t xml:space="preserve">The implied undertaking to the </w:t>
      </w:r>
      <w:r w:rsidR="00C435F5">
        <w:t>c</w:t>
      </w:r>
      <w:r w:rsidRPr="00683CE0">
        <w:t>ourt is derived from the substantive legal obligation imposed on a party to litigation who obtains documents or information as a result of the compulsory processes of a court not to use them for any other purpose without leave of that court</w:t>
      </w:r>
      <w:r w:rsidR="003962AC">
        <w:t xml:space="preserve">:  </w:t>
      </w:r>
      <w:r w:rsidRPr="00FC339A">
        <w:rPr>
          <w:bCs/>
          <w:i/>
          <w:iCs/>
        </w:rPr>
        <w:t>Hearne v Street</w:t>
      </w:r>
      <w:r w:rsidRPr="00FC339A">
        <w:t xml:space="preserve"> [2008] HCA 36; (2008) 235 CLR 125</w:t>
      </w:r>
      <w:r w:rsidRPr="00683CE0">
        <w:t xml:space="preserve"> at [96], [106]; </w:t>
      </w:r>
      <w:r w:rsidR="00610909">
        <w:t xml:space="preserve">and </w:t>
      </w:r>
      <w:r w:rsidRPr="00FC339A">
        <w:rPr>
          <w:i/>
          <w:iCs/>
        </w:rPr>
        <w:t>Harman v Secretary of State for the Home Department</w:t>
      </w:r>
      <w:r w:rsidRPr="00FC339A">
        <w:t xml:space="preserve"> [1983] 1 AC 280; [1982] 2 WLR 338</w:t>
      </w:r>
      <w:r w:rsidRPr="00683CE0">
        <w:t>.</w:t>
      </w:r>
    </w:p>
    <w:p w:rsidR="00683CE0" w:rsidRPr="00683CE0" w:rsidRDefault="00683CE0" w:rsidP="00683CE0">
      <w:pPr>
        <w:pStyle w:val="ParaNumbering"/>
      </w:pPr>
      <w:r w:rsidRPr="00683CE0">
        <w:t xml:space="preserve">In </w:t>
      </w:r>
      <w:r w:rsidRPr="00FC339A">
        <w:rPr>
          <w:i/>
        </w:rPr>
        <w:t xml:space="preserve">Liberty Funding Pty Ltd v Phoenix Capital Ltd </w:t>
      </w:r>
      <w:r w:rsidRPr="00FC339A">
        <w:t>[2005] FCAFC 3</w:t>
      </w:r>
      <w:r w:rsidRPr="00683CE0">
        <w:t>, the Full Court explained what is required to be released from the implied undertaking as follows:</w:t>
      </w:r>
    </w:p>
    <w:p w:rsidR="00683CE0" w:rsidRPr="00683CE0" w:rsidRDefault="00683CE0" w:rsidP="00683CE0">
      <w:pPr>
        <w:spacing w:after="180" w:line="240" w:lineRule="auto"/>
        <w:ind w:left="1440" w:right="737" w:hanging="703"/>
        <w:rPr>
          <w:sz w:val="22"/>
        </w:rPr>
      </w:pPr>
      <w:r w:rsidRPr="00683CE0">
        <w:rPr>
          <w:sz w:val="22"/>
        </w:rPr>
        <w:t>[31]</w:t>
      </w:r>
      <w:r w:rsidRPr="00683CE0">
        <w:rPr>
          <w:sz w:val="22"/>
        </w:rPr>
        <w:tab/>
        <w:t>In order to be released from the implied undertaking it has been said that a party in the position of the appellants must show 'special circumstances'</w:t>
      </w:r>
      <w:r w:rsidR="003962AC">
        <w:rPr>
          <w:sz w:val="22"/>
        </w:rPr>
        <w:t xml:space="preserve">:  </w:t>
      </w:r>
      <w:r w:rsidRPr="00683CE0">
        <w:rPr>
          <w:sz w:val="22"/>
        </w:rPr>
        <w:t xml:space="preserve">see, for example, </w:t>
      </w:r>
      <w:r w:rsidRPr="00683CE0">
        <w:rPr>
          <w:i/>
          <w:sz w:val="22"/>
        </w:rPr>
        <w:t xml:space="preserve">Springfield Nominees Pty Ltd v </w:t>
      </w:r>
      <w:proofErr w:type="spellStart"/>
      <w:r w:rsidRPr="00683CE0">
        <w:rPr>
          <w:i/>
          <w:sz w:val="22"/>
        </w:rPr>
        <w:t>Bridgelands</w:t>
      </w:r>
      <w:proofErr w:type="spellEnd"/>
      <w:r w:rsidRPr="00683CE0">
        <w:rPr>
          <w:i/>
          <w:sz w:val="22"/>
        </w:rPr>
        <w:t xml:space="preserve"> Securities Ltd</w:t>
      </w:r>
      <w:r w:rsidRPr="00683CE0">
        <w:rPr>
          <w:sz w:val="22"/>
        </w:rPr>
        <w:t xml:space="preserve"> (1992) 38 FCR 217</w:t>
      </w:r>
      <w:r w:rsidR="003962AC">
        <w:rPr>
          <w:sz w:val="22"/>
        </w:rPr>
        <w:t xml:space="preserve">.  </w:t>
      </w:r>
      <w:r w:rsidRPr="00683CE0">
        <w:rPr>
          <w:sz w:val="22"/>
        </w:rPr>
        <w:t>It is unnecessary to examine the authorities in this area in any detail</w:t>
      </w:r>
      <w:r w:rsidR="003962AC">
        <w:rPr>
          <w:sz w:val="22"/>
        </w:rPr>
        <w:t xml:space="preserve">.  </w:t>
      </w:r>
      <w:r w:rsidRPr="00683CE0">
        <w:rPr>
          <w:sz w:val="22"/>
        </w:rPr>
        <w:t>The parties were not in disagreement as to the legal principles</w:t>
      </w:r>
      <w:r w:rsidR="003962AC">
        <w:rPr>
          <w:sz w:val="22"/>
        </w:rPr>
        <w:t xml:space="preserve">.  </w:t>
      </w:r>
      <w:r w:rsidRPr="00683CE0">
        <w:rPr>
          <w:sz w:val="22"/>
        </w:rPr>
        <w:t>The notion of 'special circumstances' does not require that some extraordinary factors must bear on the question before the discretion will be exercised</w:t>
      </w:r>
      <w:r w:rsidR="003962AC">
        <w:rPr>
          <w:sz w:val="22"/>
        </w:rPr>
        <w:t xml:space="preserve">.  </w:t>
      </w:r>
      <w:r w:rsidRPr="00683CE0">
        <w:rPr>
          <w:sz w:val="22"/>
        </w:rPr>
        <w:t>It is sufficient to say that, in all the circumstances, good reason must be shown why, contrary to the usual position, documents produced or information obtained in one piece of litigation should be used for the advantage of a party in another piece of litigation or for other non-litigious purposes</w:t>
      </w:r>
      <w:r w:rsidR="003962AC">
        <w:rPr>
          <w:sz w:val="22"/>
        </w:rPr>
        <w:t xml:space="preserve">.  </w:t>
      </w:r>
      <w:r w:rsidRPr="00683CE0">
        <w:rPr>
          <w:sz w:val="22"/>
        </w:rPr>
        <w:t>The discretion is a broad one and all the circumstances of the case must be examined</w:t>
      </w:r>
      <w:r w:rsidR="003962AC">
        <w:rPr>
          <w:sz w:val="22"/>
        </w:rPr>
        <w:t xml:space="preserve">.  </w:t>
      </w:r>
      <w:r w:rsidRPr="00683CE0">
        <w:rPr>
          <w:sz w:val="22"/>
        </w:rPr>
        <w:t xml:space="preserve">In </w:t>
      </w:r>
      <w:r w:rsidRPr="00683CE0">
        <w:rPr>
          <w:i/>
          <w:sz w:val="22"/>
        </w:rPr>
        <w:t>Springfield Nominees</w:t>
      </w:r>
      <w:r w:rsidRPr="00683CE0">
        <w:rPr>
          <w:sz w:val="22"/>
        </w:rPr>
        <w:t>, Wilcox J identified a number of considerations which may, depending upon the circumstances, be relevant to the exercise of the discretion</w:t>
      </w:r>
      <w:r w:rsidR="003962AC">
        <w:rPr>
          <w:sz w:val="22"/>
        </w:rPr>
        <w:t xml:space="preserve">.  </w:t>
      </w:r>
      <w:r w:rsidRPr="00683CE0">
        <w:rPr>
          <w:sz w:val="22"/>
        </w:rPr>
        <w:t>These were:</w:t>
      </w:r>
    </w:p>
    <w:p w:rsidR="00683CE0" w:rsidRPr="00683CE0" w:rsidRDefault="00683CE0" w:rsidP="00610909">
      <w:pPr>
        <w:pStyle w:val="Quote2Bullet"/>
      </w:pPr>
      <w:r w:rsidRPr="00683CE0">
        <w:t>the nature of the document;</w:t>
      </w:r>
    </w:p>
    <w:p w:rsidR="00683CE0" w:rsidRPr="00683CE0" w:rsidRDefault="00683CE0" w:rsidP="00610909">
      <w:pPr>
        <w:pStyle w:val="Quote2Bullet"/>
      </w:pPr>
      <w:r w:rsidRPr="00683CE0">
        <w:t>the circumstances under which the document came into existence;</w:t>
      </w:r>
    </w:p>
    <w:p w:rsidR="00683CE0" w:rsidRPr="00683CE0" w:rsidRDefault="00683CE0" w:rsidP="00610909">
      <w:pPr>
        <w:pStyle w:val="Quote2Bullet"/>
      </w:pPr>
      <w:r w:rsidRPr="00683CE0">
        <w:lastRenderedPageBreak/>
        <w:t>the attitude of the author of the document and any prejudice the author may sustain;</w:t>
      </w:r>
    </w:p>
    <w:p w:rsidR="00683CE0" w:rsidRPr="00683CE0" w:rsidRDefault="00683CE0" w:rsidP="00610909">
      <w:pPr>
        <w:pStyle w:val="Quote2Bullet"/>
      </w:pPr>
      <w:r w:rsidRPr="00683CE0">
        <w:t>whether the document pre-existed litigation or was created for that purpose and therefore expected to enter the public domain;</w:t>
      </w:r>
    </w:p>
    <w:p w:rsidR="00683CE0" w:rsidRPr="00683CE0" w:rsidRDefault="00683CE0" w:rsidP="00610909">
      <w:pPr>
        <w:pStyle w:val="Quote2Bullet"/>
      </w:pPr>
      <w:r w:rsidRPr="00683CE0">
        <w:t>the nature of the information in the document (in particular whether it contains personal data or commercially sensitive information);</w:t>
      </w:r>
    </w:p>
    <w:p w:rsidR="00683CE0" w:rsidRPr="00683CE0" w:rsidRDefault="00683CE0" w:rsidP="00610909">
      <w:pPr>
        <w:pStyle w:val="Quote2Bullet"/>
      </w:pPr>
      <w:r w:rsidRPr="00683CE0">
        <w:t>the circumstances in which the document came in to the hands of the applicant; and</w:t>
      </w:r>
    </w:p>
    <w:p w:rsidR="00683CE0" w:rsidRPr="00683CE0" w:rsidRDefault="00683CE0" w:rsidP="00610909">
      <w:pPr>
        <w:pStyle w:val="Quote2Bullet"/>
        <w:spacing w:after="360"/>
      </w:pPr>
      <w:r w:rsidRPr="00683CE0">
        <w:t>most importantly of all, the likely contribution of the document to achieving justice in the other proceeding.</w:t>
      </w:r>
    </w:p>
    <w:p w:rsidR="00A06F82" w:rsidRDefault="00A06F82" w:rsidP="00A06F82">
      <w:pPr>
        <w:pStyle w:val="ParaNumbering"/>
      </w:pPr>
      <w:r w:rsidRPr="00A06F82">
        <w:t>The</w:t>
      </w:r>
      <w:r>
        <w:t xml:space="preserve"> above principles (including reference to </w:t>
      </w:r>
      <w:r w:rsidRPr="00FC339A">
        <w:rPr>
          <w:i/>
        </w:rPr>
        <w:t>Liberty Fundin</w:t>
      </w:r>
      <w:r>
        <w:rPr>
          <w:i/>
        </w:rPr>
        <w:t>g v Phoenix Capital</w:t>
      </w:r>
      <w:r w:rsidRPr="00A06F82">
        <w:t>)</w:t>
      </w:r>
      <w:r>
        <w:rPr>
          <w:i/>
        </w:rPr>
        <w:t xml:space="preserve"> </w:t>
      </w:r>
      <w:r w:rsidRPr="00A06F82">
        <w:t xml:space="preserve">were also explained </w:t>
      </w:r>
      <w:r>
        <w:t xml:space="preserve">in detail </w:t>
      </w:r>
      <w:r w:rsidRPr="00A06F82">
        <w:t>and collected by Katzmann</w:t>
      </w:r>
      <w:r w:rsidR="003962AC">
        <w:t> </w:t>
      </w:r>
      <w:r w:rsidRPr="00A06F82">
        <w:t xml:space="preserve">J </w:t>
      </w:r>
      <w:r>
        <w:t xml:space="preserve">more recently </w:t>
      </w:r>
      <w:r w:rsidRPr="00A06F82">
        <w:t xml:space="preserve">in </w:t>
      </w:r>
      <w:r w:rsidRPr="003962AC">
        <w:rPr>
          <w:i/>
          <w:iCs/>
          <w:szCs w:val="24"/>
          <w:lang w:eastAsia="en-AU"/>
        </w:rPr>
        <w:t xml:space="preserve">Glencore Coal Pty Limited v Franks </w:t>
      </w:r>
      <w:r w:rsidRPr="003962AC">
        <w:rPr>
          <w:szCs w:val="24"/>
          <w:lang w:eastAsia="en-AU"/>
        </w:rPr>
        <w:t>[2020] FCA 1801</w:t>
      </w:r>
      <w:r w:rsidRPr="00A06F82">
        <w:t xml:space="preserve">, passages endorsed by the Full Court in </w:t>
      </w:r>
      <w:r w:rsidRPr="00A06F82">
        <w:rPr>
          <w:i/>
        </w:rPr>
        <w:t>Glencore Coal Pty L</w:t>
      </w:r>
      <w:r w:rsidR="003962AC">
        <w:rPr>
          <w:i/>
        </w:rPr>
        <w:t>imi</w:t>
      </w:r>
      <w:r w:rsidRPr="00A06F82">
        <w:rPr>
          <w:i/>
        </w:rPr>
        <w:t>t</w:t>
      </w:r>
      <w:r w:rsidR="003962AC">
        <w:rPr>
          <w:i/>
        </w:rPr>
        <w:t>e</w:t>
      </w:r>
      <w:r w:rsidRPr="00A06F82">
        <w:rPr>
          <w:i/>
        </w:rPr>
        <w:t>d v Franks</w:t>
      </w:r>
      <w:r w:rsidR="003962AC">
        <w:t xml:space="preserve"> [2021] FCAFC 61 at </w:t>
      </w:r>
      <w:r w:rsidRPr="00A06F82">
        <w:t>[16]</w:t>
      </w:r>
      <w:r w:rsidR="003962AC">
        <w:noBreakHyphen/>
      </w:r>
      <w:r w:rsidRPr="00A06F82">
        <w:t>[22].</w:t>
      </w:r>
    </w:p>
    <w:p w:rsidR="00683CE0" w:rsidRDefault="00683CE0" w:rsidP="00683CE0">
      <w:pPr>
        <w:pStyle w:val="Heading2"/>
      </w:pPr>
      <w:r>
        <w:t>Determination</w:t>
      </w:r>
    </w:p>
    <w:p w:rsidR="00C435F5" w:rsidRDefault="00C435F5" w:rsidP="00683CE0">
      <w:pPr>
        <w:pStyle w:val="ParaNumbering"/>
      </w:pPr>
      <w:r>
        <w:t xml:space="preserve">I accept </w:t>
      </w:r>
      <w:r w:rsidR="009B7756">
        <w:t xml:space="preserve">that each of </w:t>
      </w:r>
      <w:r w:rsidR="00F22F5B">
        <w:t>Mr </w:t>
      </w:r>
      <w:r w:rsidR="009B7756">
        <w:t xml:space="preserve">Gazsik and </w:t>
      </w:r>
      <w:r w:rsidR="00F22F5B">
        <w:t>Mr </w:t>
      </w:r>
      <w:r w:rsidR="009B7756">
        <w:t>Prescott are well placed to provide evidence as to the relevance of the Relevant Documents to the Arbitration</w:t>
      </w:r>
      <w:r w:rsidR="003962AC">
        <w:t xml:space="preserve">.  </w:t>
      </w:r>
      <w:r w:rsidR="009B7756">
        <w:t xml:space="preserve">Similarly, </w:t>
      </w:r>
      <w:r w:rsidR="00F22F5B">
        <w:t>Mr </w:t>
      </w:r>
      <w:r w:rsidR="009B7756">
        <w:t xml:space="preserve">Gazsik and </w:t>
      </w:r>
      <w:r w:rsidR="00F22F5B">
        <w:t>Ms </w:t>
      </w:r>
      <w:r w:rsidR="009B7756">
        <w:t>Woodward are well placed to provide evidence as to the relevance of those documents to the Insurance Proceedings</w:t>
      </w:r>
      <w:r w:rsidR="00845C96">
        <w:t xml:space="preserve"> and the value of JKC utilising the report of Mr Salome in those proceedings.</w:t>
      </w:r>
    </w:p>
    <w:p w:rsidR="009B7756" w:rsidRDefault="009B7756" w:rsidP="00683CE0">
      <w:pPr>
        <w:pStyle w:val="ParaNumbering"/>
      </w:pPr>
      <w:r>
        <w:t>I accept that there is an overlap in the matters to be addressed relating to the cause of any damage relating to</w:t>
      </w:r>
      <w:r w:rsidR="007F1289">
        <w:t xml:space="preserve"> the use of</w:t>
      </w:r>
      <w:r w:rsidR="004664E9">
        <w:t xml:space="preserve"> Intertherm 228 in each of this proceeding,</w:t>
      </w:r>
      <w:r>
        <w:t xml:space="preserve"> </w:t>
      </w:r>
      <w:r w:rsidR="004664E9">
        <w:t>the Arbitration and the Insurance Proceedings</w:t>
      </w:r>
      <w:r w:rsidR="00B545AD">
        <w:t xml:space="preserve">.  There are also overlapping </w:t>
      </w:r>
      <w:r w:rsidR="00BC1EB0">
        <w:t>matters in</w:t>
      </w:r>
      <w:r w:rsidR="00B545AD">
        <w:t xml:space="preserve"> the Insurance Proceedings and those the subject of the </w:t>
      </w:r>
      <w:r w:rsidR="00BC1EB0">
        <w:t xml:space="preserve">insurance </w:t>
      </w:r>
      <w:r w:rsidR="00B545AD">
        <w:t>proceedings brought by INPEX.</w:t>
      </w:r>
    </w:p>
    <w:p w:rsidR="009B7756" w:rsidRDefault="009B7756" w:rsidP="00683CE0">
      <w:pPr>
        <w:pStyle w:val="ParaNumbering"/>
      </w:pPr>
      <w:r>
        <w:t>Whilst access</w:t>
      </w:r>
      <w:r w:rsidR="004664E9">
        <w:t xml:space="preserve"> to</w:t>
      </w:r>
      <w:r>
        <w:t xml:space="preserve"> documents relevant to th</w:t>
      </w:r>
      <w:r w:rsidR="004664E9">
        <w:t>e</w:t>
      </w:r>
      <w:r>
        <w:t xml:space="preserve"> overlapping </w:t>
      </w:r>
      <w:r w:rsidR="00BC1EB0">
        <w:t>matters</w:t>
      </w:r>
      <w:r>
        <w:t xml:space="preserve"> might potentially be addressed by other procedures for the production of documents, there are obvious inefficiencies in requiring parties to embark on </w:t>
      </w:r>
      <w:r w:rsidR="004664E9">
        <w:t>such procedures</w:t>
      </w:r>
      <w:r>
        <w:t xml:space="preserve"> and </w:t>
      </w:r>
      <w:r w:rsidR="00B41007">
        <w:t>there will inevitably be</w:t>
      </w:r>
      <w:r w:rsidR="004664E9">
        <w:t xml:space="preserve"> </w:t>
      </w:r>
      <w:r>
        <w:t>concomitant delays.</w:t>
      </w:r>
    </w:p>
    <w:p w:rsidR="009B7756" w:rsidRDefault="009B7756" w:rsidP="00683CE0">
      <w:pPr>
        <w:pStyle w:val="ParaNumbering"/>
      </w:pPr>
      <w:r>
        <w:t xml:space="preserve">It is also apparent that </w:t>
      </w:r>
      <w:r w:rsidR="00FB2235">
        <w:t>it</w:t>
      </w:r>
      <w:r>
        <w:t xml:space="preserve"> is not in the interests of the just disposal of the various matters for </w:t>
      </w:r>
      <w:r w:rsidR="00F22F5B">
        <w:t>Mr </w:t>
      </w:r>
      <w:r>
        <w:t xml:space="preserve">Salome to be in a position to rely on some documents in </w:t>
      </w:r>
      <w:r w:rsidR="004664E9">
        <w:t>this</w:t>
      </w:r>
      <w:r>
        <w:t xml:space="preserve"> </w:t>
      </w:r>
      <w:r w:rsidR="00FC60AE">
        <w:t>proceeding</w:t>
      </w:r>
      <w:r>
        <w:t xml:space="preserve"> but not </w:t>
      </w:r>
      <w:r w:rsidR="00FC60AE">
        <w:t xml:space="preserve">in </w:t>
      </w:r>
      <w:r w:rsidR="004664E9">
        <w:t>the Insurance Proceedings</w:t>
      </w:r>
      <w:r w:rsidR="003962AC">
        <w:t xml:space="preserve">.  </w:t>
      </w:r>
      <w:r w:rsidR="00FB2235">
        <w:t>Questions arise</w:t>
      </w:r>
      <w:r>
        <w:t xml:space="preserve"> as to how </w:t>
      </w:r>
      <w:r w:rsidR="00FB2235">
        <w:t>his</w:t>
      </w:r>
      <w:r>
        <w:t xml:space="preserve"> </w:t>
      </w:r>
      <w:r w:rsidR="00BC1EB0">
        <w:t xml:space="preserve">accumulated </w:t>
      </w:r>
      <w:r>
        <w:t>knowledge</w:t>
      </w:r>
      <w:r w:rsidR="00FB2235">
        <w:t xml:space="preserve"> might</w:t>
      </w:r>
      <w:r>
        <w:t xml:space="preserve"> </w:t>
      </w:r>
      <w:r w:rsidR="00FB2235">
        <w:t>properly</w:t>
      </w:r>
      <w:r>
        <w:t xml:space="preserve"> be dealt with</w:t>
      </w:r>
      <w:r w:rsidR="003962AC">
        <w:t xml:space="preserve">.  </w:t>
      </w:r>
      <w:r w:rsidR="004664E9">
        <w:t>Similarly, and a</w:t>
      </w:r>
      <w:r w:rsidR="00FB2235">
        <w:t>ssuming different experts are required and retained</w:t>
      </w:r>
      <w:r w:rsidR="004664E9">
        <w:t xml:space="preserve"> for the Arbitration</w:t>
      </w:r>
      <w:r w:rsidR="00FB2235">
        <w:t xml:space="preserve">, it is not in the interests of justice that JKC be placed in a position where those </w:t>
      </w:r>
      <w:r w:rsidR="00FB2235">
        <w:lastRenderedPageBreak/>
        <w:t>experts might come to different views as a result of the provision of different sets of briefing documents.</w:t>
      </w:r>
    </w:p>
    <w:p w:rsidR="00FB2235" w:rsidRDefault="00FB2235" w:rsidP="00FB2235">
      <w:pPr>
        <w:pStyle w:val="ParaNumbering"/>
      </w:pPr>
      <w:r>
        <w:t xml:space="preserve">To the extent the documents </w:t>
      </w:r>
      <w:r w:rsidR="003962AC">
        <w:t>in Annexure </w:t>
      </w:r>
      <w:r w:rsidR="004664E9">
        <w:t xml:space="preserve">B </w:t>
      </w:r>
      <w:r>
        <w:t>are confidential, JKC has proposed a confidentiality regime that will limit access to such documents and in any</w:t>
      </w:r>
      <w:r w:rsidR="00BC1EB0">
        <w:t xml:space="preserve"> event require the signing of </w:t>
      </w:r>
      <w:r>
        <w:t>confidentiality agreement</w:t>
      </w:r>
      <w:r w:rsidR="00BC1EB0">
        <w:t>s</w:t>
      </w:r>
      <w:r w:rsidR="003962AC">
        <w:t xml:space="preserve">.  </w:t>
      </w:r>
      <w:r>
        <w:t>That course</w:t>
      </w:r>
      <w:r w:rsidR="00BC1EB0">
        <w:t xml:space="preserve"> is appropriate and</w:t>
      </w:r>
      <w:r>
        <w:t xml:space="preserve"> reduces the risk of unnecessary dissemination of the</w:t>
      </w:r>
      <w:r w:rsidRPr="00FB2235">
        <w:t xml:space="preserve"> </w:t>
      </w:r>
      <w:r>
        <w:t>information within the Relevant Documents that is said to be confidential.</w:t>
      </w:r>
    </w:p>
    <w:p w:rsidR="00FB2235" w:rsidRDefault="00FB2235" w:rsidP="00FB2235">
      <w:pPr>
        <w:pStyle w:val="ParaNumbering"/>
      </w:pPr>
      <w:r>
        <w:t>Having regard to all of those matters</w:t>
      </w:r>
      <w:r w:rsidR="004664E9">
        <w:t xml:space="preserve"> in the context of</w:t>
      </w:r>
      <w:r>
        <w:t xml:space="preserve"> </w:t>
      </w:r>
      <w:r w:rsidR="004664E9">
        <w:t xml:space="preserve">what was said in </w:t>
      </w:r>
      <w:r w:rsidR="004664E9" w:rsidRPr="00FC339A">
        <w:rPr>
          <w:i/>
        </w:rPr>
        <w:t xml:space="preserve">Liberty Funding v Phoenix </w:t>
      </w:r>
      <w:r w:rsidR="004664E9" w:rsidRPr="00BC1EB0">
        <w:rPr>
          <w:i/>
        </w:rPr>
        <w:t>Capital</w:t>
      </w:r>
      <w:r w:rsidR="00BC1EB0">
        <w:t>,</w:t>
      </w:r>
      <w:r w:rsidR="004664E9" w:rsidRPr="00FC339A">
        <w:rPr>
          <w:i/>
        </w:rPr>
        <w:t xml:space="preserve"> </w:t>
      </w:r>
      <w:r>
        <w:t xml:space="preserve">and </w:t>
      </w:r>
      <w:r w:rsidR="004664E9">
        <w:t xml:space="preserve">having regard to </w:t>
      </w:r>
      <w:r>
        <w:t>the o</w:t>
      </w:r>
      <w:r w:rsidR="00FC339A">
        <w:t>verarching purpose set out in s </w:t>
      </w:r>
      <w:r>
        <w:t xml:space="preserve">37M(1) of the </w:t>
      </w:r>
      <w:r w:rsidRPr="00FC339A">
        <w:rPr>
          <w:i/>
        </w:rPr>
        <w:t xml:space="preserve">Federal Court </w:t>
      </w:r>
      <w:r w:rsidR="00FC339A" w:rsidRPr="00FC339A">
        <w:rPr>
          <w:i/>
        </w:rPr>
        <w:t xml:space="preserve">of Australia </w:t>
      </w:r>
      <w:r w:rsidRPr="00FC339A">
        <w:rPr>
          <w:i/>
        </w:rPr>
        <w:t>Act</w:t>
      </w:r>
      <w:r w:rsidR="00FC339A" w:rsidRPr="00FC339A">
        <w:rPr>
          <w:i/>
        </w:rPr>
        <w:t xml:space="preserve"> 1976 </w:t>
      </w:r>
      <w:r w:rsidR="00FC339A" w:rsidRPr="00FC339A">
        <w:t>(Cth)</w:t>
      </w:r>
      <w:r>
        <w:t xml:space="preserve"> of promoting the just </w:t>
      </w:r>
      <w:r w:rsidR="00B41007">
        <w:t xml:space="preserve">and efficient </w:t>
      </w:r>
      <w:r>
        <w:t>resolution of disputes according to law,</w:t>
      </w:r>
      <w:r w:rsidRPr="00FB2235">
        <w:t xml:space="preserve"> </w:t>
      </w:r>
      <w:r w:rsidR="00B41007">
        <w:t xml:space="preserve">I consider there are special circumstances such that </w:t>
      </w:r>
      <w:r>
        <w:t xml:space="preserve">it is sensible and in the interests of justice to grant the orders </w:t>
      </w:r>
      <w:r w:rsidR="00B41007">
        <w:t>s</w:t>
      </w:r>
      <w:r>
        <w:t>ought.</w:t>
      </w:r>
    </w:p>
    <w:p w:rsidR="00683CE0" w:rsidRDefault="00683CE0" w:rsidP="00683CE0">
      <w:pPr>
        <w:pStyle w:val="ParaNumbering"/>
      </w:pPr>
      <w:r>
        <w:t xml:space="preserve">I add that the </w:t>
      </w:r>
      <w:r w:rsidR="003646CF">
        <w:t>respondents</w:t>
      </w:r>
      <w:r>
        <w:t xml:space="preserve"> appeared and indicated through counsel that they neither consented to nor opposed the grant of the orders, having regard </w:t>
      </w:r>
      <w:r w:rsidR="00FB2235">
        <w:t>to</w:t>
      </w:r>
      <w:r>
        <w:t xml:space="preserve"> the fact that the undertaking operates as an undertaking given to the Court.</w:t>
      </w:r>
      <w:r w:rsidR="00B545AD">
        <w:t xml:space="preserve">  They have provided input on the terms of the orders.</w:t>
      </w:r>
    </w:p>
    <w:p w:rsidR="00683CE0" w:rsidRDefault="00683CE0" w:rsidP="00C41FFC">
      <w:pPr>
        <w:pStyle w:val="ParaNumbering"/>
      </w:pPr>
      <w:r>
        <w:t>Corrotek through correspondence tendered by an affidavit of a solicitor in the employ of Solomon Brother</w:t>
      </w:r>
      <w:r w:rsidR="00FB2235">
        <w:t>s</w:t>
      </w:r>
      <w:r>
        <w:t xml:space="preserve"> also indicated that it neither consented to nor opposed the grant of the orders</w:t>
      </w:r>
      <w:r w:rsidR="00FC339A">
        <w:t>.</w:t>
      </w:r>
    </w:p>
    <w:p w:rsidR="00617C45" w:rsidRDefault="00617C45" w:rsidP="00C41FFC">
      <w:pPr>
        <w:pStyle w:val="ParaNumbering"/>
      </w:pPr>
      <w:r>
        <w:t xml:space="preserve">Orders will be made </w:t>
      </w:r>
      <w:r w:rsidR="00B545AD">
        <w:t xml:space="preserve">in terms of the revised orders proposed by JKC </w:t>
      </w:r>
      <w:r>
        <w:t>accordingly.</w:t>
      </w:r>
    </w:p>
    <w:p w:rsidR="001826F4" w:rsidRDefault="001826F4" w:rsidP="00815065">
      <w:pPr>
        <w:pStyle w:val="BodyText"/>
      </w:pPr>
      <w:bookmarkStart w:id="24" w:name="Certification"/>
    </w:p>
    <w:tbl>
      <w:tblPr>
        <w:tblW w:w="0" w:type="auto"/>
        <w:tblLook w:val="04A0" w:firstRow="1" w:lastRow="0" w:firstColumn="1" w:lastColumn="0" w:noHBand="0" w:noVBand="1"/>
      </w:tblPr>
      <w:tblGrid>
        <w:gridCol w:w="3794"/>
      </w:tblGrid>
      <w:tr w:rsidR="001826F4" w:rsidRPr="001826F4">
        <w:tc>
          <w:tcPr>
            <w:tcW w:w="3794" w:type="dxa"/>
            <w:shd w:val="clear" w:color="auto" w:fill="auto"/>
          </w:tcPr>
          <w:p w:rsidR="001826F4" w:rsidRPr="001826F4" w:rsidRDefault="001826F4" w:rsidP="001826F4">
            <w:pPr>
              <w:pStyle w:val="Normal1linespace"/>
            </w:pPr>
            <w:r w:rsidRPr="001826F4">
              <w:t xml:space="preserve">I certify that the preceding </w:t>
            </w:r>
            <w:bookmarkStart w:id="25" w:name="NumberWord"/>
            <w:r>
              <w:t>forty-four</w:t>
            </w:r>
            <w:bookmarkEnd w:id="25"/>
            <w:r w:rsidRPr="001826F4">
              <w:t xml:space="preserve"> (</w:t>
            </w:r>
            <w:bookmarkStart w:id="26" w:name="NumberNumeral"/>
            <w:r>
              <w:t>44</w:t>
            </w:r>
            <w:bookmarkEnd w:id="26"/>
            <w:r w:rsidRPr="001826F4">
              <w:t xml:space="preserve">) numbered </w:t>
            </w:r>
            <w:bookmarkStart w:id="27" w:name="CertPara"/>
            <w:r>
              <w:t>paragraphs are</w:t>
            </w:r>
            <w:bookmarkEnd w:id="27"/>
            <w:r w:rsidRPr="001826F4">
              <w:t xml:space="preserve"> a true copy of the Reasons for Judgment of </w:t>
            </w:r>
            <w:bookmarkStart w:id="28" w:name="bkHonourable"/>
            <w:r w:rsidRPr="001826F4">
              <w:t xml:space="preserve">the Honourable </w:t>
            </w:r>
            <w:bookmarkStart w:id="29" w:name="Justice"/>
            <w:bookmarkEnd w:id="28"/>
            <w:r>
              <w:t>Justice Banks-Smith</w:t>
            </w:r>
            <w:bookmarkEnd w:id="29"/>
            <w:r w:rsidRPr="001826F4">
              <w:t>.</w:t>
            </w:r>
          </w:p>
        </w:tc>
      </w:tr>
    </w:tbl>
    <w:p w:rsidR="001826F4" w:rsidRDefault="001826F4" w:rsidP="00815065">
      <w:pPr>
        <w:pStyle w:val="BodyText"/>
      </w:pPr>
      <w:bookmarkStart w:id="30" w:name="_GoBack"/>
      <w:bookmarkEnd w:id="30"/>
    </w:p>
    <w:p w:rsidR="001826F4" w:rsidRDefault="001826F4" w:rsidP="00815065">
      <w:pPr>
        <w:pStyle w:val="BodyText"/>
      </w:pPr>
      <w:r>
        <w:t>Associate:</w:t>
      </w:r>
    </w:p>
    <w:p w:rsidR="001826F4" w:rsidRDefault="001826F4" w:rsidP="00815065">
      <w:pPr>
        <w:pStyle w:val="BodyText"/>
      </w:pPr>
    </w:p>
    <w:p w:rsidR="003962AC" w:rsidRDefault="001826F4" w:rsidP="001826F4">
      <w:pPr>
        <w:pStyle w:val="BodyText"/>
        <w:tabs>
          <w:tab w:val="left" w:pos="1134"/>
        </w:tabs>
      </w:pPr>
      <w:r>
        <w:t>Dated:</w:t>
      </w:r>
      <w:r>
        <w:tab/>
      </w:r>
      <w:bookmarkStart w:id="31" w:name="CertifyDated"/>
      <w:r w:rsidR="007F4D0A">
        <w:t>8</w:t>
      </w:r>
      <w:r>
        <w:t xml:space="preserve"> October 2021</w:t>
      </w:r>
      <w:bookmarkEnd w:id="31"/>
      <w:bookmarkEnd w:id="24"/>
    </w:p>
    <w:sectPr w:rsidR="003962AC" w:rsidSect="00A84FD0">
      <w:headerReference w:type="even" r:id="rId42"/>
      <w:headerReference w:type="default" r:id="rId43"/>
      <w:footerReference w:type="default" r:id="rId44"/>
      <w:headerReference w:type="first" r:id="rId45"/>
      <w:footerReference w:type="first" r:id="rId46"/>
      <w:endnotePr>
        <w:numFmt w:val="decimal"/>
      </w:endnotePr>
      <w:pgSz w:w="11907" w:h="16840" w:code="9"/>
      <w:pgMar w:top="1440" w:right="1440" w:bottom="1440" w:left="1440" w:header="851" w:footer="851" w:gutter="0"/>
      <w:pgNumType w:start="1"/>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172CF" w:rsidRDefault="000172CF">
      <w:pPr>
        <w:spacing w:line="20" w:lineRule="exact"/>
      </w:pPr>
    </w:p>
    <w:p w:rsidR="000172CF" w:rsidRDefault="000172CF"/>
    <w:p w:rsidR="000172CF" w:rsidRDefault="000172CF"/>
  </w:endnote>
  <w:endnote w:type="continuationSeparator" w:id="0">
    <w:p w:rsidR="000172CF" w:rsidRDefault="000172CF">
      <w:r>
        <w:t xml:space="preserve"> </w:t>
      </w:r>
    </w:p>
    <w:p w:rsidR="000172CF" w:rsidRDefault="000172CF"/>
    <w:p w:rsidR="000172CF" w:rsidRDefault="000172CF"/>
  </w:endnote>
  <w:endnote w:type="continuationNotice" w:id="1">
    <w:p w:rsidR="000172CF" w:rsidRDefault="000172CF">
      <w:r>
        <w:t xml:space="preserve"> </w:t>
      </w:r>
    </w:p>
    <w:p w:rsidR="000172CF" w:rsidRDefault="000172CF"/>
    <w:p w:rsidR="000172CF" w:rsidRDefault="000172C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atang">
    <w:altName w:val="¹ÙÅÁ"/>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36E8" w:rsidRPr="00C47B9D" w:rsidRDefault="00A436E8" w:rsidP="00B2435E">
    <w:pPr>
      <w:pStyle w:val="Footer"/>
      <w:tabs>
        <w:tab w:val="clear" w:pos="4320"/>
        <w:tab w:val="clear" w:pos="8640"/>
        <w:tab w:val="right" w:pos="8931"/>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59264" behindDoc="0" locked="0" layoutInCell="1" allowOverlap="1" wp14:anchorId="1080BC8D" wp14:editId="08434136">
              <wp:simplePos x="0" y="0"/>
              <wp:positionH relativeFrom="column">
                <wp:posOffset>-28575</wp:posOffset>
              </wp:positionH>
              <wp:positionV relativeFrom="paragraph">
                <wp:posOffset>-635</wp:posOffset>
              </wp:positionV>
              <wp:extent cx="2943225" cy="0"/>
              <wp:effectExtent l="0" t="0" r="0" b="0"/>
              <wp:wrapNone/>
              <wp:docPr id="5" name="Straight Connector 5"/>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151D6C" id="Straight Connector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25pt,-.05pt" to="229.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" strokecolor="black [3213]"/>
          </w:pict>
        </mc:Fallback>
      </mc:AlternateContent>
    </w:r>
    <w:sdt>
      <w:sdtPr>
        <w:rPr>
          <w:bCs/>
          <w:sz w:val="18"/>
          <w:szCs w:val="18"/>
        </w:rPr>
        <w:tag w:val="MNC"/>
        <w:id w:val="1707292070"/>
        <w:dataBinding w:prefixMappings="xmlns:ns0='http://schemas.globalmacros.com/FCA'" w:xpath="/ns0:root[1]/ns0:Name[1]" w:storeItemID="{687E7CCB-4AA5-44E7-B148-17BA2B6F57C0}"/>
        <w:text w:multiLine="1"/>
      </w:sdtPr>
      <w:sdtEndPr/>
      <w:sdtContent>
        <w:r w:rsidR="007F1289">
          <w:rPr>
            <w:bCs/>
            <w:sz w:val="18"/>
            <w:szCs w:val="18"/>
          </w:rPr>
          <w:t>JKC Australia LNG Pty Ltd v AkzoNobel NV (No 3) [2021] FCA 1217</w:t>
        </w:r>
      </w:sdtContent>
    </w:sdt>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FD0" w:rsidRPr="00C47B9D" w:rsidRDefault="00A84FD0" w:rsidP="00FF5D57">
    <w:pPr>
      <w:pStyle w:val="Footer"/>
      <w:tabs>
        <w:tab w:val="clear" w:pos="4320"/>
        <w:tab w:val="clear" w:pos="8640"/>
        <w:tab w:val="right" w:pos="13892"/>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63360" behindDoc="0" locked="0" layoutInCell="1" allowOverlap="1" wp14:anchorId="20D95861" wp14:editId="79F10AAA">
              <wp:simplePos x="0" y="0"/>
              <wp:positionH relativeFrom="column">
                <wp:posOffset>-28575</wp:posOffset>
              </wp:positionH>
              <wp:positionV relativeFrom="paragraph">
                <wp:posOffset>21590</wp:posOffset>
              </wp:positionV>
              <wp:extent cx="2943225" cy="0"/>
              <wp:effectExtent l="0" t="0" r="0" b="0"/>
              <wp:wrapNone/>
              <wp:docPr id="6" name="Straight Connector 6"/>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50C640" id="Straight Connector 6"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" strokecolor="black [3213]"/>
          </w:pict>
        </mc:Fallback>
      </mc:AlternateContent>
    </w:r>
    <w:sdt>
      <w:sdtPr>
        <w:rPr>
          <w:bCs/>
          <w:sz w:val="18"/>
          <w:szCs w:val="18"/>
        </w:rPr>
        <w:tag w:val="MNC"/>
        <w:id w:val="-831216538"/>
        <w:placeholder>
          <w:docPart w:val="E37A090D73EF40CD95F2B4A9E362BBC1"/>
        </w:placeholder>
        <w:dataBinding w:prefixMappings="xmlns:ns0='http://schemas.globalmacros.com/FCA'" w:xpath="/ns0:root[1]/ns0:Name[1]" w:storeItemID="{687E7CCB-4AA5-44E7-B148-17BA2B6F57C0}"/>
        <w:text w:multiLine="1"/>
      </w:sdtPr>
      <w:sdtEndPr/>
      <w:sdtContent>
        <w:r w:rsidR="007F1289">
          <w:rPr>
            <w:bCs/>
            <w:sz w:val="18"/>
            <w:szCs w:val="18"/>
          </w:rPr>
          <w:t>JKC Australia LNG Pty Ltd v AkzoNobel NV (No 3) [2021] FCA 1217</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sidR="002C0ED0">
      <w:rPr>
        <w:bCs/>
        <w:noProof/>
        <w:sz w:val="20"/>
      </w:rPr>
      <w:t>xxix</w:t>
    </w:r>
    <w:r w:rsidRPr="00EA7F6D">
      <w:rPr>
        <w:bCs/>
        <w:noProof/>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36E8" w:rsidRPr="00C47B9D" w:rsidRDefault="00A436E8" w:rsidP="00FF5D57">
    <w:pPr>
      <w:pStyle w:val="Footer"/>
      <w:tabs>
        <w:tab w:val="clear" w:pos="4320"/>
        <w:tab w:val="clear" w:pos="8640"/>
        <w:tab w:val="right" w:pos="13892"/>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61312" behindDoc="0" locked="0" layoutInCell="1" allowOverlap="1" wp14:anchorId="35CDE1B0" wp14:editId="3F5D2F62">
              <wp:simplePos x="0" y="0"/>
              <wp:positionH relativeFrom="column">
                <wp:posOffset>-28575</wp:posOffset>
              </wp:positionH>
              <wp:positionV relativeFrom="paragraph">
                <wp:posOffset>21590</wp:posOffset>
              </wp:positionV>
              <wp:extent cx="2943225" cy="0"/>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8FCB53" id="Straight Connector 2"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" strokecolor="black [3213]"/>
          </w:pict>
        </mc:Fallback>
      </mc:AlternateContent>
    </w:r>
    <w:sdt>
      <w:sdtPr>
        <w:rPr>
          <w:bCs/>
          <w:sz w:val="18"/>
          <w:szCs w:val="18"/>
        </w:rPr>
        <w:tag w:val="MNC"/>
        <w:id w:val="510263260"/>
        <w:placeholder>
          <w:docPart w:val="D14F0411915B4D45A69FE432D83E6A9E"/>
        </w:placeholder>
        <w:dataBinding w:prefixMappings="xmlns:ns0='http://schemas.globalmacros.com/FCA'" w:xpath="/ns0:root[1]/ns0:Name[1]" w:storeItemID="{687E7CCB-4AA5-44E7-B148-17BA2B6F57C0}"/>
        <w:text w:multiLine="1"/>
      </w:sdtPr>
      <w:sdtEndPr/>
      <w:sdtContent>
        <w:r w:rsidR="007F1289">
          <w:rPr>
            <w:bCs/>
            <w:sz w:val="18"/>
            <w:szCs w:val="18"/>
          </w:rPr>
          <w:t>JKC Australia LNG Pty Ltd v AkzoNobel NV (No 3) [2021] FCA 1217</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sidR="00E2696C">
      <w:rPr>
        <w:bCs/>
        <w:noProof/>
        <w:sz w:val="20"/>
      </w:rPr>
      <w:t>i</w:t>
    </w:r>
    <w:r w:rsidRPr="00EA7F6D">
      <w:rPr>
        <w:bCs/>
        <w:noProof/>
        <w:sz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5D57" w:rsidRPr="00C47B9D" w:rsidRDefault="00FF5D57" w:rsidP="00FF5D57">
    <w:pPr>
      <w:pStyle w:val="Footer"/>
      <w:tabs>
        <w:tab w:val="clear" w:pos="4320"/>
        <w:tab w:val="clear" w:pos="8640"/>
        <w:tab w:val="right" w:pos="13892"/>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69504" behindDoc="0" locked="0" layoutInCell="1" allowOverlap="1" wp14:anchorId="005C355E" wp14:editId="6C7800CE">
              <wp:simplePos x="0" y="0"/>
              <wp:positionH relativeFrom="column">
                <wp:posOffset>-28575</wp:posOffset>
              </wp:positionH>
              <wp:positionV relativeFrom="paragraph">
                <wp:posOffset>21590</wp:posOffset>
              </wp:positionV>
              <wp:extent cx="2943225" cy="0"/>
              <wp:effectExtent l="0" t="0" r="0" b="0"/>
              <wp:wrapNone/>
              <wp:docPr id="36" name="Straight Connector 36"/>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C52238" id="Straight Connector 36"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" strokecolor="black [3213]"/>
          </w:pict>
        </mc:Fallback>
      </mc:AlternateContent>
    </w:r>
    <w:sdt>
      <w:sdtPr>
        <w:rPr>
          <w:bCs/>
          <w:sz w:val="18"/>
          <w:szCs w:val="18"/>
        </w:rPr>
        <w:tag w:val="MNC"/>
        <w:id w:val="-1502188924"/>
        <w:placeholder>
          <w:docPart w:val="8DCAAE74EE5D464C9A0E5B3134D6F5DB"/>
        </w:placeholder>
        <w:dataBinding w:prefixMappings="xmlns:ns0='http://schemas.globalmacros.com/FCA'" w:xpath="/ns0:root[1]/ns0:Name[1]" w:storeItemID="{687E7CCB-4AA5-44E7-B148-17BA2B6F57C0}"/>
        <w:text w:multiLine="1"/>
      </w:sdtPr>
      <w:sdtEndPr/>
      <w:sdtContent>
        <w:r>
          <w:rPr>
            <w:bCs/>
            <w:sz w:val="18"/>
            <w:szCs w:val="18"/>
          </w:rPr>
          <w:t>JKC Australia LNG Pty Ltd v AkzoNobel NV (No 3) [2021] FCA 1217</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sidR="002C0ED0">
      <w:rPr>
        <w:bCs/>
        <w:noProof/>
        <w:sz w:val="20"/>
      </w:rPr>
      <w:t>iv</w:t>
    </w:r>
    <w:r w:rsidRPr="00EA7F6D">
      <w:rPr>
        <w:bCs/>
        <w:noProof/>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5D57" w:rsidRPr="00C47B9D" w:rsidRDefault="00FF5D57" w:rsidP="00FF5D57">
    <w:pPr>
      <w:pStyle w:val="Footer"/>
      <w:tabs>
        <w:tab w:val="clear" w:pos="4320"/>
        <w:tab w:val="clear" w:pos="8640"/>
        <w:tab w:val="right" w:pos="13892"/>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71552" behindDoc="0" locked="0" layoutInCell="1" allowOverlap="1" wp14:anchorId="1A19445C" wp14:editId="566031B9">
              <wp:simplePos x="0" y="0"/>
              <wp:positionH relativeFrom="column">
                <wp:posOffset>-28575</wp:posOffset>
              </wp:positionH>
              <wp:positionV relativeFrom="paragraph">
                <wp:posOffset>21590</wp:posOffset>
              </wp:positionV>
              <wp:extent cx="2943225" cy="0"/>
              <wp:effectExtent l="0" t="0" r="0" b="0"/>
              <wp:wrapNone/>
              <wp:docPr id="37" name="Straight Connector 37"/>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013DDD" id="Straight Connector 37"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" strokecolor="black [3213]"/>
          </w:pict>
        </mc:Fallback>
      </mc:AlternateContent>
    </w:r>
    <w:sdt>
      <w:sdtPr>
        <w:rPr>
          <w:bCs/>
          <w:sz w:val="18"/>
          <w:szCs w:val="18"/>
        </w:rPr>
        <w:tag w:val="MNC"/>
        <w:id w:val="2024358702"/>
        <w:placeholder>
          <w:docPart w:val="A332A459608D4E6596DE201618825864"/>
        </w:placeholder>
        <w:dataBinding w:prefixMappings="xmlns:ns0='http://schemas.globalmacros.com/FCA'" w:xpath="/ns0:root[1]/ns0:Name[1]" w:storeItemID="{687E7CCB-4AA5-44E7-B148-17BA2B6F57C0}"/>
        <w:text w:multiLine="1"/>
      </w:sdtPr>
      <w:sdtEndPr/>
      <w:sdtContent>
        <w:r>
          <w:rPr>
            <w:bCs/>
            <w:sz w:val="18"/>
            <w:szCs w:val="18"/>
          </w:rPr>
          <w:t>JKC Australia LNG Pty Ltd v AkzoNobel NV (No 3) [2021] FCA 1217</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sidR="002C0ED0">
      <w:rPr>
        <w:bCs/>
        <w:noProof/>
        <w:sz w:val="20"/>
      </w:rPr>
      <w:t>xxviii</w:t>
    </w:r>
    <w:r w:rsidRPr="00EA7F6D">
      <w:rPr>
        <w:bCs/>
        <w:noProof/>
        <w:sz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FD0" w:rsidRPr="00C47B9D" w:rsidRDefault="00A84FD0" w:rsidP="00B2435E">
    <w:pPr>
      <w:pStyle w:val="Footer"/>
      <w:tabs>
        <w:tab w:val="clear" w:pos="4320"/>
        <w:tab w:val="clear" w:pos="8640"/>
        <w:tab w:val="right" w:pos="8931"/>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67456" behindDoc="0" locked="0" layoutInCell="1" allowOverlap="1" wp14:anchorId="7E83757A" wp14:editId="506693F7">
              <wp:simplePos x="0" y="0"/>
              <wp:positionH relativeFrom="column">
                <wp:posOffset>-28575</wp:posOffset>
              </wp:positionH>
              <wp:positionV relativeFrom="paragraph">
                <wp:posOffset>21590</wp:posOffset>
              </wp:positionV>
              <wp:extent cx="2943225"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1EA070" id="Straight Connector 7"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" strokecolor="black [3213]"/>
          </w:pict>
        </mc:Fallback>
      </mc:AlternateContent>
    </w:r>
    <w:sdt>
      <w:sdtPr>
        <w:rPr>
          <w:bCs/>
          <w:sz w:val="18"/>
          <w:szCs w:val="18"/>
        </w:rPr>
        <w:tag w:val="MNC"/>
        <w:id w:val="1095746746"/>
        <w:placeholder>
          <w:docPart w:val="343AC8E7CE0444EF9BBA997A3996A5C4"/>
        </w:placeholder>
        <w:dataBinding w:prefixMappings="xmlns:ns0='http://schemas.globalmacros.com/FCA'" w:xpath="/ns0:root[1]/ns0:Name[1]" w:storeItemID="{687E7CCB-4AA5-44E7-B148-17BA2B6F57C0}"/>
        <w:text w:multiLine="1"/>
      </w:sdtPr>
      <w:sdtEndPr/>
      <w:sdtContent>
        <w:r w:rsidR="007F1289">
          <w:rPr>
            <w:bCs/>
            <w:sz w:val="18"/>
            <w:szCs w:val="18"/>
          </w:rPr>
          <w:t>JKC Australia LNG Pty Ltd v AkzoNobel NV (No 3) [2021] FCA 1217</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sidR="002C0ED0">
      <w:rPr>
        <w:bCs/>
        <w:noProof/>
        <w:sz w:val="20"/>
      </w:rPr>
      <w:t>7</w:t>
    </w:r>
    <w:r w:rsidRPr="00EA7F6D">
      <w:rPr>
        <w:bCs/>
        <w:noProof/>
        <w:sz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FD0" w:rsidRPr="00C47B9D" w:rsidRDefault="00A84FD0" w:rsidP="00B2435E">
    <w:pPr>
      <w:pStyle w:val="Footer"/>
      <w:tabs>
        <w:tab w:val="clear" w:pos="4320"/>
        <w:tab w:val="clear" w:pos="8640"/>
        <w:tab w:val="right" w:pos="8931"/>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65408" behindDoc="0" locked="0" layoutInCell="1" allowOverlap="1" wp14:anchorId="57C57200" wp14:editId="26FB309B">
              <wp:simplePos x="0" y="0"/>
              <wp:positionH relativeFrom="column">
                <wp:posOffset>-28575</wp:posOffset>
              </wp:positionH>
              <wp:positionV relativeFrom="paragraph">
                <wp:posOffset>21590</wp:posOffset>
              </wp:positionV>
              <wp:extent cx="2943225"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972B70" id="Straight Connector 3"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" strokecolor="black [3213]"/>
          </w:pict>
        </mc:Fallback>
      </mc:AlternateContent>
    </w:r>
    <w:sdt>
      <w:sdtPr>
        <w:rPr>
          <w:bCs/>
          <w:sz w:val="18"/>
          <w:szCs w:val="18"/>
        </w:rPr>
        <w:tag w:val="MNC"/>
        <w:id w:val="-1532949365"/>
        <w:placeholder>
          <w:docPart w:val="64CC7A42A1EB40D89A24F993F0D700A6"/>
        </w:placeholder>
        <w:dataBinding w:prefixMappings="xmlns:ns0='http://schemas.globalmacros.com/FCA'" w:xpath="/ns0:root[1]/ns0:Name[1]" w:storeItemID="{687E7CCB-4AA5-44E7-B148-17BA2B6F57C0}"/>
        <w:text w:multiLine="1"/>
      </w:sdtPr>
      <w:sdtEndPr/>
      <w:sdtContent>
        <w:r w:rsidR="007F1289">
          <w:rPr>
            <w:bCs/>
            <w:sz w:val="18"/>
            <w:szCs w:val="18"/>
          </w:rPr>
          <w:t>JKC Australia LNG Pty Ltd v AkzoNobel NV (No 3) [2021] FCA 1217</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sidR="002C0ED0">
      <w:rPr>
        <w:bCs/>
        <w:noProof/>
        <w:sz w:val="20"/>
      </w:rPr>
      <w:t>1</w:t>
    </w:r>
    <w:r w:rsidRPr="00EA7F6D">
      <w:rPr>
        <w:bCs/>
        <w:noProof/>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172CF" w:rsidRDefault="000172CF"/>
  </w:footnote>
  <w:footnote w:type="continuationSeparator" w:id="0">
    <w:p w:rsidR="000172CF" w:rsidRDefault="000172CF">
      <w:r>
        <w:continuationSeparator/>
      </w:r>
    </w:p>
    <w:p w:rsidR="000172CF" w:rsidRDefault="000172CF"/>
    <w:p w:rsidR="000172CF" w:rsidRDefault="000172CF"/>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5B24" w:rsidRDefault="00395B24">
    <w:pPr>
      <w:tabs>
        <w:tab w:val="center" w:pos="4512"/>
      </w:tabs>
      <w:suppressAutoHyphens/>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5B24" w:rsidRDefault="00395B24">
    <w:pPr>
      <w:pStyle w:val="Header"/>
      <w:tabs>
        <w:tab w:val="clear" w:pos="4320"/>
        <w:tab w:val="clear" w:pos="8640"/>
      </w:tabs>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5B24" w:rsidRDefault="00395B24"/>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5B24" w:rsidRDefault="00395B24">
    <w:pPr>
      <w:tabs>
        <w:tab w:val="center" w:pos="4512"/>
      </w:tabs>
      <w:suppressAutoHyphens/>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5B24" w:rsidRDefault="00395B24" w:rsidP="00A436E8">
    <w:pPr>
      <w:pStyle w:val="Header"/>
      <w:tabs>
        <w:tab w:val="clear" w:pos="4320"/>
        <w:tab w:val="clear" w:pos="8640"/>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23ACBC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04AF16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163689C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B22946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8E2E98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726AA5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D947F0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C5AED4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5EC114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6DC146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59E2A2F"/>
    <w:multiLevelType w:val="multilevel"/>
    <w:tmpl w:val="F61AF490"/>
    <w:styleLink w:val="FCListNoalt"/>
    <w:lvl w:ilvl="0">
      <w:start w:val="1"/>
      <w:numFmt w:val="lowerLetter"/>
      <w:lvlRestart w:val="0"/>
      <w:pStyle w:val="ListNo1alt"/>
      <w:lvlText w:val="(%1)"/>
      <w:lvlJc w:val="left"/>
      <w:pPr>
        <w:tabs>
          <w:tab w:val="num" w:pos="720"/>
        </w:tabs>
        <w:ind w:left="720" w:hanging="720"/>
      </w:pPr>
      <w:rPr>
        <w:rFonts w:ascii="Times New Roman" w:hAnsi="Times New Roman" w:hint="default"/>
      </w:rPr>
    </w:lvl>
    <w:lvl w:ilvl="1">
      <w:start w:val="1"/>
      <w:numFmt w:val="lowerRoman"/>
      <w:pStyle w:val="ListNo2alt"/>
      <w:lvlText w:val="(%2)"/>
      <w:lvlJc w:val="left"/>
      <w:pPr>
        <w:tabs>
          <w:tab w:val="num" w:pos="1440"/>
        </w:tabs>
        <w:ind w:left="1440" w:hanging="720"/>
      </w:pPr>
      <w:rPr>
        <w:rFonts w:hint="default"/>
      </w:rPr>
    </w:lvl>
    <w:lvl w:ilvl="2">
      <w:start w:val="1"/>
      <w:numFmt w:val="upperLetter"/>
      <w:pStyle w:val="ListNo3alt"/>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1" w15:restartNumberingAfterBreak="0">
    <w:nsid w:val="0B9B7C7A"/>
    <w:multiLevelType w:val="hybridMultilevel"/>
    <w:tmpl w:val="0D8E828C"/>
    <w:lvl w:ilvl="0" w:tplc="E5462CDA">
      <w:start w:val="1"/>
      <w:numFmt w:val="bullet"/>
      <w:pStyle w:val="Quote2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2" w15:restartNumberingAfterBreak="0">
    <w:nsid w:val="168F28D0"/>
    <w:multiLevelType w:val="multilevel"/>
    <w:tmpl w:val="D26E5E56"/>
    <w:lvl w:ilvl="0">
      <w:start w:val="1"/>
      <w:numFmt w:val="bullet"/>
      <w:pStyle w:val="FCBullets"/>
      <w:lvlText w:val=""/>
      <w:lvlJc w:val="left"/>
      <w:pPr>
        <w:tabs>
          <w:tab w:val="num" w:pos="720"/>
        </w:tabs>
        <w:ind w:left="720" w:hanging="720"/>
      </w:pPr>
      <w:rPr>
        <w:rFonts w:ascii="Symbol" w:hAnsi="Symbol" w:hint="default"/>
      </w:rPr>
    </w:lvl>
    <w:lvl w:ilvl="1">
      <w:start w:val="1"/>
      <w:numFmt w:val="bullet"/>
      <w:pStyle w:val="FCBullets2"/>
      <w:lvlText w:val=""/>
      <w:lvlJc w:val="left"/>
      <w:pPr>
        <w:tabs>
          <w:tab w:val="num" w:pos="1440"/>
        </w:tabs>
        <w:ind w:left="1440" w:hanging="720"/>
      </w:pPr>
      <w:rPr>
        <w:rFonts w:ascii="Symbol" w:hAnsi="Symbol" w:hint="default"/>
        <w:sz w:val="24"/>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3" w15:restartNumberingAfterBreak="0">
    <w:nsid w:val="1C1468D3"/>
    <w:multiLevelType w:val="multilevel"/>
    <w:tmpl w:val="0F0EC90E"/>
    <w:styleLink w:val="FCListNo"/>
    <w:lvl w:ilvl="0">
      <w:start w:val="1"/>
      <w:numFmt w:val="decimal"/>
      <w:lvlRestart w:val="0"/>
      <w:pStyle w:val="ListNo1"/>
      <w:lvlText w:val="(%1)"/>
      <w:lvlJc w:val="left"/>
      <w:pPr>
        <w:tabs>
          <w:tab w:val="num" w:pos="720"/>
        </w:tabs>
        <w:ind w:left="720" w:hanging="720"/>
      </w:pPr>
      <w:rPr>
        <w:rFonts w:ascii="Times New Roman" w:hAnsi="Times New Roman" w:hint="default"/>
      </w:rPr>
    </w:lvl>
    <w:lvl w:ilvl="1">
      <w:start w:val="1"/>
      <w:numFmt w:val="lowerLetter"/>
      <w:pStyle w:val="ListNo2"/>
      <w:lvlText w:val="(%2)"/>
      <w:lvlJc w:val="left"/>
      <w:pPr>
        <w:tabs>
          <w:tab w:val="num" w:pos="1440"/>
        </w:tabs>
        <w:ind w:left="1440" w:hanging="720"/>
      </w:pPr>
      <w:rPr>
        <w:rFonts w:hint="default"/>
      </w:rPr>
    </w:lvl>
    <w:lvl w:ilvl="2">
      <w:start w:val="1"/>
      <w:numFmt w:val="lowerRoman"/>
      <w:pStyle w:val="ListNo3"/>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4" w15:restartNumberingAfterBreak="0">
    <w:nsid w:val="29AE3DD1"/>
    <w:multiLevelType w:val="singleLevel"/>
    <w:tmpl w:val="5C92B9B0"/>
    <w:lvl w:ilvl="0">
      <w:start w:val="1"/>
      <w:numFmt w:val="decimal"/>
      <w:lvlRestart w:val="0"/>
      <w:pStyle w:val="ParaNumbering"/>
      <w:lvlText w:val="%1"/>
      <w:lvlJc w:val="left"/>
      <w:pPr>
        <w:tabs>
          <w:tab w:val="num" w:pos="720"/>
        </w:tabs>
        <w:ind w:left="0" w:hanging="720"/>
      </w:pPr>
      <w:rPr>
        <w:rFonts w:hint="default"/>
        <w:sz w:val="20"/>
      </w:rPr>
    </w:lvl>
  </w:abstractNum>
  <w:abstractNum w:abstractNumId="15" w15:restartNumberingAfterBreak="0">
    <w:nsid w:val="2AD4345C"/>
    <w:multiLevelType w:val="multilevel"/>
    <w:tmpl w:val="A1C8FFD0"/>
    <w:styleLink w:val="FCOrders"/>
    <w:lvl w:ilvl="0">
      <w:start w:val="1"/>
      <w:numFmt w:val="decimal"/>
      <w:pStyle w:val="Order1"/>
      <w:lvlText w:val="%1."/>
      <w:lvlJc w:val="left"/>
      <w:pPr>
        <w:tabs>
          <w:tab w:val="num" w:pos="720"/>
        </w:tabs>
        <w:ind w:left="720" w:hanging="720"/>
      </w:pPr>
      <w:rPr>
        <w:rFonts w:ascii="Times New Roman" w:hAnsi="Times New Roman" w:hint="default"/>
        <w:sz w:val="24"/>
      </w:rPr>
    </w:lvl>
    <w:lvl w:ilvl="1">
      <w:start w:val="1"/>
      <w:numFmt w:val="lowerLetter"/>
      <w:pStyle w:val="Order2"/>
      <w:lvlText w:val="(%2)"/>
      <w:lvlJc w:val="left"/>
      <w:pPr>
        <w:tabs>
          <w:tab w:val="num" w:pos="1440"/>
        </w:tabs>
        <w:ind w:left="1440" w:hanging="720"/>
      </w:pPr>
      <w:rPr>
        <w:rFonts w:hint="default"/>
      </w:rPr>
    </w:lvl>
    <w:lvl w:ilvl="2">
      <w:start w:val="1"/>
      <w:numFmt w:val="lowerRoman"/>
      <w:pStyle w:val="Order3"/>
      <w:lvlText w:val="(%3)"/>
      <w:lvlJc w:val="left"/>
      <w:pPr>
        <w:tabs>
          <w:tab w:val="num" w:pos="1440"/>
        </w:tabs>
        <w:ind w:left="2160" w:hanging="720"/>
      </w:pPr>
      <w:rPr>
        <w:rFonts w:hint="default"/>
      </w:rPr>
    </w:lvl>
    <w:lvl w:ilvl="3">
      <w:start w:val="1"/>
      <w:numFmt w:val="upperLetter"/>
      <w:pStyle w:val="Order4"/>
      <w:lvlText w:val="%4."/>
      <w:lvlJc w:val="left"/>
      <w:pPr>
        <w:tabs>
          <w:tab w:val="num" w:pos="2160"/>
        </w:tabs>
        <w:ind w:left="2880" w:hanging="720"/>
      </w:pPr>
      <w:rPr>
        <w:rFonts w:hint="default"/>
      </w:rPr>
    </w:lvl>
    <w:lvl w:ilvl="4">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suff w:val="nothing"/>
      <w:lvlText w:val=""/>
      <w:lvlJc w:val="left"/>
      <w:pPr>
        <w:ind w:left="-32767" w:firstLine="0"/>
      </w:pPr>
      <w:rPr>
        <w:rFonts w:hint="default"/>
      </w:rPr>
    </w:lvl>
  </w:abstractNum>
  <w:abstractNum w:abstractNumId="16" w15:restartNumberingAfterBreak="0">
    <w:nsid w:val="2AF11FCB"/>
    <w:multiLevelType w:val="hybridMultilevel"/>
    <w:tmpl w:val="94A6534E"/>
    <w:lvl w:ilvl="0" w:tplc="31029F3C">
      <w:start w:val="1"/>
      <w:numFmt w:val="bullet"/>
      <w:pStyle w:val="Quote4Bullet"/>
      <w:lvlText w:val=""/>
      <w:lvlJc w:val="left"/>
      <w:pPr>
        <w:ind w:left="3600" w:hanging="360"/>
      </w:pPr>
      <w:rPr>
        <w:rFonts w:ascii="Symbol" w:hAnsi="Symbol" w:hint="default"/>
        <w:sz w:val="16"/>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17" w15:restartNumberingAfterBreak="0">
    <w:nsid w:val="32D95B3D"/>
    <w:multiLevelType w:val="multilevel"/>
    <w:tmpl w:val="253A8338"/>
    <w:styleLink w:val="FCNotes"/>
    <w:lvl w:ilvl="0">
      <w:start w:val="1"/>
      <w:numFmt w:val="upperLetter"/>
      <w:pStyle w:val="Notes"/>
      <w:lvlText w:val="%1."/>
      <w:lvlJc w:val="left"/>
      <w:pPr>
        <w:tabs>
          <w:tab w:val="num" w:pos="720"/>
        </w:tabs>
        <w:ind w:left="720" w:hanging="72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33561E2E"/>
    <w:multiLevelType w:val="hybridMultilevel"/>
    <w:tmpl w:val="433821BE"/>
    <w:lvl w:ilvl="0" w:tplc="DE3AD0E2">
      <w:start w:val="1"/>
      <w:numFmt w:val="bullet"/>
      <w:pStyle w:val="Quote3Bullet"/>
      <w:lvlText w:val=""/>
      <w:lvlJc w:val="left"/>
      <w:pPr>
        <w:ind w:left="2880" w:hanging="360"/>
      </w:pPr>
      <w:rPr>
        <w:rFonts w:ascii="Wingdings" w:hAnsi="Wingdings" w:hint="default"/>
      </w:rPr>
    </w:lvl>
    <w:lvl w:ilvl="1" w:tplc="0C090003">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19" w15:restartNumberingAfterBreak="0">
    <w:nsid w:val="494817A7"/>
    <w:multiLevelType w:val="multilevel"/>
    <w:tmpl w:val="0F0EC90E"/>
    <w:numStyleLink w:val="FCListNo"/>
  </w:abstractNum>
  <w:abstractNum w:abstractNumId="20" w15:restartNumberingAfterBreak="0">
    <w:nsid w:val="49B30D2B"/>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4A736C9D"/>
    <w:multiLevelType w:val="multilevel"/>
    <w:tmpl w:val="0C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2" w15:restartNumberingAfterBreak="0">
    <w:nsid w:val="668713DD"/>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3" w15:restartNumberingAfterBreak="0">
    <w:nsid w:val="6F9B6398"/>
    <w:multiLevelType w:val="hybridMultilevel"/>
    <w:tmpl w:val="0E4CBD92"/>
    <w:lvl w:ilvl="0" w:tplc="907C4790">
      <w:start w:val="1"/>
      <w:numFmt w:val="bullet"/>
      <w:pStyle w:val="Quote1Bullet"/>
      <w:lvlText w:val=""/>
      <w:lvlJc w:val="left"/>
      <w:pPr>
        <w:ind w:left="1457" w:hanging="360"/>
      </w:pPr>
      <w:rPr>
        <w:rFonts w:ascii="Wingdings" w:hAnsi="Wingdings" w:hint="default"/>
      </w:rPr>
    </w:lvl>
    <w:lvl w:ilvl="1" w:tplc="0C090003" w:tentative="1">
      <w:start w:val="1"/>
      <w:numFmt w:val="bullet"/>
      <w:lvlText w:val="o"/>
      <w:lvlJc w:val="left"/>
      <w:pPr>
        <w:ind w:left="2177" w:hanging="360"/>
      </w:pPr>
      <w:rPr>
        <w:rFonts w:ascii="Courier New" w:hAnsi="Courier New" w:cs="Courier New" w:hint="default"/>
      </w:rPr>
    </w:lvl>
    <w:lvl w:ilvl="2" w:tplc="0C090005" w:tentative="1">
      <w:start w:val="1"/>
      <w:numFmt w:val="bullet"/>
      <w:lvlText w:val=""/>
      <w:lvlJc w:val="left"/>
      <w:pPr>
        <w:ind w:left="2897" w:hanging="360"/>
      </w:pPr>
      <w:rPr>
        <w:rFonts w:ascii="Wingdings" w:hAnsi="Wingdings" w:hint="default"/>
      </w:rPr>
    </w:lvl>
    <w:lvl w:ilvl="3" w:tplc="0C090001" w:tentative="1">
      <w:start w:val="1"/>
      <w:numFmt w:val="bullet"/>
      <w:lvlText w:val=""/>
      <w:lvlJc w:val="left"/>
      <w:pPr>
        <w:ind w:left="3617" w:hanging="360"/>
      </w:pPr>
      <w:rPr>
        <w:rFonts w:ascii="Symbol" w:hAnsi="Symbol" w:hint="default"/>
      </w:rPr>
    </w:lvl>
    <w:lvl w:ilvl="4" w:tplc="0C090003" w:tentative="1">
      <w:start w:val="1"/>
      <w:numFmt w:val="bullet"/>
      <w:lvlText w:val="o"/>
      <w:lvlJc w:val="left"/>
      <w:pPr>
        <w:ind w:left="4337" w:hanging="360"/>
      </w:pPr>
      <w:rPr>
        <w:rFonts w:ascii="Courier New" w:hAnsi="Courier New" w:cs="Courier New" w:hint="default"/>
      </w:rPr>
    </w:lvl>
    <w:lvl w:ilvl="5" w:tplc="0C090005" w:tentative="1">
      <w:start w:val="1"/>
      <w:numFmt w:val="bullet"/>
      <w:lvlText w:val=""/>
      <w:lvlJc w:val="left"/>
      <w:pPr>
        <w:ind w:left="5057" w:hanging="360"/>
      </w:pPr>
      <w:rPr>
        <w:rFonts w:ascii="Wingdings" w:hAnsi="Wingdings" w:hint="default"/>
      </w:rPr>
    </w:lvl>
    <w:lvl w:ilvl="6" w:tplc="0C090001" w:tentative="1">
      <w:start w:val="1"/>
      <w:numFmt w:val="bullet"/>
      <w:lvlText w:val=""/>
      <w:lvlJc w:val="left"/>
      <w:pPr>
        <w:ind w:left="5777" w:hanging="360"/>
      </w:pPr>
      <w:rPr>
        <w:rFonts w:ascii="Symbol" w:hAnsi="Symbol" w:hint="default"/>
      </w:rPr>
    </w:lvl>
    <w:lvl w:ilvl="7" w:tplc="0C090003" w:tentative="1">
      <w:start w:val="1"/>
      <w:numFmt w:val="bullet"/>
      <w:lvlText w:val="o"/>
      <w:lvlJc w:val="left"/>
      <w:pPr>
        <w:ind w:left="6497" w:hanging="360"/>
      </w:pPr>
      <w:rPr>
        <w:rFonts w:ascii="Courier New" w:hAnsi="Courier New" w:cs="Courier New" w:hint="default"/>
      </w:rPr>
    </w:lvl>
    <w:lvl w:ilvl="8" w:tplc="0C090005" w:tentative="1">
      <w:start w:val="1"/>
      <w:numFmt w:val="bullet"/>
      <w:lvlText w:val=""/>
      <w:lvlJc w:val="left"/>
      <w:pPr>
        <w:ind w:left="7217" w:hanging="360"/>
      </w:pPr>
      <w:rPr>
        <w:rFonts w:ascii="Wingdings" w:hAnsi="Wingdings" w:hint="default"/>
      </w:rPr>
    </w:lvl>
  </w:abstractNum>
  <w:abstractNum w:abstractNumId="24" w15:restartNumberingAfterBreak="0">
    <w:nsid w:val="7D0861FF"/>
    <w:multiLevelType w:val="multilevel"/>
    <w:tmpl w:val="1BC46E94"/>
    <w:lvl w:ilvl="0">
      <w:start w:val="1"/>
      <w:numFmt w:val="decimal"/>
      <w:lvlRestart w:val="0"/>
      <w:pStyle w:val="fcHeading1"/>
      <w:lvlText w:val="%1."/>
      <w:lvlJc w:val="left"/>
      <w:pPr>
        <w:tabs>
          <w:tab w:val="num" w:pos="1134"/>
        </w:tabs>
        <w:ind w:left="1134" w:hanging="1134"/>
      </w:pPr>
      <w:rPr>
        <w:rFonts w:hint="default"/>
      </w:rPr>
    </w:lvl>
    <w:lvl w:ilvl="1">
      <w:start w:val="1"/>
      <w:numFmt w:val="decimal"/>
      <w:pStyle w:val="fcHeading2"/>
      <w:lvlText w:val="%1.%2"/>
      <w:lvlJc w:val="left"/>
      <w:pPr>
        <w:tabs>
          <w:tab w:val="num" w:pos="1134"/>
        </w:tabs>
        <w:ind w:left="1134" w:hanging="1134"/>
      </w:pPr>
      <w:rPr>
        <w:rFonts w:hint="default"/>
      </w:rPr>
    </w:lvl>
    <w:lvl w:ilvl="2">
      <w:start w:val="1"/>
      <w:numFmt w:val="decimal"/>
      <w:pStyle w:val="fcHeading3"/>
      <w:lvlText w:val="%1.%2.%3"/>
      <w:lvlJc w:val="left"/>
      <w:pPr>
        <w:tabs>
          <w:tab w:val="num" w:pos="1134"/>
        </w:tabs>
        <w:ind w:left="1134" w:hanging="1134"/>
      </w:pPr>
      <w:rPr>
        <w:rFonts w:hint="default"/>
      </w:rPr>
    </w:lvl>
    <w:lvl w:ilvl="3">
      <w:start w:val="1"/>
      <w:numFmt w:val="decimal"/>
      <w:pStyle w:val="fcHeading4"/>
      <w:lvlText w:val="%1.%2.%3.%4"/>
      <w:lvlJc w:val="left"/>
      <w:pPr>
        <w:tabs>
          <w:tab w:val="num" w:pos="1134"/>
        </w:tabs>
        <w:ind w:left="1134" w:hanging="1134"/>
      </w:pPr>
      <w:rPr>
        <w:rFonts w:hint="default"/>
      </w:rPr>
    </w:lvl>
    <w:lvl w:ilvl="4">
      <w:start w:val="1"/>
      <w:numFmt w:val="decimal"/>
      <w:pStyle w:val="fcHeading5"/>
      <w:lvlText w:val="%1.%2.%3.%4.%5"/>
      <w:lvlJc w:val="left"/>
      <w:pPr>
        <w:tabs>
          <w:tab w:val="num" w:pos="1134"/>
        </w:tabs>
        <w:ind w:left="1134" w:hanging="1134"/>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num w:numId="1">
    <w:abstractNumId w:val="14"/>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22"/>
  </w:num>
  <w:num w:numId="13">
    <w:abstractNumId w:val="20"/>
  </w:num>
  <w:num w:numId="14">
    <w:abstractNumId w:val="21"/>
  </w:num>
  <w:num w:numId="15">
    <w:abstractNumId w:val="24"/>
  </w:num>
  <w:num w:numId="16">
    <w:abstractNumId w:val="13"/>
  </w:num>
  <w:num w:numId="17">
    <w:abstractNumId w:val="23"/>
  </w:num>
  <w:num w:numId="18">
    <w:abstractNumId w:val="11"/>
  </w:num>
  <w:num w:numId="19">
    <w:abstractNumId w:val="18"/>
  </w:num>
  <w:num w:numId="20">
    <w:abstractNumId w:val="15"/>
  </w:num>
  <w:num w:numId="21">
    <w:abstractNumId w:val="16"/>
  </w:num>
  <w:num w:numId="22">
    <w:abstractNumId w:val="19"/>
  </w:num>
  <w:num w:numId="23">
    <w:abstractNumId w:val="10"/>
  </w:num>
  <w:num w:numId="24">
    <w:abstractNumId w:val="10"/>
  </w:num>
  <w:num w:numId="25">
    <w:abstractNumId w:val="12"/>
  </w:num>
  <w:num w:numId="26">
    <w:abstractNumId w:val="17"/>
  </w:num>
  <w:num w:numId="27">
    <w:abstractNumId w:val="17"/>
  </w:num>
  <w:num w:numId="28">
    <w:abstractNumId w:val="17"/>
  </w:num>
  <w:num w:numId="29">
    <w:abstractNumId w:val="14"/>
    <w:lvlOverride w:ilvl="0">
      <w:startOverride w:val="1"/>
    </w:lvlOverride>
  </w:num>
  <w:num w:numId="30">
    <w:abstractNumId w:val="15"/>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ctiveWritingStyle w:appName="MSWord" w:lang="en-AU" w:vendorID="64" w:dllVersion="4096" w:nlCheck="1" w:checkStyle="0"/>
  <w:activeWritingStyle w:appName="MSWord" w:lang="en-US" w:vendorID="64" w:dllVersion="4096" w:nlCheck="1" w:checkStyle="0"/>
  <w:activeWritingStyle w:appName="MSWord" w:lang="en-AU" w:vendorID="64" w:dllVersion="131078" w:nlCheck="1" w:checkStyle="1"/>
  <w:activeWritingStyle w:appName="MSWord" w:lang="en-US" w:vendorID="64" w:dllVersion="131078" w:nlCheck="1" w:checkStyle="1"/>
  <w:activeWritingStyle w:appName="MSWord" w:lang="en-AU" w:vendorID="8" w:dllVersion="513" w:checkStyle="1"/>
  <w:proofState w:spelling="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916"/>
  <w:doNotHyphenateCaps/>
  <w:displayHorizontalDrawingGridEvery w:val="0"/>
  <w:displayVerticalDrawingGridEvery w:val="0"/>
  <w:doNotUseMarginsForDrawingGridOrigin/>
  <w:doNotShadeFormData/>
  <w:noPunctuationKerning/>
  <w:characterSpacingControl w:val="doNotCompress"/>
  <w:hdrShapeDefaults>
    <o:shapedefaults v:ext="edit" spidmax="28673"/>
  </w:hdrShapeDefaults>
  <w:footnotePr>
    <w:footnote w:id="-1"/>
    <w:footnote w:id="0"/>
  </w:footnotePr>
  <w:endnotePr>
    <w:numFmt w:val="decimal"/>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PPAndAnother" w:val="True"/>
    <w:docVar w:name="APPAndOthers" w:val="False"/>
    <w:docVar w:name="Applicant" w:val="JKC AUSTRALIA LNG PTY LTD (ACN 154 383 409)"/>
    <w:docVar w:name="CounselParties" w:val="Applicant"/>
    <w:docVar w:name="CounselType" w:val="Solicitor for the "/>
    <w:docVar w:name="Court" w:val="Federal Court of Australia (FCA)"/>
    <w:docVar w:name="Cross1AndAnother" w:val="True"/>
    <w:docVar w:name="Cross1AndOthers" w:val="False"/>
    <w:docVar w:name="Cross2AndAnother" w:val="True"/>
    <w:docVar w:name="Cross2AndOthers" w:val="False"/>
    <w:docVar w:name="Defenders" w:val="(and another named in the Schedule)"/>
    <w:docVar w:name="Division" w:val="FCA General Division"/>
    <w:docVar w:name="DocCreated" w:val="True"/>
    <w:docVar w:name="FileNumbers" w:val="WAD 448 of 2017"/>
    <w:docVar w:name="Initiators" w:val="(and another named in the Schedule)"/>
    <w:docVar w:name="Judgdate" w:val="7 October 2021"/>
    <w:docVar w:name="Judge" w:val="Banks-Smith"/>
    <w:docVar w:name="JudgeType" w:val="Justice"/>
    <w:docVar w:name="lstEntryList" w:val="-1"/>
    <w:docVar w:name="myEntryList" w:val="Counsel for the Applicant=TBA|Solicitor for the Applicant=Solomon Brothers|Counsel for the First and Second Respondents=TBA|Solicitor for the First and Second Respondents=Clayton Utz|Counsel for the Third Respondent=TBA|Solicitor for the Third Respondent=Allen &amp; Overy"/>
    <w:docVar w:name="NSD" w:val="NSD "/>
    <w:docVar w:name="NumApps" w:val="1"/>
    <w:docVar w:name="NumApps_" w:val="1"/>
    <w:docVar w:name="NumCrossResps" w:val="0"/>
    <w:docVar w:name="NumDefs" w:val="3"/>
    <w:docVar w:name="NumOthers" w:val="0"/>
    <w:docVar w:name="OtherNum" w:val="0"/>
    <w:docVar w:name="Parties1" w:val="Applicant"/>
    <w:docVar w:name="Parties2" w:val="Respondent"/>
    <w:docVar w:name="Parties3" w:val="Cross-Appellant"/>
    <w:docVar w:name="Parties4" w:val="Cross-Defendant"/>
    <w:docVar w:name="Parties5" w:val="Intervener"/>
    <w:docVar w:name="Place" w:val="N/A FCA"/>
    <w:docVar w:name="PracticeArea" w:val="Commercial and Corporations"/>
    <w:docVar w:name="RESAndAnother" w:val="True"/>
    <w:docVar w:name="RESAndOthers" w:val="False"/>
    <w:docVar w:name="Respondent" w:val="AKZONOBEL NV|INTERNATIONAL PAINT LIMITED|AKZONOBEL COATINGS (HOLDINGS) PTY LIMITED AND AKZONOBEL PTY LIMITED"/>
    <w:docVar w:name="ResState" w:val="Western Australia"/>
    <w:docVar w:name="SubArea" w:val="Regulator and Consumer Protection (C &amp; C)"/>
  </w:docVars>
  <w:rsids>
    <w:rsidRoot w:val="000172CF"/>
    <w:rsid w:val="00000747"/>
    <w:rsid w:val="000115C5"/>
    <w:rsid w:val="0001469E"/>
    <w:rsid w:val="00015993"/>
    <w:rsid w:val="000172CF"/>
    <w:rsid w:val="00021CCB"/>
    <w:rsid w:val="00022289"/>
    <w:rsid w:val="00027398"/>
    <w:rsid w:val="0003201A"/>
    <w:rsid w:val="0003207A"/>
    <w:rsid w:val="00032F9F"/>
    <w:rsid w:val="00041C07"/>
    <w:rsid w:val="00045BB7"/>
    <w:rsid w:val="00055719"/>
    <w:rsid w:val="0005641B"/>
    <w:rsid w:val="0006196A"/>
    <w:rsid w:val="000650F0"/>
    <w:rsid w:val="00071FB3"/>
    <w:rsid w:val="00076AD3"/>
    <w:rsid w:val="00077768"/>
    <w:rsid w:val="00081497"/>
    <w:rsid w:val="000831EC"/>
    <w:rsid w:val="00085255"/>
    <w:rsid w:val="000A2E76"/>
    <w:rsid w:val="000A4807"/>
    <w:rsid w:val="000A4BE4"/>
    <w:rsid w:val="000B67CB"/>
    <w:rsid w:val="000C023E"/>
    <w:rsid w:val="000C5195"/>
    <w:rsid w:val="000C62EF"/>
    <w:rsid w:val="000D2137"/>
    <w:rsid w:val="000D3FD2"/>
    <w:rsid w:val="000D4B2E"/>
    <w:rsid w:val="000E3FC8"/>
    <w:rsid w:val="000E635C"/>
    <w:rsid w:val="000E7BAE"/>
    <w:rsid w:val="000F133D"/>
    <w:rsid w:val="0010536B"/>
    <w:rsid w:val="0011145C"/>
    <w:rsid w:val="001128BD"/>
    <w:rsid w:val="0011419D"/>
    <w:rsid w:val="00114B02"/>
    <w:rsid w:val="001226C0"/>
    <w:rsid w:val="00124F3A"/>
    <w:rsid w:val="00126EC8"/>
    <w:rsid w:val="0012731C"/>
    <w:rsid w:val="0013142E"/>
    <w:rsid w:val="00132054"/>
    <w:rsid w:val="00134964"/>
    <w:rsid w:val="001351B9"/>
    <w:rsid w:val="00155CD2"/>
    <w:rsid w:val="001727A4"/>
    <w:rsid w:val="0017376C"/>
    <w:rsid w:val="001738AB"/>
    <w:rsid w:val="001765E0"/>
    <w:rsid w:val="00177759"/>
    <w:rsid w:val="00180BB3"/>
    <w:rsid w:val="001826F4"/>
    <w:rsid w:val="00185E6B"/>
    <w:rsid w:val="00187BBC"/>
    <w:rsid w:val="001932F3"/>
    <w:rsid w:val="001A2B40"/>
    <w:rsid w:val="001A4309"/>
    <w:rsid w:val="001A454A"/>
    <w:rsid w:val="001A46AE"/>
    <w:rsid w:val="001A6C52"/>
    <w:rsid w:val="001B1053"/>
    <w:rsid w:val="001B14AC"/>
    <w:rsid w:val="001B7940"/>
    <w:rsid w:val="001C171A"/>
    <w:rsid w:val="001C2FE0"/>
    <w:rsid w:val="001C37CA"/>
    <w:rsid w:val="001C4085"/>
    <w:rsid w:val="001D4303"/>
    <w:rsid w:val="001D6746"/>
    <w:rsid w:val="001E0C61"/>
    <w:rsid w:val="001E3B49"/>
    <w:rsid w:val="001E4A05"/>
    <w:rsid w:val="001E6A19"/>
    <w:rsid w:val="001E7388"/>
    <w:rsid w:val="001F13DD"/>
    <w:rsid w:val="001F2473"/>
    <w:rsid w:val="001F2DBC"/>
    <w:rsid w:val="001F73E8"/>
    <w:rsid w:val="0020262C"/>
    <w:rsid w:val="00202723"/>
    <w:rsid w:val="00211A3E"/>
    <w:rsid w:val="00214055"/>
    <w:rsid w:val="00215BCA"/>
    <w:rsid w:val="00217AC4"/>
    <w:rsid w:val="00221461"/>
    <w:rsid w:val="00224537"/>
    <w:rsid w:val="00235956"/>
    <w:rsid w:val="00243E5E"/>
    <w:rsid w:val="002467A6"/>
    <w:rsid w:val="00247C9A"/>
    <w:rsid w:val="0025160C"/>
    <w:rsid w:val="002535D0"/>
    <w:rsid w:val="002539B3"/>
    <w:rsid w:val="00256336"/>
    <w:rsid w:val="00257C3E"/>
    <w:rsid w:val="002602C2"/>
    <w:rsid w:val="00266651"/>
    <w:rsid w:val="002666C9"/>
    <w:rsid w:val="00270136"/>
    <w:rsid w:val="00270FD7"/>
    <w:rsid w:val="00274F5B"/>
    <w:rsid w:val="00280836"/>
    <w:rsid w:val="00282E1A"/>
    <w:rsid w:val="002840F1"/>
    <w:rsid w:val="0029113B"/>
    <w:rsid w:val="002934C0"/>
    <w:rsid w:val="00293E1F"/>
    <w:rsid w:val="0029764C"/>
    <w:rsid w:val="002A1B50"/>
    <w:rsid w:val="002B0E91"/>
    <w:rsid w:val="002B132C"/>
    <w:rsid w:val="002B3F23"/>
    <w:rsid w:val="002B4EB5"/>
    <w:rsid w:val="002B5AF5"/>
    <w:rsid w:val="002B6779"/>
    <w:rsid w:val="002B71C0"/>
    <w:rsid w:val="002B7A34"/>
    <w:rsid w:val="002C0ED0"/>
    <w:rsid w:val="002C31AD"/>
    <w:rsid w:val="002C7385"/>
    <w:rsid w:val="002D2DBB"/>
    <w:rsid w:val="002D37D8"/>
    <w:rsid w:val="002D54A6"/>
    <w:rsid w:val="002E5BF9"/>
    <w:rsid w:val="002E6A7A"/>
    <w:rsid w:val="002F1E49"/>
    <w:rsid w:val="002F4E9C"/>
    <w:rsid w:val="002F6E15"/>
    <w:rsid w:val="00302F4E"/>
    <w:rsid w:val="0031256C"/>
    <w:rsid w:val="00314D6C"/>
    <w:rsid w:val="00316D2A"/>
    <w:rsid w:val="00322A7C"/>
    <w:rsid w:val="00322EEC"/>
    <w:rsid w:val="00323061"/>
    <w:rsid w:val="003402D3"/>
    <w:rsid w:val="0034068E"/>
    <w:rsid w:val="00343ABC"/>
    <w:rsid w:val="003463FE"/>
    <w:rsid w:val="003472FC"/>
    <w:rsid w:val="00347D41"/>
    <w:rsid w:val="003554B3"/>
    <w:rsid w:val="00356632"/>
    <w:rsid w:val="00357C7E"/>
    <w:rsid w:val="003646CF"/>
    <w:rsid w:val="003653B6"/>
    <w:rsid w:val="00370327"/>
    <w:rsid w:val="00374CC4"/>
    <w:rsid w:val="003774B2"/>
    <w:rsid w:val="00380F2D"/>
    <w:rsid w:val="003845A9"/>
    <w:rsid w:val="003850C9"/>
    <w:rsid w:val="00390883"/>
    <w:rsid w:val="003922F8"/>
    <w:rsid w:val="00395B24"/>
    <w:rsid w:val="003962AC"/>
    <w:rsid w:val="003A0C55"/>
    <w:rsid w:val="003A2D38"/>
    <w:rsid w:val="003A7ECC"/>
    <w:rsid w:val="003B2C72"/>
    <w:rsid w:val="003B58B4"/>
    <w:rsid w:val="003C1333"/>
    <w:rsid w:val="003C20FF"/>
    <w:rsid w:val="003C550A"/>
    <w:rsid w:val="003C6055"/>
    <w:rsid w:val="003D2650"/>
    <w:rsid w:val="003D560C"/>
    <w:rsid w:val="003D5C00"/>
    <w:rsid w:val="003E3154"/>
    <w:rsid w:val="003E5874"/>
    <w:rsid w:val="003E72D3"/>
    <w:rsid w:val="003F193E"/>
    <w:rsid w:val="003F242C"/>
    <w:rsid w:val="003F34F1"/>
    <w:rsid w:val="004104B6"/>
    <w:rsid w:val="00411AE8"/>
    <w:rsid w:val="00413B74"/>
    <w:rsid w:val="004342F3"/>
    <w:rsid w:val="00435C5F"/>
    <w:rsid w:val="00436155"/>
    <w:rsid w:val="00436460"/>
    <w:rsid w:val="00441E98"/>
    <w:rsid w:val="00450F3A"/>
    <w:rsid w:val="004532F7"/>
    <w:rsid w:val="00464D51"/>
    <w:rsid w:val="004664E9"/>
    <w:rsid w:val="00466564"/>
    <w:rsid w:val="00472027"/>
    <w:rsid w:val="004804CF"/>
    <w:rsid w:val="00483314"/>
    <w:rsid w:val="00484962"/>
    <w:rsid w:val="00484F6D"/>
    <w:rsid w:val="00484FB7"/>
    <w:rsid w:val="0048554D"/>
    <w:rsid w:val="0049338A"/>
    <w:rsid w:val="0049417F"/>
    <w:rsid w:val="00496D41"/>
    <w:rsid w:val="004A6602"/>
    <w:rsid w:val="004B3EFA"/>
    <w:rsid w:val="004C2A87"/>
    <w:rsid w:val="004C4D7B"/>
    <w:rsid w:val="004C4ED3"/>
    <w:rsid w:val="004C667B"/>
    <w:rsid w:val="004C7ECD"/>
    <w:rsid w:val="004D2EA5"/>
    <w:rsid w:val="004D32A6"/>
    <w:rsid w:val="004D53E5"/>
    <w:rsid w:val="004E6DC4"/>
    <w:rsid w:val="004F21C1"/>
    <w:rsid w:val="00501A12"/>
    <w:rsid w:val="0050309C"/>
    <w:rsid w:val="0051327C"/>
    <w:rsid w:val="0051346D"/>
    <w:rsid w:val="00513EAE"/>
    <w:rsid w:val="0051434F"/>
    <w:rsid w:val="00516806"/>
    <w:rsid w:val="0052098C"/>
    <w:rsid w:val="00525A49"/>
    <w:rsid w:val="005262D1"/>
    <w:rsid w:val="00530876"/>
    <w:rsid w:val="00535613"/>
    <w:rsid w:val="005359EB"/>
    <w:rsid w:val="0054254A"/>
    <w:rsid w:val="0054500B"/>
    <w:rsid w:val="005466B5"/>
    <w:rsid w:val="00554314"/>
    <w:rsid w:val="00562829"/>
    <w:rsid w:val="005629B3"/>
    <w:rsid w:val="0057128A"/>
    <w:rsid w:val="00572156"/>
    <w:rsid w:val="005724F6"/>
    <w:rsid w:val="00573AC4"/>
    <w:rsid w:val="005801FC"/>
    <w:rsid w:val="00585BA9"/>
    <w:rsid w:val="00587359"/>
    <w:rsid w:val="00595016"/>
    <w:rsid w:val="00597AAE"/>
    <w:rsid w:val="005A222C"/>
    <w:rsid w:val="005A4DF8"/>
    <w:rsid w:val="005A78C8"/>
    <w:rsid w:val="005B1426"/>
    <w:rsid w:val="005C0A8E"/>
    <w:rsid w:val="005C1767"/>
    <w:rsid w:val="005C185C"/>
    <w:rsid w:val="005C42EF"/>
    <w:rsid w:val="005E02F5"/>
    <w:rsid w:val="005E0510"/>
    <w:rsid w:val="005E176E"/>
    <w:rsid w:val="005E218E"/>
    <w:rsid w:val="005E35A0"/>
    <w:rsid w:val="005F0D1B"/>
    <w:rsid w:val="005F1865"/>
    <w:rsid w:val="006007BD"/>
    <w:rsid w:val="006013C8"/>
    <w:rsid w:val="0060270D"/>
    <w:rsid w:val="006032BD"/>
    <w:rsid w:val="00604342"/>
    <w:rsid w:val="00604611"/>
    <w:rsid w:val="00610909"/>
    <w:rsid w:val="00611586"/>
    <w:rsid w:val="00612D26"/>
    <w:rsid w:val="00615855"/>
    <w:rsid w:val="00617C45"/>
    <w:rsid w:val="00620DA8"/>
    <w:rsid w:val="00621887"/>
    <w:rsid w:val="00624520"/>
    <w:rsid w:val="006271F5"/>
    <w:rsid w:val="00632300"/>
    <w:rsid w:val="00632BB7"/>
    <w:rsid w:val="00635B36"/>
    <w:rsid w:val="00636871"/>
    <w:rsid w:val="00640EE1"/>
    <w:rsid w:val="00640F4E"/>
    <w:rsid w:val="00643DE0"/>
    <w:rsid w:val="0064437D"/>
    <w:rsid w:val="00644E85"/>
    <w:rsid w:val="006516D8"/>
    <w:rsid w:val="00652C52"/>
    <w:rsid w:val="0066063F"/>
    <w:rsid w:val="00662BB0"/>
    <w:rsid w:val="00663878"/>
    <w:rsid w:val="00667773"/>
    <w:rsid w:val="00670743"/>
    <w:rsid w:val="00680A85"/>
    <w:rsid w:val="00681ADF"/>
    <w:rsid w:val="00683CE0"/>
    <w:rsid w:val="00690EE2"/>
    <w:rsid w:val="00693854"/>
    <w:rsid w:val="00694BEB"/>
    <w:rsid w:val="006A0E20"/>
    <w:rsid w:val="006A24E3"/>
    <w:rsid w:val="006A5695"/>
    <w:rsid w:val="006B0439"/>
    <w:rsid w:val="006B3904"/>
    <w:rsid w:val="006B5B7D"/>
    <w:rsid w:val="006C5B46"/>
    <w:rsid w:val="006C6E39"/>
    <w:rsid w:val="006D0ECF"/>
    <w:rsid w:val="006D3D5B"/>
    <w:rsid w:val="006D4C92"/>
    <w:rsid w:val="006D4EB6"/>
    <w:rsid w:val="006E35BF"/>
    <w:rsid w:val="006E7850"/>
    <w:rsid w:val="006F19D8"/>
    <w:rsid w:val="006F46D6"/>
    <w:rsid w:val="006F4BBB"/>
    <w:rsid w:val="007028D9"/>
    <w:rsid w:val="00707218"/>
    <w:rsid w:val="00710D04"/>
    <w:rsid w:val="00712B1D"/>
    <w:rsid w:val="00715751"/>
    <w:rsid w:val="007171BA"/>
    <w:rsid w:val="00717616"/>
    <w:rsid w:val="007325D9"/>
    <w:rsid w:val="0073413F"/>
    <w:rsid w:val="0073583B"/>
    <w:rsid w:val="007360CA"/>
    <w:rsid w:val="0074667B"/>
    <w:rsid w:val="007470BD"/>
    <w:rsid w:val="00760EC0"/>
    <w:rsid w:val="007711BD"/>
    <w:rsid w:val="0078003A"/>
    <w:rsid w:val="00780771"/>
    <w:rsid w:val="007929CF"/>
    <w:rsid w:val="007A081D"/>
    <w:rsid w:val="007A49E7"/>
    <w:rsid w:val="007A6F28"/>
    <w:rsid w:val="007B03C6"/>
    <w:rsid w:val="007B0DB1"/>
    <w:rsid w:val="007B5673"/>
    <w:rsid w:val="007B7238"/>
    <w:rsid w:val="007B76FF"/>
    <w:rsid w:val="007C3BF6"/>
    <w:rsid w:val="007C67B3"/>
    <w:rsid w:val="007D0FD2"/>
    <w:rsid w:val="007D2EF8"/>
    <w:rsid w:val="007D561F"/>
    <w:rsid w:val="007D7FD2"/>
    <w:rsid w:val="007E13D9"/>
    <w:rsid w:val="007E2AEC"/>
    <w:rsid w:val="007E41BE"/>
    <w:rsid w:val="007E4DB6"/>
    <w:rsid w:val="007E6733"/>
    <w:rsid w:val="007E7CD4"/>
    <w:rsid w:val="007F1289"/>
    <w:rsid w:val="007F12AC"/>
    <w:rsid w:val="007F4501"/>
    <w:rsid w:val="007F4D0A"/>
    <w:rsid w:val="007F60DF"/>
    <w:rsid w:val="00801800"/>
    <w:rsid w:val="00801861"/>
    <w:rsid w:val="00801B5B"/>
    <w:rsid w:val="00805A30"/>
    <w:rsid w:val="008216E7"/>
    <w:rsid w:val="00825BE6"/>
    <w:rsid w:val="008276B4"/>
    <w:rsid w:val="00831927"/>
    <w:rsid w:val="00837288"/>
    <w:rsid w:val="00841BD3"/>
    <w:rsid w:val="0084273D"/>
    <w:rsid w:val="00844E3F"/>
    <w:rsid w:val="00845A83"/>
    <w:rsid w:val="00845C96"/>
    <w:rsid w:val="00846BB9"/>
    <w:rsid w:val="008649D5"/>
    <w:rsid w:val="008712BB"/>
    <w:rsid w:val="008830E7"/>
    <w:rsid w:val="00890EDE"/>
    <w:rsid w:val="00892B38"/>
    <w:rsid w:val="008A1741"/>
    <w:rsid w:val="008A2484"/>
    <w:rsid w:val="008A52F3"/>
    <w:rsid w:val="008C26D9"/>
    <w:rsid w:val="008C6D50"/>
    <w:rsid w:val="008C7167"/>
    <w:rsid w:val="008C7503"/>
    <w:rsid w:val="008D1617"/>
    <w:rsid w:val="008D330F"/>
    <w:rsid w:val="008D48C1"/>
    <w:rsid w:val="008E6315"/>
    <w:rsid w:val="008F0480"/>
    <w:rsid w:val="008F07FC"/>
    <w:rsid w:val="008F11E0"/>
    <w:rsid w:val="008F3EA7"/>
    <w:rsid w:val="008F78BC"/>
    <w:rsid w:val="008F7B63"/>
    <w:rsid w:val="008F7D6A"/>
    <w:rsid w:val="00901C86"/>
    <w:rsid w:val="00903603"/>
    <w:rsid w:val="009054CB"/>
    <w:rsid w:val="00911F8D"/>
    <w:rsid w:val="00912F94"/>
    <w:rsid w:val="009171BC"/>
    <w:rsid w:val="0092497E"/>
    <w:rsid w:val="0092590B"/>
    <w:rsid w:val="00925A95"/>
    <w:rsid w:val="00925BF3"/>
    <w:rsid w:val="00925E60"/>
    <w:rsid w:val="009264B3"/>
    <w:rsid w:val="00931E4C"/>
    <w:rsid w:val="009365E0"/>
    <w:rsid w:val="00942BA2"/>
    <w:rsid w:val="009432B7"/>
    <w:rsid w:val="00944C86"/>
    <w:rsid w:val="00947C02"/>
    <w:rsid w:val="00950BE6"/>
    <w:rsid w:val="00957DE8"/>
    <w:rsid w:val="00960ECB"/>
    <w:rsid w:val="009615D6"/>
    <w:rsid w:val="00967855"/>
    <w:rsid w:val="00971CD1"/>
    <w:rsid w:val="00974709"/>
    <w:rsid w:val="00980736"/>
    <w:rsid w:val="00981A39"/>
    <w:rsid w:val="00982D56"/>
    <w:rsid w:val="00982ED3"/>
    <w:rsid w:val="00983DBF"/>
    <w:rsid w:val="00987097"/>
    <w:rsid w:val="00991123"/>
    <w:rsid w:val="00991CAB"/>
    <w:rsid w:val="009A3A9C"/>
    <w:rsid w:val="009B046C"/>
    <w:rsid w:val="009B13FA"/>
    <w:rsid w:val="009B1E2D"/>
    <w:rsid w:val="009B7756"/>
    <w:rsid w:val="009C59FB"/>
    <w:rsid w:val="009C6F3B"/>
    <w:rsid w:val="009D1467"/>
    <w:rsid w:val="009D328D"/>
    <w:rsid w:val="009E25C0"/>
    <w:rsid w:val="009E4FA6"/>
    <w:rsid w:val="009E7D93"/>
    <w:rsid w:val="009F3C34"/>
    <w:rsid w:val="009F462C"/>
    <w:rsid w:val="009F5C33"/>
    <w:rsid w:val="00A026F0"/>
    <w:rsid w:val="00A03EAC"/>
    <w:rsid w:val="00A04DBB"/>
    <w:rsid w:val="00A06F82"/>
    <w:rsid w:val="00A07EA0"/>
    <w:rsid w:val="00A11CA6"/>
    <w:rsid w:val="00A20C49"/>
    <w:rsid w:val="00A22932"/>
    <w:rsid w:val="00A269CA"/>
    <w:rsid w:val="00A336EE"/>
    <w:rsid w:val="00A33F46"/>
    <w:rsid w:val="00A3427E"/>
    <w:rsid w:val="00A359AC"/>
    <w:rsid w:val="00A40F83"/>
    <w:rsid w:val="00A410FB"/>
    <w:rsid w:val="00A41413"/>
    <w:rsid w:val="00A431E6"/>
    <w:rsid w:val="00A436E8"/>
    <w:rsid w:val="00A45FB1"/>
    <w:rsid w:val="00A46A0F"/>
    <w:rsid w:val="00A46CCC"/>
    <w:rsid w:val="00A47996"/>
    <w:rsid w:val="00A51CFE"/>
    <w:rsid w:val="00A5204D"/>
    <w:rsid w:val="00A61605"/>
    <w:rsid w:val="00A65F97"/>
    <w:rsid w:val="00A73B04"/>
    <w:rsid w:val="00A76C13"/>
    <w:rsid w:val="00A84FD0"/>
    <w:rsid w:val="00A92E79"/>
    <w:rsid w:val="00A950B6"/>
    <w:rsid w:val="00A95D45"/>
    <w:rsid w:val="00AA3EA8"/>
    <w:rsid w:val="00AB41C1"/>
    <w:rsid w:val="00AB4CF2"/>
    <w:rsid w:val="00AB6CCA"/>
    <w:rsid w:val="00AC223F"/>
    <w:rsid w:val="00AC33B1"/>
    <w:rsid w:val="00AD12A8"/>
    <w:rsid w:val="00AD1B11"/>
    <w:rsid w:val="00AE023F"/>
    <w:rsid w:val="00AE7BC5"/>
    <w:rsid w:val="00AF3577"/>
    <w:rsid w:val="00AF35F9"/>
    <w:rsid w:val="00B0424C"/>
    <w:rsid w:val="00B05C7D"/>
    <w:rsid w:val="00B15D57"/>
    <w:rsid w:val="00B16347"/>
    <w:rsid w:val="00B17D6E"/>
    <w:rsid w:val="00B2435E"/>
    <w:rsid w:val="00B346C3"/>
    <w:rsid w:val="00B4005C"/>
    <w:rsid w:val="00B41007"/>
    <w:rsid w:val="00B4227E"/>
    <w:rsid w:val="00B4471C"/>
    <w:rsid w:val="00B451A6"/>
    <w:rsid w:val="00B545AD"/>
    <w:rsid w:val="00B56D6E"/>
    <w:rsid w:val="00B64347"/>
    <w:rsid w:val="00B65DC6"/>
    <w:rsid w:val="00B67AC2"/>
    <w:rsid w:val="00B722DE"/>
    <w:rsid w:val="00B751E3"/>
    <w:rsid w:val="00B75BA6"/>
    <w:rsid w:val="00B76C44"/>
    <w:rsid w:val="00B8184A"/>
    <w:rsid w:val="00B82283"/>
    <w:rsid w:val="00B828D8"/>
    <w:rsid w:val="00B83F87"/>
    <w:rsid w:val="00B87CDC"/>
    <w:rsid w:val="00B910C1"/>
    <w:rsid w:val="00BA2CA4"/>
    <w:rsid w:val="00BA2EFA"/>
    <w:rsid w:val="00BA3DBC"/>
    <w:rsid w:val="00BA707A"/>
    <w:rsid w:val="00BB1AFB"/>
    <w:rsid w:val="00BB27AE"/>
    <w:rsid w:val="00BB2DA2"/>
    <w:rsid w:val="00BB56DC"/>
    <w:rsid w:val="00BC1EB0"/>
    <w:rsid w:val="00BE183D"/>
    <w:rsid w:val="00BF24C2"/>
    <w:rsid w:val="00BF5B2A"/>
    <w:rsid w:val="00BF5D7A"/>
    <w:rsid w:val="00C01C2E"/>
    <w:rsid w:val="00C02D33"/>
    <w:rsid w:val="00C04B53"/>
    <w:rsid w:val="00C1232C"/>
    <w:rsid w:val="00C27C6B"/>
    <w:rsid w:val="00C3594D"/>
    <w:rsid w:val="00C36442"/>
    <w:rsid w:val="00C400CE"/>
    <w:rsid w:val="00C410FD"/>
    <w:rsid w:val="00C435F5"/>
    <w:rsid w:val="00C457DE"/>
    <w:rsid w:val="00C47DD3"/>
    <w:rsid w:val="00C5316F"/>
    <w:rsid w:val="00C53562"/>
    <w:rsid w:val="00C539FB"/>
    <w:rsid w:val="00C66AA3"/>
    <w:rsid w:val="00C66E57"/>
    <w:rsid w:val="00C724D7"/>
    <w:rsid w:val="00C74150"/>
    <w:rsid w:val="00C75594"/>
    <w:rsid w:val="00C85982"/>
    <w:rsid w:val="00CA0466"/>
    <w:rsid w:val="00CA246D"/>
    <w:rsid w:val="00CA50D9"/>
    <w:rsid w:val="00CB3054"/>
    <w:rsid w:val="00CB5636"/>
    <w:rsid w:val="00CB5F30"/>
    <w:rsid w:val="00CC3EE5"/>
    <w:rsid w:val="00CC6E47"/>
    <w:rsid w:val="00CE425C"/>
    <w:rsid w:val="00CE58AC"/>
    <w:rsid w:val="00CF21CE"/>
    <w:rsid w:val="00CF5A80"/>
    <w:rsid w:val="00D045EE"/>
    <w:rsid w:val="00D05091"/>
    <w:rsid w:val="00D10CA6"/>
    <w:rsid w:val="00D10F21"/>
    <w:rsid w:val="00D11529"/>
    <w:rsid w:val="00D134CF"/>
    <w:rsid w:val="00D1573B"/>
    <w:rsid w:val="00D20358"/>
    <w:rsid w:val="00D24806"/>
    <w:rsid w:val="00D34040"/>
    <w:rsid w:val="00D34E69"/>
    <w:rsid w:val="00D36C78"/>
    <w:rsid w:val="00D375EE"/>
    <w:rsid w:val="00D55AE8"/>
    <w:rsid w:val="00D56056"/>
    <w:rsid w:val="00D568A2"/>
    <w:rsid w:val="00D6085F"/>
    <w:rsid w:val="00D62699"/>
    <w:rsid w:val="00D778E9"/>
    <w:rsid w:val="00D812BF"/>
    <w:rsid w:val="00D82620"/>
    <w:rsid w:val="00D85707"/>
    <w:rsid w:val="00D9725F"/>
    <w:rsid w:val="00DA01B1"/>
    <w:rsid w:val="00DA11A2"/>
    <w:rsid w:val="00DA14ED"/>
    <w:rsid w:val="00DA26D6"/>
    <w:rsid w:val="00DB2EF1"/>
    <w:rsid w:val="00DB3DE1"/>
    <w:rsid w:val="00DB5DA0"/>
    <w:rsid w:val="00DB716C"/>
    <w:rsid w:val="00DC5C85"/>
    <w:rsid w:val="00DC7C5D"/>
    <w:rsid w:val="00DD4236"/>
    <w:rsid w:val="00DD44F1"/>
    <w:rsid w:val="00DD6957"/>
    <w:rsid w:val="00DD6E7A"/>
    <w:rsid w:val="00DE3067"/>
    <w:rsid w:val="00DF3EEE"/>
    <w:rsid w:val="00DF75E1"/>
    <w:rsid w:val="00E027BC"/>
    <w:rsid w:val="00E045BE"/>
    <w:rsid w:val="00E0787B"/>
    <w:rsid w:val="00E10F0D"/>
    <w:rsid w:val="00E14EA5"/>
    <w:rsid w:val="00E2070E"/>
    <w:rsid w:val="00E21133"/>
    <w:rsid w:val="00E2327E"/>
    <w:rsid w:val="00E266EF"/>
    <w:rsid w:val="00E2696C"/>
    <w:rsid w:val="00E326A8"/>
    <w:rsid w:val="00E47428"/>
    <w:rsid w:val="00E56C8E"/>
    <w:rsid w:val="00E5716B"/>
    <w:rsid w:val="00E57F1F"/>
    <w:rsid w:val="00E66B9F"/>
    <w:rsid w:val="00E70A6A"/>
    <w:rsid w:val="00E710D6"/>
    <w:rsid w:val="00E73DA4"/>
    <w:rsid w:val="00E76E45"/>
    <w:rsid w:val="00E777C9"/>
    <w:rsid w:val="00E81DA6"/>
    <w:rsid w:val="00E84212"/>
    <w:rsid w:val="00E9086C"/>
    <w:rsid w:val="00E90AAA"/>
    <w:rsid w:val="00E91A0F"/>
    <w:rsid w:val="00E94A71"/>
    <w:rsid w:val="00E94CBF"/>
    <w:rsid w:val="00EA03CE"/>
    <w:rsid w:val="00EA23E5"/>
    <w:rsid w:val="00EA4E2E"/>
    <w:rsid w:val="00EB2417"/>
    <w:rsid w:val="00EB2CCB"/>
    <w:rsid w:val="00EB7A25"/>
    <w:rsid w:val="00EC0F3E"/>
    <w:rsid w:val="00EC57A7"/>
    <w:rsid w:val="00ED0817"/>
    <w:rsid w:val="00ED7DD9"/>
    <w:rsid w:val="00EE445B"/>
    <w:rsid w:val="00EF3113"/>
    <w:rsid w:val="00EF3F84"/>
    <w:rsid w:val="00F176AC"/>
    <w:rsid w:val="00F22F5B"/>
    <w:rsid w:val="00F26F28"/>
    <w:rsid w:val="00F27714"/>
    <w:rsid w:val="00F3276E"/>
    <w:rsid w:val="00F33D3C"/>
    <w:rsid w:val="00F37A91"/>
    <w:rsid w:val="00F408A0"/>
    <w:rsid w:val="00F45CF5"/>
    <w:rsid w:val="00F47DB0"/>
    <w:rsid w:val="00F50C3F"/>
    <w:rsid w:val="00F50E34"/>
    <w:rsid w:val="00F51AFB"/>
    <w:rsid w:val="00F53EF7"/>
    <w:rsid w:val="00F54BF2"/>
    <w:rsid w:val="00F775AC"/>
    <w:rsid w:val="00F85E5A"/>
    <w:rsid w:val="00F9214D"/>
    <w:rsid w:val="00F92355"/>
    <w:rsid w:val="00F93963"/>
    <w:rsid w:val="00F94291"/>
    <w:rsid w:val="00FA298A"/>
    <w:rsid w:val="00FA5B66"/>
    <w:rsid w:val="00FB0B9C"/>
    <w:rsid w:val="00FB2235"/>
    <w:rsid w:val="00FB30EB"/>
    <w:rsid w:val="00FB7982"/>
    <w:rsid w:val="00FC0734"/>
    <w:rsid w:val="00FC0FC5"/>
    <w:rsid w:val="00FC339A"/>
    <w:rsid w:val="00FC588F"/>
    <w:rsid w:val="00FC60AE"/>
    <w:rsid w:val="00FC6879"/>
    <w:rsid w:val="00FD43C2"/>
    <w:rsid w:val="00FD57CC"/>
    <w:rsid w:val="00FE1B30"/>
    <w:rsid w:val="00FE7B44"/>
    <w:rsid w:val="00FF5D5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73"/>
    <o:shapelayout v:ext="edit">
      <o:idmap v:ext="edit" data="1"/>
    </o:shapelayout>
  </w:shapeDefaults>
  <w:decimalSymbol w:val="."/>
  <w:listSeparator w:val=","/>
  <w15:docId w15:val="{1C9538CE-0F6B-46EE-8E37-E45A450BF8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Batang" w:hAnsi="Times New Roman" w:cs="Times New Roman"/>
        <w:lang w:val="en-AU" w:eastAsia="en-AU"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765E0"/>
    <w:pPr>
      <w:spacing w:line="360" w:lineRule="auto"/>
      <w:jc w:val="both"/>
    </w:pPr>
    <w:rPr>
      <w:sz w:val="24"/>
      <w:lang w:eastAsia="en-US"/>
    </w:rPr>
  </w:style>
  <w:style w:type="paragraph" w:styleId="Heading1">
    <w:name w:val="heading 1"/>
    <w:basedOn w:val="Normal"/>
    <w:next w:val="ParaNumbering"/>
    <w:qFormat/>
    <w:pPr>
      <w:keepNext/>
      <w:spacing w:before="240" w:after="60" w:line="240" w:lineRule="auto"/>
      <w:outlineLvl w:val="0"/>
    </w:pPr>
    <w:rPr>
      <w:b/>
      <w:caps/>
      <w:kern w:val="28"/>
    </w:rPr>
  </w:style>
  <w:style w:type="paragraph" w:styleId="Heading2">
    <w:name w:val="heading 2"/>
    <w:basedOn w:val="Normal"/>
    <w:next w:val="ParaNumbering"/>
    <w:link w:val="Heading2Char"/>
    <w:qFormat/>
    <w:pPr>
      <w:keepNext/>
      <w:spacing w:before="240" w:after="60" w:line="240" w:lineRule="auto"/>
      <w:outlineLvl w:val="1"/>
    </w:pPr>
    <w:rPr>
      <w:b/>
      <w:szCs w:val="24"/>
    </w:rPr>
  </w:style>
  <w:style w:type="paragraph" w:styleId="Heading3">
    <w:name w:val="heading 3"/>
    <w:basedOn w:val="Normal"/>
    <w:next w:val="ParaNumbering"/>
    <w:qFormat/>
    <w:pPr>
      <w:keepNext/>
      <w:spacing w:before="240" w:after="60" w:line="240" w:lineRule="auto"/>
      <w:outlineLvl w:val="2"/>
    </w:pPr>
    <w:rPr>
      <w:b/>
      <w:i/>
    </w:rPr>
  </w:style>
  <w:style w:type="paragraph" w:styleId="Heading4">
    <w:name w:val="heading 4"/>
    <w:basedOn w:val="Normal"/>
    <w:next w:val="ParaNumbering"/>
    <w:qFormat/>
    <w:rsid w:val="009F5C33"/>
    <w:pPr>
      <w:keepNext/>
      <w:spacing w:before="240" w:after="60" w:line="240" w:lineRule="auto"/>
      <w:jc w:val="left"/>
      <w:outlineLvl w:val="3"/>
    </w:pPr>
    <w:rPr>
      <w:i/>
      <w:szCs w:val="24"/>
    </w:rPr>
  </w:style>
  <w:style w:type="paragraph" w:styleId="Heading5">
    <w:name w:val="heading 5"/>
    <w:basedOn w:val="fcHeading1"/>
    <w:next w:val="ParaNumbering"/>
    <w:qFormat/>
    <w:rsid w:val="000E7BAE"/>
    <w:pPr>
      <w:outlineLvl w:val="4"/>
    </w:pPr>
    <w:rPr>
      <w:caps w:val="0"/>
    </w:rPr>
  </w:style>
  <w:style w:type="paragraph" w:styleId="Heading6">
    <w:name w:val="heading 6"/>
    <w:basedOn w:val="fcHeading2"/>
    <w:next w:val="ParaNumbering"/>
    <w:qFormat/>
    <w:pPr>
      <w:outlineLvl w:val="5"/>
    </w:pPr>
  </w:style>
  <w:style w:type="paragraph" w:styleId="Heading7">
    <w:name w:val="heading 7"/>
    <w:basedOn w:val="fcHeading3"/>
    <w:next w:val="ParaNumbering"/>
    <w:qFormat/>
    <w:rsid w:val="00635B36"/>
    <w:pPr>
      <w:outlineLvl w:val="6"/>
    </w:pPr>
    <w:rPr>
      <w:i w:val="0"/>
    </w:rPr>
  </w:style>
  <w:style w:type="paragraph" w:styleId="Heading8">
    <w:name w:val="heading 8"/>
    <w:basedOn w:val="fcHeading4"/>
    <w:next w:val="ParaNumbering"/>
    <w:rsid w:val="00635B36"/>
    <w:pPr>
      <w:outlineLvl w:val="7"/>
    </w:pPr>
    <w:rPr>
      <w:smallCaps w:val="0"/>
    </w:rPr>
  </w:style>
  <w:style w:type="paragraph" w:styleId="Heading9">
    <w:name w:val="heading 9"/>
    <w:basedOn w:val="fcHeading5"/>
    <w:next w:val="ParaNumbering"/>
    <w:rsid w:val="00635B36"/>
    <w:pPr>
      <w:outlineLvl w:val="8"/>
    </w:pPr>
    <w:rPr>
      <w:cap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dersPage">
    <w:name w:val="OrdersPage"/>
    <w:basedOn w:val="Normal"/>
    <w:semiHidden/>
    <w:pPr>
      <w:spacing w:line="240" w:lineRule="auto"/>
    </w:pPr>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paragraph" w:customStyle="1" w:styleId="ParaNumbering">
    <w:name w:val="ParaNumbering"/>
    <w:basedOn w:val="Normal"/>
    <w:rsid w:val="00967855"/>
    <w:pPr>
      <w:numPr>
        <w:numId w:val="1"/>
      </w:numPr>
      <w:spacing w:before="180" w:after="180"/>
    </w:pPr>
  </w:style>
  <w:style w:type="paragraph" w:customStyle="1" w:styleId="Quote1">
    <w:name w:val="Quote1"/>
    <w:rsid w:val="00960ECB"/>
    <w:pPr>
      <w:widowControl w:val="0"/>
      <w:spacing w:after="180"/>
      <w:ind w:left="737" w:right="737"/>
      <w:jc w:val="both"/>
    </w:pPr>
    <w:rPr>
      <w:sz w:val="22"/>
      <w:lang w:eastAsia="en-US"/>
    </w:rPr>
  </w:style>
  <w:style w:type="paragraph" w:customStyle="1" w:styleId="NormalHeadings">
    <w:name w:val="Normal Headings"/>
    <w:link w:val="NormalHeadingsChar"/>
    <w:pPr>
      <w:widowControl w:val="0"/>
      <w:jc w:val="both"/>
    </w:pPr>
    <w:rPr>
      <w:b/>
      <w:sz w:val="24"/>
      <w:lang w:eastAsia="en-US"/>
    </w:rPr>
  </w:style>
  <w:style w:type="table" w:styleId="TableGrid">
    <w:name w:val="Table Grid"/>
    <w:basedOn w:val="TableNormal"/>
    <w:semiHidden/>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aNeutralStyle">
    <w:name w:val="Media Neutral Style"/>
    <w:basedOn w:val="Normal"/>
    <w:next w:val="Normal1linespace"/>
    <w:semiHidden/>
    <w:pPr>
      <w:spacing w:before="20" w:after="20"/>
      <w:jc w:val="center"/>
    </w:pPr>
    <w:rPr>
      <w:b/>
      <w:sz w:val="26"/>
    </w:rPr>
  </w:style>
  <w:style w:type="paragraph" w:customStyle="1" w:styleId="Normal1linespace">
    <w:name w:val="Normal1linespace"/>
    <w:basedOn w:val="Normal"/>
    <w:pPr>
      <w:spacing w:line="240" w:lineRule="auto"/>
    </w:pPr>
  </w:style>
  <w:style w:type="paragraph" w:styleId="BalloonText">
    <w:name w:val="Balloon Text"/>
    <w:basedOn w:val="Normal"/>
    <w:semiHidden/>
    <w:rPr>
      <w:rFonts w:ascii="Tahoma" w:hAnsi="Tahoma" w:cs="Tahoma"/>
      <w:sz w:val="16"/>
      <w:szCs w:val="16"/>
    </w:rPr>
  </w:style>
  <w:style w:type="paragraph" w:customStyle="1" w:styleId="StyleBold">
    <w:name w:val="Style Bold"/>
    <w:basedOn w:val="Normal"/>
    <w:next w:val="BodyText"/>
    <w:semiHidden/>
    <w:rPr>
      <w:szCs w:val="24"/>
    </w:rPr>
  </w:style>
  <w:style w:type="paragraph" w:customStyle="1" w:styleId="Bold">
    <w:name w:val="Bold"/>
    <w:basedOn w:val="Normal"/>
    <w:next w:val="Normal"/>
    <w:semiHidden/>
    <w:pPr>
      <w:suppressAutoHyphens/>
      <w:jc w:val="left"/>
    </w:pPr>
    <w:rPr>
      <w:b/>
      <w:szCs w:val="24"/>
    </w:rPr>
  </w:style>
  <w:style w:type="paragraph" w:customStyle="1" w:styleId="Certify">
    <w:name w:val="Certify"/>
    <w:basedOn w:val="Normal"/>
    <w:link w:val="CertifyChar"/>
    <w:semiHidden/>
    <w:pPr>
      <w:spacing w:line="240" w:lineRule="auto"/>
    </w:pPr>
    <w:rPr>
      <w:szCs w:val="24"/>
    </w:rPr>
  </w:style>
  <w:style w:type="character" w:styleId="CommentReference">
    <w:name w:val="annotation reference"/>
    <w:semiHidden/>
    <w:rPr>
      <w:sz w:val="16"/>
      <w:szCs w:val="16"/>
    </w:rPr>
  </w:style>
  <w:style w:type="paragraph" w:styleId="CommentText">
    <w:name w:val="annotation text"/>
    <w:basedOn w:val="Normal"/>
    <w:semiHidden/>
    <w:rPr>
      <w:sz w:val="20"/>
    </w:rPr>
  </w:style>
  <w:style w:type="paragraph" w:styleId="CommentSubject">
    <w:name w:val="annotation subject"/>
    <w:basedOn w:val="CommentText"/>
    <w:next w:val="CommentText"/>
    <w:semiHidden/>
    <w:rPr>
      <w:b/>
      <w:bCs/>
    </w:rPr>
  </w:style>
  <w:style w:type="paragraph" w:customStyle="1" w:styleId="FCBullets">
    <w:name w:val="FCBullets"/>
    <w:basedOn w:val="Normal"/>
    <w:rsid w:val="001C2FE0"/>
    <w:pPr>
      <w:numPr>
        <w:numId w:val="25"/>
      </w:numPr>
      <w:spacing w:before="60" w:after="60"/>
    </w:pPr>
  </w:style>
  <w:style w:type="paragraph" w:customStyle="1" w:styleId="JudgeStyle">
    <w:name w:val="JudgeStyle"/>
    <w:basedOn w:val="Heading1"/>
    <w:next w:val="ParaNumbering"/>
    <w:semiHidden/>
  </w:style>
  <w:style w:type="paragraph" w:styleId="TOC1">
    <w:name w:val="toc 1"/>
    <w:basedOn w:val="Normal"/>
    <w:next w:val="Normal"/>
    <w:autoRedefine/>
    <w:semiHidden/>
    <w:pPr>
      <w:tabs>
        <w:tab w:val="right" w:leader="dot" w:pos="9071"/>
      </w:tabs>
    </w:pPr>
  </w:style>
  <w:style w:type="paragraph" w:styleId="TOC2">
    <w:name w:val="toc 2"/>
    <w:basedOn w:val="Normal"/>
    <w:next w:val="Normal"/>
    <w:autoRedefine/>
    <w:semiHidden/>
    <w:pPr>
      <w:tabs>
        <w:tab w:val="right" w:leader="dot" w:pos="9071"/>
      </w:tabs>
      <w:ind w:left="240"/>
    </w:pPr>
  </w:style>
  <w:style w:type="paragraph" w:styleId="TOC3">
    <w:name w:val="toc 3"/>
    <w:basedOn w:val="Normal"/>
    <w:next w:val="Normal"/>
    <w:autoRedefine/>
    <w:semiHidden/>
    <w:pPr>
      <w:tabs>
        <w:tab w:val="right" w:leader="dot" w:pos="9071"/>
      </w:tabs>
      <w:ind w:left="480"/>
    </w:pPr>
  </w:style>
  <w:style w:type="paragraph" w:styleId="TOC4">
    <w:name w:val="toc 4"/>
    <w:basedOn w:val="Normal"/>
    <w:next w:val="Normal"/>
    <w:autoRedefine/>
    <w:semiHidden/>
    <w:pPr>
      <w:tabs>
        <w:tab w:val="right" w:leader="dot" w:pos="9071"/>
      </w:tabs>
      <w:ind w:left="720"/>
    </w:pPr>
  </w:style>
  <w:style w:type="paragraph" w:customStyle="1" w:styleId="NoNum">
    <w:name w:val="No Num"/>
    <w:basedOn w:val="Normal1linespace"/>
    <w:pPr>
      <w:spacing w:before="120" w:after="180" w:line="360" w:lineRule="auto"/>
    </w:pPr>
  </w:style>
  <w:style w:type="paragraph" w:customStyle="1" w:styleId="AppealTable">
    <w:name w:val="AppealTable"/>
    <w:basedOn w:val="Normal"/>
    <w:unhideWhenUsed/>
    <w:pPr>
      <w:spacing w:line="240" w:lineRule="auto"/>
      <w:jc w:val="left"/>
    </w:pPr>
    <w:rPr>
      <w:b/>
      <w:caps/>
      <w:sz w:val="22"/>
      <w:szCs w:val="22"/>
    </w:rPr>
  </w:style>
  <w:style w:type="paragraph" w:customStyle="1" w:styleId="Quote3">
    <w:name w:val="Quote3"/>
    <w:basedOn w:val="Quote1"/>
    <w:pPr>
      <w:ind w:left="2160"/>
    </w:pPr>
  </w:style>
  <w:style w:type="paragraph" w:customStyle="1" w:styleId="Quote2">
    <w:name w:val="Quote2"/>
    <w:basedOn w:val="Quote1"/>
    <w:pPr>
      <w:ind w:left="1440"/>
    </w:pPr>
  </w:style>
  <w:style w:type="paragraph" w:customStyle="1" w:styleId="FTOC1">
    <w:name w:val="FTOC 1"/>
    <w:basedOn w:val="Normal"/>
    <w:semiHidden/>
    <w:rsid w:val="00681ADF"/>
    <w:pPr>
      <w:tabs>
        <w:tab w:val="right" w:leader="dot" w:pos="9072"/>
      </w:tabs>
      <w:spacing w:before="120" w:after="60" w:line="240" w:lineRule="auto"/>
      <w:jc w:val="left"/>
    </w:pPr>
    <w:rPr>
      <w:b/>
      <w:caps/>
      <w:kern w:val="28"/>
    </w:rPr>
  </w:style>
  <w:style w:type="paragraph" w:customStyle="1" w:styleId="ListNo1">
    <w:name w:val="List No 1"/>
    <w:basedOn w:val="Normal"/>
    <w:rsid w:val="0052098C"/>
    <w:pPr>
      <w:numPr>
        <w:numId w:val="22"/>
      </w:numPr>
      <w:spacing w:before="60" w:after="60"/>
    </w:pPr>
  </w:style>
  <w:style w:type="paragraph" w:customStyle="1" w:styleId="FTOC2">
    <w:name w:val="FTOC 2"/>
    <w:basedOn w:val="Normal"/>
    <w:semiHidden/>
    <w:rsid w:val="00681ADF"/>
    <w:pPr>
      <w:tabs>
        <w:tab w:val="right" w:leader="dot" w:pos="9072"/>
      </w:tabs>
      <w:spacing w:before="120" w:after="60" w:line="240" w:lineRule="auto"/>
      <w:ind w:left="238"/>
      <w:jc w:val="left"/>
    </w:pPr>
    <w:rPr>
      <w:b/>
    </w:rPr>
  </w:style>
  <w:style w:type="paragraph" w:customStyle="1" w:styleId="FTOC3">
    <w:name w:val="FTOC 3"/>
    <w:basedOn w:val="Normal"/>
    <w:semiHidden/>
    <w:rsid w:val="00681ADF"/>
    <w:pPr>
      <w:tabs>
        <w:tab w:val="right" w:leader="dot" w:pos="9072"/>
      </w:tabs>
      <w:spacing w:before="120" w:after="60" w:line="240" w:lineRule="auto"/>
      <w:ind w:left="482"/>
      <w:jc w:val="left"/>
    </w:pPr>
    <w:rPr>
      <w:b/>
      <w:i/>
    </w:rPr>
  </w:style>
  <w:style w:type="paragraph" w:customStyle="1" w:styleId="FTOC4">
    <w:name w:val="FTOC 4"/>
    <w:basedOn w:val="Normal"/>
    <w:semiHidden/>
    <w:rsid w:val="00681ADF"/>
    <w:pPr>
      <w:tabs>
        <w:tab w:val="right" w:leader="dot" w:pos="9072"/>
      </w:tabs>
      <w:spacing w:before="120" w:after="60" w:line="240" w:lineRule="auto"/>
      <w:ind w:left="720"/>
      <w:jc w:val="left"/>
    </w:pPr>
    <w:rPr>
      <w:i/>
    </w:rPr>
  </w:style>
  <w:style w:type="paragraph" w:styleId="TOC5">
    <w:name w:val="toc 5"/>
    <w:basedOn w:val="Normal"/>
    <w:next w:val="Normal"/>
    <w:autoRedefine/>
    <w:semiHidden/>
    <w:pPr>
      <w:tabs>
        <w:tab w:val="right" w:leader="dot" w:pos="9072"/>
      </w:tabs>
      <w:ind w:left="960"/>
    </w:pPr>
  </w:style>
  <w:style w:type="numbering" w:styleId="111111">
    <w:name w:val="Outline List 2"/>
    <w:basedOn w:val="NoList"/>
    <w:semiHidden/>
    <w:pPr>
      <w:numPr>
        <w:numId w:val="12"/>
      </w:numPr>
    </w:pPr>
  </w:style>
  <w:style w:type="numbering" w:styleId="1ai">
    <w:name w:val="Outline List 1"/>
    <w:basedOn w:val="NoList"/>
    <w:semiHidden/>
    <w:pPr>
      <w:numPr>
        <w:numId w:val="13"/>
      </w:numPr>
    </w:pPr>
  </w:style>
  <w:style w:type="numbering" w:styleId="ArticleSection">
    <w:name w:val="Outline List 3"/>
    <w:basedOn w:val="NoList"/>
    <w:semiHidden/>
    <w:pPr>
      <w:numPr>
        <w:numId w:val="14"/>
      </w:numPr>
    </w:pPr>
  </w:style>
  <w:style w:type="paragraph" w:styleId="BodyText">
    <w:name w:val="Body Text"/>
    <w:basedOn w:val="Normal"/>
    <w:link w:val="BodyTextChar"/>
    <w:qFormat/>
    <w:rsid w:val="002B0E91"/>
  </w:style>
  <w:style w:type="paragraph" w:styleId="BodyText2">
    <w:name w:val="Body Text 2"/>
    <w:basedOn w:val="Normal"/>
    <w:semiHidden/>
    <w:pPr>
      <w:spacing w:after="120" w:line="480" w:lineRule="auto"/>
    </w:pPr>
  </w:style>
  <w:style w:type="paragraph" w:styleId="BodyText3">
    <w:name w:val="Body Text 3"/>
    <w:basedOn w:val="Normal"/>
    <w:semiHidden/>
    <w:pPr>
      <w:spacing w:after="120"/>
    </w:pPr>
    <w:rPr>
      <w:sz w:val="16"/>
      <w:szCs w:val="16"/>
    </w:rPr>
  </w:style>
  <w:style w:type="paragraph" w:styleId="BodyTextFirstIndent">
    <w:name w:val="Body Text First Indent"/>
    <w:basedOn w:val="BodyText"/>
    <w:semiHidden/>
    <w:pPr>
      <w:ind w:firstLine="210"/>
    </w:pPr>
  </w:style>
  <w:style w:type="paragraph" w:styleId="BodyTextIndent">
    <w:name w:val="Body Text Indent"/>
    <w:basedOn w:val="Normal"/>
    <w:semiHidden/>
    <w:pPr>
      <w:spacing w:after="120"/>
      <w:ind w:left="283"/>
    </w:pPr>
  </w:style>
  <w:style w:type="paragraph" w:styleId="BodyTextFirstIndent2">
    <w:name w:val="Body Text First Indent 2"/>
    <w:basedOn w:val="BodyTextIndent"/>
    <w:semiHidden/>
    <w:pPr>
      <w:ind w:firstLine="210"/>
    </w:pPr>
  </w:style>
  <w:style w:type="paragraph" w:styleId="BodyTextIndent2">
    <w:name w:val="Body Text Indent 2"/>
    <w:basedOn w:val="Normal"/>
    <w:semiHidden/>
    <w:pPr>
      <w:spacing w:after="120" w:line="480" w:lineRule="auto"/>
      <w:ind w:left="283"/>
    </w:pPr>
  </w:style>
  <w:style w:type="paragraph" w:styleId="BodyTextIndent3">
    <w:name w:val="Body Text Indent 3"/>
    <w:basedOn w:val="Normal"/>
    <w:semiHidden/>
    <w:pPr>
      <w:spacing w:after="120"/>
      <w:ind w:left="283"/>
    </w:pPr>
    <w:rPr>
      <w:sz w:val="16"/>
      <w:szCs w:val="16"/>
    </w:rPr>
  </w:style>
  <w:style w:type="paragraph" w:styleId="Closing">
    <w:name w:val="Closing"/>
    <w:basedOn w:val="Normal"/>
    <w:semiHidden/>
    <w:pPr>
      <w:ind w:left="4252"/>
    </w:pPr>
  </w:style>
  <w:style w:type="paragraph" w:styleId="Date">
    <w:name w:val="Date"/>
    <w:basedOn w:val="Normal"/>
    <w:next w:val="Normal"/>
    <w:semiHidden/>
  </w:style>
  <w:style w:type="paragraph" w:styleId="E-mailSignature">
    <w:name w:val="E-mail Signature"/>
    <w:basedOn w:val="Normal"/>
    <w:semiHidden/>
  </w:style>
  <w:style w:type="character" w:styleId="Emphasis">
    <w:name w:val="Emphasis"/>
    <w:semiHidden/>
    <w:rPr>
      <w:i/>
      <w:iCs/>
    </w:rPr>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Pr>
      <w:rFonts w:ascii="Arial" w:hAnsi="Arial" w:cs="Arial"/>
      <w:sz w:val="20"/>
    </w:rPr>
  </w:style>
  <w:style w:type="character" w:styleId="FollowedHyperlink">
    <w:name w:val="FollowedHyperlink"/>
    <w:semiHidden/>
    <w:rPr>
      <w:color w:val="800080"/>
      <w:u w:val="single"/>
    </w:rPr>
  </w:style>
  <w:style w:type="character" w:styleId="HTMLAcronym">
    <w:name w:val="HTML Acronym"/>
    <w:basedOn w:val="DefaultParagraphFont"/>
    <w:semiHidden/>
  </w:style>
  <w:style w:type="paragraph" w:styleId="HTMLAddress">
    <w:name w:val="HTML Address"/>
    <w:basedOn w:val="Normal"/>
    <w:semiHidden/>
    <w:rPr>
      <w:i/>
      <w:iCs/>
    </w:rPr>
  </w:style>
  <w:style w:type="character" w:styleId="HTMLCite">
    <w:name w:val="HTML Cite"/>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semiHidden/>
    <w:rPr>
      <w:rFonts w:ascii="Courier New" w:hAnsi="Courier New" w:cs="Courier New"/>
      <w:sz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Hyperlink">
    <w:name w:val="Hyperlink"/>
    <w:semiHidden/>
    <w:rPr>
      <w:color w:val="0000FF"/>
      <w:u w:val="single"/>
    </w:rPr>
  </w:style>
  <w:style w:type="character" w:styleId="LineNumber">
    <w:name w:val="line number"/>
    <w:basedOn w:val="DefaultParagraphFont"/>
    <w:semiHidden/>
  </w:style>
  <w:style w:type="paragraph" w:styleId="List">
    <w:name w:val="List"/>
    <w:basedOn w:val="Normal"/>
    <w:semiHidden/>
    <w:pPr>
      <w:ind w:left="283" w:hanging="283"/>
    </w:pPr>
  </w:style>
  <w:style w:type="paragraph" w:styleId="List2">
    <w:name w:val="List 2"/>
    <w:basedOn w:val="Normal"/>
    <w:semiHidden/>
    <w:pPr>
      <w:ind w:left="566" w:hanging="283"/>
    </w:pPr>
  </w:style>
  <w:style w:type="paragraph" w:styleId="List3">
    <w:name w:val="List 3"/>
    <w:basedOn w:val="Normal"/>
    <w:semiHidden/>
    <w:pPr>
      <w:ind w:left="849" w:hanging="283"/>
    </w:pPr>
  </w:style>
  <w:style w:type="paragraph" w:styleId="List4">
    <w:name w:val="List 4"/>
    <w:basedOn w:val="Normal"/>
    <w:semiHidden/>
    <w:pPr>
      <w:ind w:left="1132" w:hanging="283"/>
    </w:pPr>
  </w:style>
  <w:style w:type="paragraph" w:styleId="List5">
    <w:name w:val="List 5"/>
    <w:basedOn w:val="Normal"/>
    <w:semiHidden/>
    <w:pPr>
      <w:ind w:left="1415" w:hanging="283"/>
    </w:pPr>
  </w:style>
  <w:style w:type="paragraph" w:styleId="ListBullet">
    <w:name w:val="List Bullet"/>
    <w:basedOn w:val="Normal"/>
    <w:semiHidden/>
    <w:pPr>
      <w:numPr>
        <w:numId w:val="2"/>
      </w:numPr>
    </w:pPr>
  </w:style>
  <w:style w:type="paragraph" w:styleId="ListBullet2">
    <w:name w:val="List Bullet 2"/>
    <w:basedOn w:val="Normal"/>
    <w:semiHidden/>
    <w:pPr>
      <w:numPr>
        <w:numId w:val="3"/>
      </w:numPr>
    </w:pPr>
  </w:style>
  <w:style w:type="paragraph" w:styleId="ListBullet3">
    <w:name w:val="List Bullet 3"/>
    <w:basedOn w:val="Normal"/>
    <w:semiHidden/>
    <w:pPr>
      <w:numPr>
        <w:numId w:val="4"/>
      </w:numPr>
    </w:pPr>
  </w:style>
  <w:style w:type="paragraph" w:styleId="ListBullet4">
    <w:name w:val="List Bullet 4"/>
    <w:basedOn w:val="Normal"/>
    <w:semiHidden/>
    <w:pPr>
      <w:numPr>
        <w:numId w:val="5"/>
      </w:numPr>
    </w:pPr>
  </w:style>
  <w:style w:type="paragraph" w:styleId="ListBullet5">
    <w:name w:val="List Bullet 5"/>
    <w:basedOn w:val="Normal"/>
    <w:semiHidden/>
    <w:pPr>
      <w:numPr>
        <w:numId w:val="6"/>
      </w:numPr>
    </w:pPr>
  </w:style>
  <w:style w:type="paragraph" w:styleId="ListContinue">
    <w:name w:val="List Continue"/>
    <w:basedOn w:val="Normal"/>
    <w:semiHidden/>
    <w:pPr>
      <w:spacing w:after="120"/>
      <w:ind w:left="283"/>
    </w:pPr>
  </w:style>
  <w:style w:type="paragraph" w:styleId="ListContinue2">
    <w:name w:val="List Continue 2"/>
    <w:basedOn w:val="Normal"/>
    <w:semiHidden/>
    <w:pPr>
      <w:spacing w:after="120"/>
      <w:ind w:left="566"/>
    </w:pPr>
  </w:style>
  <w:style w:type="paragraph" w:styleId="ListContinue3">
    <w:name w:val="List Continue 3"/>
    <w:basedOn w:val="Normal"/>
    <w:semiHidden/>
    <w:pPr>
      <w:spacing w:after="120"/>
      <w:ind w:left="849"/>
    </w:pPr>
  </w:style>
  <w:style w:type="paragraph" w:styleId="ListContinue4">
    <w:name w:val="List Continue 4"/>
    <w:basedOn w:val="Normal"/>
    <w:semiHidden/>
    <w:pPr>
      <w:spacing w:after="120"/>
      <w:ind w:left="1132"/>
    </w:pPr>
  </w:style>
  <w:style w:type="paragraph" w:styleId="ListContinue5">
    <w:name w:val="List Continue 5"/>
    <w:basedOn w:val="Normal"/>
    <w:semiHidden/>
    <w:pPr>
      <w:spacing w:after="120"/>
      <w:ind w:left="1415"/>
    </w:pPr>
  </w:style>
  <w:style w:type="paragraph" w:styleId="ListNumber">
    <w:name w:val="List Number"/>
    <w:basedOn w:val="Normal"/>
    <w:semiHidden/>
    <w:pPr>
      <w:numPr>
        <w:numId w:val="7"/>
      </w:numPr>
    </w:pPr>
  </w:style>
  <w:style w:type="paragraph" w:styleId="ListNumber2">
    <w:name w:val="List Number 2"/>
    <w:basedOn w:val="Normal"/>
    <w:semiHidden/>
    <w:pPr>
      <w:numPr>
        <w:numId w:val="8"/>
      </w:numPr>
    </w:pPr>
  </w:style>
  <w:style w:type="paragraph" w:styleId="ListNumber3">
    <w:name w:val="List Number 3"/>
    <w:basedOn w:val="Normal"/>
    <w:semiHidden/>
    <w:pPr>
      <w:numPr>
        <w:numId w:val="9"/>
      </w:numPr>
    </w:pPr>
  </w:style>
  <w:style w:type="paragraph" w:styleId="ListNumber4">
    <w:name w:val="List Number 4"/>
    <w:basedOn w:val="Normal"/>
    <w:semiHidden/>
    <w:pPr>
      <w:numPr>
        <w:numId w:val="10"/>
      </w:numPr>
    </w:pPr>
  </w:style>
  <w:style w:type="paragraph" w:styleId="ListNumber5">
    <w:name w:val="List Number 5"/>
    <w:basedOn w:val="Normal"/>
    <w:semiHidden/>
    <w:pPr>
      <w:numPr>
        <w:numId w:val="11"/>
      </w:numPr>
    </w:pPr>
  </w:style>
  <w:style w:type="paragraph" w:styleId="MessageHeader">
    <w:name w:val="Message Header"/>
    <w:basedOn w:val="Normal"/>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semiHidden/>
    <w:rPr>
      <w:szCs w:val="24"/>
    </w:rPr>
  </w:style>
  <w:style w:type="paragraph" w:styleId="NormalIndent">
    <w:name w:val="Normal Indent"/>
    <w:basedOn w:val="Normal"/>
    <w:semiHidden/>
    <w:pPr>
      <w:ind w:left="720"/>
    </w:pPr>
  </w:style>
  <w:style w:type="paragraph" w:styleId="NoteHeading">
    <w:name w:val="Note Heading"/>
    <w:basedOn w:val="Normal"/>
    <w:next w:val="Normal"/>
    <w:semiHidden/>
  </w:style>
  <w:style w:type="character" w:styleId="PageNumber">
    <w:name w:val="page number"/>
    <w:basedOn w:val="DefaultParagraphFont"/>
    <w:semiHidden/>
  </w:style>
  <w:style w:type="paragraph" w:styleId="PlainText">
    <w:name w:val="Plain Text"/>
    <w:basedOn w:val="Normal"/>
    <w:semiHidden/>
    <w:rPr>
      <w:rFonts w:ascii="Courier New" w:hAnsi="Courier New" w:cs="Courier New"/>
      <w:sz w:val="20"/>
    </w:rPr>
  </w:style>
  <w:style w:type="paragraph" w:styleId="Salutation">
    <w:name w:val="Salutation"/>
    <w:basedOn w:val="Normal"/>
    <w:next w:val="Normal"/>
    <w:semiHidden/>
  </w:style>
  <w:style w:type="paragraph" w:styleId="Signature">
    <w:name w:val="Signature"/>
    <w:basedOn w:val="Normal"/>
    <w:semiHidden/>
    <w:pPr>
      <w:ind w:left="4252"/>
    </w:pPr>
  </w:style>
  <w:style w:type="character" w:styleId="Strong">
    <w:name w:val="Strong"/>
    <w:semiHidden/>
    <w:rPr>
      <w:b/>
      <w:bCs/>
    </w:rPr>
  </w:style>
  <w:style w:type="paragraph" w:styleId="Subtitle">
    <w:name w:val="Subtitle"/>
    <w:basedOn w:val="Normal"/>
    <w:semiHidden/>
    <w:pPr>
      <w:spacing w:after="60"/>
      <w:jc w:val="center"/>
      <w:outlineLvl w:val="1"/>
    </w:pPr>
    <w:rPr>
      <w:rFonts w:ascii="Arial" w:hAnsi="Arial" w:cs="Arial"/>
      <w:szCs w:val="24"/>
    </w:rPr>
  </w:style>
  <w:style w:type="table" w:styleId="Table3Deffects1">
    <w:name w:val="Table 3D effects 1"/>
    <w:basedOn w:val="TableNormal"/>
    <w:semiHidden/>
    <w:pPr>
      <w:spacing w:line="360" w:lineRule="auto"/>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pPr>
      <w:spacing w:line="360" w:lineRule="auto"/>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pPr>
      <w:spacing w:line="360" w:lineRule="auto"/>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pPr>
      <w:spacing w:line="360" w:lineRule="auto"/>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pPr>
      <w:spacing w:line="360" w:lineRule="auto"/>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pPr>
      <w:spacing w:line="360" w:lineRule="auto"/>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pPr>
      <w:spacing w:line="360" w:lineRule="auto"/>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pPr>
      <w:spacing w:line="360" w:lineRule="auto"/>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pPr>
      <w:spacing w:line="360" w:lineRule="auto"/>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pPr>
      <w:spacing w:line="360" w:lineRule="auto"/>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pPr>
      <w:spacing w:line="360" w:lineRule="auto"/>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pPr>
      <w:spacing w:line="360" w:lineRule="auto"/>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pPr>
      <w:spacing w:line="360" w:lineRule="auto"/>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pPr>
      <w:spacing w:line="360" w:lineRule="auto"/>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pPr>
      <w:spacing w:line="360" w:lineRule="auto"/>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pPr>
      <w:spacing w:line="360" w:lineRule="auto"/>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pPr>
      <w:spacing w:line="360" w:lineRule="auto"/>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pPr>
      <w:spacing w:line="360" w:lineRule="auto"/>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pPr>
      <w:spacing w:line="360" w:lineRule="auto"/>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pPr>
      <w:spacing w:line="360" w:lineRule="auto"/>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pPr>
      <w:spacing w:line="360" w:lineRule="auto"/>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pPr>
      <w:spacing w:line="36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pPr>
      <w:spacing w:line="360" w:lineRule="auto"/>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pPr>
      <w:spacing w:line="360" w:lineRule="auto"/>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pPr>
      <w:spacing w:line="360" w:lineRule="auto"/>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pPr>
      <w:spacing w:line="360" w:lineRule="auto"/>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pPr>
      <w:spacing w:line="360" w:lineRule="auto"/>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pPr>
      <w:spacing w:line="360" w:lineRule="auto"/>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pPr>
      <w:spacing w:line="360" w:lineRule="auto"/>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pPr>
      <w:spacing w:line="360" w:lineRule="auto"/>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pPr>
      <w:spacing w:line="360" w:lineRule="auto"/>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pPr>
      <w:spacing w:line="360" w:lineRule="auto"/>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pPr>
      <w:spacing w:line="360" w:lineRule="auto"/>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pPr>
      <w:spacing w:line="360" w:lineRule="auto"/>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pPr>
      <w:spacing w:line="360"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TOC1">
    <w:name w:val="bTOC 1"/>
    <w:basedOn w:val="TOC1"/>
    <w:rsid w:val="00323061"/>
    <w:pPr>
      <w:spacing w:before="120" w:after="60" w:line="240" w:lineRule="auto"/>
      <w:jc w:val="left"/>
    </w:pPr>
  </w:style>
  <w:style w:type="paragraph" w:customStyle="1" w:styleId="bTOC2">
    <w:name w:val="bTOC 2"/>
    <w:basedOn w:val="TOC2"/>
    <w:semiHidden/>
    <w:rsid w:val="00323061"/>
    <w:pPr>
      <w:spacing w:before="120" w:after="60" w:line="240" w:lineRule="auto"/>
      <w:ind w:left="238"/>
      <w:jc w:val="left"/>
    </w:pPr>
  </w:style>
  <w:style w:type="paragraph" w:customStyle="1" w:styleId="bTOC3">
    <w:name w:val="bTOC 3"/>
    <w:basedOn w:val="TOC3"/>
    <w:semiHidden/>
    <w:rsid w:val="00323061"/>
    <w:pPr>
      <w:spacing w:before="120" w:after="60" w:line="240" w:lineRule="auto"/>
      <w:ind w:left="482"/>
      <w:jc w:val="left"/>
    </w:pPr>
  </w:style>
  <w:style w:type="paragraph" w:customStyle="1" w:styleId="bTOC4">
    <w:name w:val="bTOC 4"/>
    <w:basedOn w:val="TOC4"/>
    <w:semiHidden/>
    <w:rsid w:val="00323061"/>
    <w:pPr>
      <w:spacing w:before="120" w:after="60" w:line="240" w:lineRule="auto"/>
      <w:jc w:val="left"/>
    </w:pPr>
  </w:style>
  <w:style w:type="paragraph" w:customStyle="1" w:styleId="Counsel">
    <w:name w:val="Counsel"/>
    <w:basedOn w:val="Normal"/>
    <w:unhideWhenUsed/>
    <w:pPr>
      <w:widowControl w:val="0"/>
      <w:suppressAutoHyphens/>
      <w:spacing w:line="240" w:lineRule="auto"/>
    </w:pPr>
  </w:style>
  <w:style w:type="character" w:customStyle="1" w:styleId="CertifyChar">
    <w:name w:val="Certify Char"/>
    <w:link w:val="Certify"/>
    <w:rPr>
      <w:sz w:val="24"/>
      <w:szCs w:val="24"/>
      <w:lang w:val="en-AU" w:eastAsia="en-US" w:bidi="ar-SA"/>
    </w:rPr>
  </w:style>
  <w:style w:type="paragraph" w:customStyle="1" w:styleId="fcHeading1">
    <w:name w:val="fcHeading 1"/>
    <w:basedOn w:val="Normal"/>
    <w:next w:val="ParaNumbering"/>
    <w:semiHidden/>
    <w:pPr>
      <w:keepNext/>
      <w:numPr>
        <w:numId w:val="15"/>
      </w:numPr>
      <w:spacing w:before="240" w:after="60" w:line="240" w:lineRule="auto"/>
    </w:pPr>
    <w:rPr>
      <w:b/>
      <w:caps/>
      <w:kern w:val="28"/>
    </w:rPr>
  </w:style>
  <w:style w:type="paragraph" w:customStyle="1" w:styleId="fcHeading2">
    <w:name w:val="fcHeading 2"/>
    <w:basedOn w:val="Normal"/>
    <w:next w:val="ParaNumbering"/>
    <w:semiHidden/>
    <w:pPr>
      <w:keepNext/>
      <w:numPr>
        <w:ilvl w:val="1"/>
        <w:numId w:val="15"/>
      </w:numPr>
      <w:spacing w:before="240" w:after="60" w:line="240" w:lineRule="auto"/>
    </w:pPr>
    <w:rPr>
      <w:b/>
    </w:rPr>
  </w:style>
  <w:style w:type="paragraph" w:customStyle="1" w:styleId="fcHeading3">
    <w:name w:val="fcHeading 3"/>
    <w:basedOn w:val="Normal"/>
    <w:next w:val="ParaNumbering"/>
    <w:semiHidden/>
    <w:pPr>
      <w:keepNext/>
      <w:numPr>
        <w:ilvl w:val="2"/>
        <w:numId w:val="15"/>
      </w:numPr>
      <w:spacing w:before="240" w:after="60" w:line="240" w:lineRule="auto"/>
    </w:pPr>
    <w:rPr>
      <w:b/>
      <w:i/>
    </w:rPr>
  </w:style>
  <w:style w:type="paragraph" w:customStyle="1" w:styleId="fcHeading4">
    <w:name w:val="fcHeading 4"/>
    <w:basedOn w:val="Normal"/>
    <w:next w:val="ParaNumbering"/>
    <w:semiHidden/>
    <w:pPr>
      <w:keepNext/>
      <w:numPr>
        <w:ilvl w:val="3"/>
        <w:numId w:val="15"/>
      </w:numPr>
      <w:spacing w:before="240" w:after="60" w:line="240" w:lineRule="auto"/>
    </w:pPr>
    <w:rPr>
      <w:b/>
      <w:smallCaps/>
    </w:rPr>
  </w:style>
  <w:style w:type="paragraph" w:customStyle="1" w:styleId="fcHeading5">
    <w:name w:val="fcHeading 5"/>
    <w:basedOn w:val="Normal"/>
    <w:next w:val="ParaNumbering"/>
    <w:semiHidden/>
    <w:pPr>
      <w:keepNext/>
      <w:numPr>
        <w:ilvl w:val="4"/>
        <w:numId w:val="15"/>
      </w:numPr>
      <w:spacing w:before="240" w:after="60" w:line="240" w:lineRule="auto"/>
    </w:pPr>
    <w:rPr>
      <w:b/>
      <w:caps/>
    </w:rPr>
  </w:style>
  <w:style w:type="paragraph" w:customStyle="1" w:styleId="FTOC5">
    <w:name w:val="FTOC 5"/>
    <w:basedOn w:val="Normal"/>
    <w:semiHidden/>
    <w:rsid w:val="006516D8"/>
    <w:pPr>
      <w:tabs>
        <w:tab w:val="right" w:leader="dot" w:pos="9072"/>
      </w:tabs>
      <w:spacing w:before="120" w:after="60" w:line="240" w:lineRule="auto"/>
      <w:ind w:left="567" w:hanging="567"/>
      <w:jc w:val="left"/>
    </w:pPr>
    <w:rPr>
      <w:b/>
      <w:kern w:val="28"/>
    </w:rPr>
  </w:style>
  <w:style w:type="paragraph" w:customStyle="1" w:styleId="FTOC6">
    <w:name w:val="FTOC 6"/>
    <w:basedOn w:val="Normal"/>
    <w:semiHidden/>
    <w:rsid w:val="006516D8"/>
    <w:pPr>
      <w:tabs>
        <w:tab w:val="right" w:leader="dot" w:pos="9072"/>
      </w:tabs>
      <w:spacing w:before="120" w:after="60" w:line="240" w:lineRule="auto"/>
      <w:ind w:left="1304" w:hanging="737"/>
      <w:jc w:val="left"/>
    </w:pPr>
    <w:rPr>
      <w:b/>
    </w:rPr>
  </w:style>
  <w:style w:type="paragraph" w:customStyle="1" w:styleId="FTOC7">
    <w:name w:val="FTOC 7"/>
    <w:basedOn w:val="Normal"/>
    <w:semiHidden/>
    <w:rsid w:val="006516D8"/>
    <w:pPr>
      <w:tabs>
        <w:tab w:val="right" w:leader="dot" w:pos="9072"/>
      </w:tabs>
      <w:spacing w:before="120" w:after="60" w:line="240" w:lineRule="auto"/>
      <w:ind w:left="2325" w:hanging="1021"/>
      <w:jc w:val="left"/>
    </w:pPr>
    <w:rPr>
      <w:b/>
    </w:rPr>
  </w:style>
  <w:style w:type="paragraph" w:customStyle="1" w:styleId="FTOC8">
    <w:name w:val="FTOC 8"/>
    <w:basedOn w:val="Normal"/>
    <w:semiHidden/>
    <w:rsid w:val="006516D8"/>
    <w:pPr>
      <w:tabs>
        <w:tab w:val="right" w:leader="dot" w:pos="9072"/>
      </w:tabs>
      <w:spacing w:before="120" w:after="60" w:line="240" w:lineRule="auto"/>
      <w:ind w:left="3232" w:hanging="1418"/>
      <w:jc w:val="left"/>
    </w:pPr>
    <w:rPr>
      <w:b/>
    </w:rPr>
  </w:style>
  <w:style w:type="paragraph" w:customStyle="1" w:styleId="FTOC9">
    <w:name w:val="FTOC 9"/>
    <w:basedOn w:val="Normal"/>
    <w:semiHidden/>
    <w:rsid w:val="006516D8"/>
    <w:pPr>
      <w:tabs>
        <w:tab w:val="right" w:leader="dot" w:pos="9072"/>
      </w:tabs>
      <w:spacing w:before="120" w:after="60" w:line="240" w:lineRule="auto"/>
      <w:ind w:left="4082" w:hanging="1701"/>
      <w:jc w:val="left"/>
    </w:pPr>
    <w:rPr>
      <w:b/>
    </w:rPr>
  </w:style>
  <w:style w:type="paragraph" w:customStyle="1" w:styleId="bTOC5">
    <w:name w:val="bTOC 5"/>
    <w:basedOn w:val="Normal"/>
    <w:semiHidden/>
    <w:rsid w:val="00323061"/>
    <w:pPr>
      <w:tabs>
        <w:tab w:val="right" w:leader="dot" w:pos="9072"/>
      </w:tabs>
      <w:spacing w:before="120" w:after="60" w:line="240" w:lineRule="auto"/>
      <w:ind w:left="709" w:hanging="709"/>
      <w:jc w:val="left"/>
    </w:pPr>
  </w:style>
  <w:style w:type="paragraph" w:customStyle="1" w:styleId="bTOC6">
    <w:name w:val="bTOC 6"/>
    <w:basedOn w:val="Normal"/>
    <w:semiHidden/>
    <w:rsid w:val="00323061"/>
    <w:pPr>
      <w:tabs>
        <w:tab w:val="right" w:leader="dot" w:pos="9072"/>
      </w:tabs>
      <w:spacing w:before="120" w:after="60" w:line="240" w:lineRule="auto"/>
      <w:ind w:left="1418" w:hanging="709"/>
      <w:jc w:val="left"/>
    </w:pPr>
  </w:style>
  <w:style w:type="paragraph" w:customStyle="1" w:styleId="bTOC7">
    <w:name w:val="bTOC 7"/>
    <w:basedOn w:val="Normal"/>
    <w:semiHidden/>
    <w:rsid w:val="00F51AFB"/>
    <w:pPr>
      <w:tabs>
        <w:tab w:val="right" w:leader="dot" w:pos="9072"/>
      </w:tabs>
      <w:spacing w:before="120" w:after="60" w:line="240" w:lineRule="auto"/>
      <w:ind w:left="2240" w:hanging="822"/>
      <w:jc w:val="left"/>
    </w:pPr>
  </w:style>
  <w:style w:type="paragraph" w:customStyle="1" w:styleId="bTOC8">
    <w:name w:val="bTOC 8"/>
    <w:basedOn w:val="Normal"/>
    <w:semiHidden/>
    <w:rsid w:val="00F51AFB"/>
    <w:pPr>
      <w:keepNext/>
      <w:tabs>
        <w:tab w:val="right" w:leader="dot" w:pos="9072"/>
      </w:tabs>
      <w:spacing w:before="120" w:after="60" w:line="240" w:lineRule="auto"/>
      <w:ind w:left="3373" w:hanging="1247"/>
      <w:jc w:val="left"/>
    </w:pPr>
  </w:style>
  <w:style w:type="paragraph" w:customStyle="1" w:styleId="bTOC9">
    <w:name w:val="bTOC 9"/>
    <w:basedOn w:val="Normal"/>
    <w:semiHidden/>
    <w:rsid w:val="00F51AFB"/>
    <w:pPr>
      <w:keepNext/>
      <w:tabs>
        <w:tab w:val="right" w:leader="dot" w:pos="9072"/>
      </w:tabs>
      <w:spacing w:before="120" w:after="60" w:line="240" w:lineRule="auto"/>
      <w:ind w:left="4082" w:hanging="1247"/>
      <w:jc w:val="left"/>
    </w:pPr>
  </w:style>
  <w:style w:type="paragraph" w:customStyle="1" w:styleId="ListNo2">
    <w:name w:val="List No 2"/>
    <w:basedOn w:val="ListNo1"/>
    <w:rsid w:val="0052098C"/>
    <w:pPr>
      <w:numPr>
        <w:ilvl w:val="1"/>
      </w:numPr>
    </w:pPr>
  </w:style>
  <w:style w:type="paragraph" w:customStyle="1" w:styleId="ListNo3">
    <w:name w:val="List No 3"/>
    <w:basedOn w:val="ListNo2"/>
    <w:rsid w:val="0052098C"/>
    <w:pPr>
      <w:numPr>
        <w:ilvl w:val="2"/>
      </w:numPr>
    </w:pPr>
  </w:style>
  <w:style w:type="numbering" w:customStyle="1" w:styleId="FCListNo">
    <w:name w:val="FCListNo"/>
    <w:uiPriority w:val="99"/>
    <w:rsid w:val="0052098C"/>
    <w:pPr>
      <w:numPr>
        <w:numId w:val="16"/>
      </w:numPr>
    </w:pPr>
  </w:style>
  <w:style w:type="paragraph" w:customStyle="1" w:styleId="SingleSpace">
    <w:name w:val="SingleSpace"/>
    <w:basedOn w:val="Normal"/>
    <w:rsid w:val="00055719"/>
    <w:pPr>
      <w:spacing w:line="240" w:lineRule="auto"/>
    </w:pPr>
    <w:rPr>
      <w:szCs w:val="22"/>
    </w:rPr>
  </w:style>
  <w:style w:type="paragraph" w:customStyle="1" w:styleId="Quote1Bullet">
    <w:name w:val="Quote1 Bullet"/>
    <w:basedOn w:val="Quote1"/>
    <w:rsid w:val="00EF3F84"/>
    <w:pPr>
      <w:numPr>
        <w:numId w:val="17"/>
      </w:numPr>
      <w:ind w:left="1440" w:hanging="720"/>
    </w:pPr>
  </w:style>
  <w:style w:type="paragraph" w:customStyle="1" w:styleId="Quote2Bullet">
    <w:name w:val="Quote2 Bullet"/>
    <w:basedOn w:val="Quote2"/>
    <w:rsid w:val="00EF3F84"/>
    <w:pPr>
      <w:numPr>
        <w:numId w:val="18"/>
      </w:numPr>
      <w:ind w:hanging="720"/>
    </w:pPr>
  </w:style>
  <w:style w:type="paragraph" w:customStyle="1" w:styleId="Quote3Bullet">
    <w:name w:val="Quote3 Bullet"/>
    <w:basedOn w:val="Quote3"/>
    <w:rsid w:val="00EE445B"/>
    <w:pPr>
      <w:numPr>
        <w:numId w:val="19"/>
      </w:numPr>
      <w:ind w:hanging="720"/>
    </w:pPr>
  </w:style>
  <w:style w:type="paragraph" w:customStyle="1" w:styleId="Order1">
    <w:name w:val="Order 1"/>
    <w:basedOn w:val="Normal"/>
    <w:rsid w:val="004104B6"/>
    <w:pPr>
      <w:numPr>
        <w:numId w:val="20"/>
      </w:numPr>
      <w:spacing w:before="60" w:after="60"/>
    </w:pPr>
  </w:style>
  <w:style w:type="numbering" w:customStyle="1" w:styleId="FCOrders">
    <w:name w:val="FCOrders"/>
    <w:uiPriority w:val="99"/>
    <w:rsid w:val="004104B6"/>
    <w:pPr>
      <w:numPr>
        <w:numId w:val="20"/>
      </w:numPr>
    </w:pPr>
  </w:style>
  <w:style w:type="paragraph" w:customStyle="1" w:styleId="BodyTextBold">
    <w:name w:val="Body Text Bold"/>
    <w:basedOn w:val="BodyText"/>
    <w:rsid w:val="00484F6D"/>
    <w:rPr>
      <w:b/>
    </w:rPr>
  </w:style>
  <w:style w:type="paragraph" w:customStyle="1" w:styleId="GeneralHeading">
    <w:name w:val="General Heading"/>
    <w:basedOn w:val="BodyTextBold"/>
    <w:next w:val="BodyText"/>
    <w:rsid w:val="008C7167"/>
    <w:pPr>
      <w:spacing w:line="480" w:lineRule="auto"/>
      <w:jc w:val="center"/>
    </w:pPr>
    <w:rPr>
      <w:sz w:val="28"/>
    </w:rPr>
  </w:style>
  <w:style w:type="paragraph" w:customStyle="1" w:styleId="ReasonJudge">
    <w:name w:val="Reason Judge"/>
    <w:basedOn w:val="BodyText"/>
    <w:next w:val="BodyText"/>
    <w:rsid w:val="008C7167"/>
    <w:pPr>
      <w:jc w:val="left"/>
    </w:pPr>
    <w:rPr>
      <w:b/>
      <w:sz w:val="26"/>
    </w:rPr>
  </w:style>
  <w:style w:type="paragraph" w:customStyle="1" w:styleId="FileNo">
    <w:name w:val="FileNo"/>
    <w:basedOn w:val="NormalHeadings"/>
    <w:rsid w:val="007E4DB6"/>
    <w:pPr>
      <w:tabs>
        <w:tab w:val="right" w:pos="3609"/>
      </w:tabs>
      <w:spacing w:line="276" w:lineRule="auto"/>
      <w:jc w:val="right"/>
    </w:pPr>
    <w:rPr>
      <w:szCs w:val="24"/>
    </w:rPr>
  </w:style>
  <w:style w:type="paragraph" w:customStyle="1" w:styleId="CasesLegislationAppealFrom">
    <w:name w:val="Cases Legislation Appeal From"/>
    <w:basedOn w:val="Normal1linespace"/>
    <w:rsid w:val="000C023E"/>
    <w:pPr>
      <w:widowControl w:val="0"/>
      <w:spacing w:after="100"/>
      <w:jc w:val="left"/>
    </w:pPr>
  </w:style>
  <w:style w:type="paragraph" w:customStyle="1" w:styleId="PartyName">
    <w:name w:val="Party Name"/>
    <w:basedOn w:val="NormalHeadings"/>
    <w:rsid w:val="00A45FB1"/>
    <w:pPr>
      <w:jc w:val="left"/>
    </w:pPr>
    <w:rPr>
      <w:szCs w:val="24"/>
    </w:rPr>
  </w:style>
  <w:style w:type="paragraph" w:customStyle="1" w:styleId="PartyType">
    <w:name w:val="Party Type"/>
    <w:basedOn w:val="PartyName"/>
    <w:rsid w:val="00A45FB1"/>
    <w:rPr>
      <w:b w:val="0"/>
    </w:rPr>
  </w:style>
  <w:style w:type="paragraph" w:customStyle="1" w:styleId="Small-TableswithinQuotes">
    <w:name w:val="Small - Tables within Quotes"/>
    <w:basedOn w:val="BodyText"/>
    <w:rsid w:val="005E0510"/>
    <w:pPr>
      <w:spacing w:line="240" w:lineRule="auto"/>
      <w:jc w:val="left"/>
    </w:pPr>
    <w:rPr>
      <w:sz w:val="22"/>
    </w:rPr>
  </w:style>
  <w:style w:type="character" w:customStyle="1" w:styleId="BodyTextChar">
    <w:name w:val="Body Text Char"/>
    <w:basedOn w:val="DefaultParagraphFont"/>
    <w:link w:val="BodyText"/>
    <w:rsid w:val="00E91A0F"/>
    <w:rPr>
      <w:sz w:val="24"/>
      <w:lang w:eastAsia="en-US"/>
    </w:rPr>
  </w:style>
  <w:style w:type="character" w:customStyle="1" w:styleId="NormalHeadingsChar">
    <w:name w:val="Normal Headings Char"/>
    <w:basedOn w:val="DefaultParagraphFont"/>
    <w:link w:val="NormalHeadings"/>
    <w:rsid w:val="00E91A0F"/>
    <w:rPr>
      <w:b/>
      <w:sz w:val="24"/>
      <w:lang w:eastAsia="en-US"/>
    </w:rPr>
  </w:style>
  <w:style w:type="paragraph" w:customStyle="1" w:styleId="CourtTitle">
    <w:name w:val="CourtTitle"/>
    <w:basedOn w:val="NormalHeadings"/>
    <w:rsid w:val="00A22932"/>
    <w:pPr>
      <w:jc w:val="center"/>
    </w:pPr>
    <w:rPr>
      <w:caps/>
      <w:sz w:val="32"/>
    </w:rPr>
  </w:style>
  <w:style w:type="paragraph" w:customStyle="1" w:styleId="MNC">
    <w:name w:val="MNC"/>
    <w:basedOn w:val="MediaNeutralStyle"/>
    <w:rsid w:val="00085255"/>
    <w:pPr>
      <w:spacing w:after="240"/>
    </w:pPr>
    <w:rPr>
      <w:sz w:val="28"/>
    </w:rPr>
  </w:style>
  <w:style w:type="paragraph" w:customStyle="1" w:styleId="Quote4">
    <w:name w:val="Quote4"/>
    <w:basedOn w:val="Quote1"/>
    <w:rsid w:val="00DF75E1"/>
    <w:pPr>
      <w:ind w:left="2880"/>
    </w:pPr>
  </w:style>
  <w:style w:type="paragraph" w:customStyle="1" w:styleId="Quote4Bullet">
    <w:name w:val="Quote4 Bullet"/>
    <w:basedOn w:val="Quote4"/>
    <w:rsid w:val="00EE445B"/>
    <w:pPr>
      <w:numPr>
        <w:numId w:val="21"/>
      </w:numPr>
      <w:ind w:hanging="720"/>
    </w:pPr>
  </w:style>
  <w:style w:type="character" w:styleId="PlaceholderText">
    <w:name w:val="Placeholder Text"/>
    <w:basedOn w:val="DefaultParagraphFont"/>
    <w:uiPriority w:val="99"/>
    <w:semiHidden/>
    <w:rsid w:val="00CF5A80"/>
    <w:rPr>
      <w:color w:val="808080"/>
    </w:rPr>
  </w:style>
  <w:style w:type="paragraph" w:customStyle="1" w:styleId="Order2">
    <w:name w:val="Order 2"/>
    <w:basedOn w:val="Order1"/>
    <w:rsid w:val="001351B9"/>
    <w:pPr>
      <w:numPr>
        <w:ilvl w:val="1"/>
      </w:numPr>
      <w:tabs>
        <w:tab w:val="clear" w:pos="1440"/>
      </w:tabs>
    </w:pPr>
  </w:style>
  <w:style w:type="paragraph" w:customStyle="1" w:styleId="Order3">
    <w:name w:val="Order 3"/>
    <w:basedOn w:val="Order2"/>
    <w:rsid w:val="00DD6957"/>
    <w:pPr>
      <w:numPr>
        <w:ilvl w:val="2"/>
      </w:numPr>
    </w:pPr>
  </w:style>
  <w:style w:type="paragraph" w:customStyle="1" w:styleId="ListNo1alt">
    <w:name w:val="List No 1 (alt)"/>
    <w:basedOn w:val="Normal"/>
    <w:rsid w:val="008A1741"/>
    <w:pPr>
      <w:numPr>
        <w:numId w:val="24"/>
      </w:numPr>
      <w:spacing w:before="60" w:after="60"/>
    </w:pPr>
  </w:style>
  <w:style w:type="paragraph" w:customStyle="1" w:styleId="ListNo2alt">
    <w:name w:val="List No 2 (alt)"/>
    <w:basedOn w:val="ListNo1alt"/>
    <w:rsid w:val="008A1741"/>
    <w:pPr>
      <w:numPr>
        <w:ilvl w:val="1"/>
      </w:numPr>
    </w:pPr>
  </w:style>
  <w:style w:type="paragraph" w:customStyle="1" w:styleId="ListNo3alt">
    <w:name w:val="List No 3 (alt)"/>
    <w:basedOn w:val="ListNo2alt"/>
    <w:rsid w:val="008A1741"/>
    <w:pPr>
      <w:numPr>
        <w:ilvl w:val="2"/>
      </w:numPr>
    </w:pPr>
  </w:style>
  <w:style w:type="numbering" w:customStyle="1" w:styleId="FCListNoalt">
    <w:name w:val="FC List No (alt)"/>
    <w:uiPriority w:val="99"/>
    <w:rsid w:val="008A1741"/>
    <w:pPr>
      <w:numPr>
        <w:numId w:val="23"/>
      </w:numPr>
    </w:pPr>
  </w:style>
  <w:style w:type="paragraph" w:customStyle="1" w:styleId="Order4">
    <w:name w:val="Order 4"/>
    <w:basedOn w:val="Order3"/>
    <w:rsid w:val="004104B6"/>
    <w:pPr>
      <w:numPr>
        <w:ilvl w:val="3"/>
      </w:numPr>
    </w:pPr>
  </w:style>
  <w:style w:type="paragraph" w:styleId="FootnoteText">
    <w:name w:val="footnote text"/>
    <w:basedOn w:val="Normal"/>
    <w:link w:val="FootnoteTextChar"/>
    <w:semiHidden/>
    <w:unhideWhenUsed/>
    <w:rsid w:val="00077768"/>
    <w:pPr>
      <w:spacing w:line="240" w:lineRule="auto"/>
    </w:pPr>
    <w:rPr>
      <w:sz w:val="20"/>
    </w:rPr>
  </w:style>
  <w:style w:type="character" w:customStyle="1" w:styleId="FootnoteTextChar">
    <w:name w:val="Footnote Text Char"/>
    <w:basedOn w:val="DefaultParagraphFont"/>
    <w:link w:val="FootnoteText"/>
    <w:semiHidden/>
    <w:rsid w:val="00077768"/>
    <w:rPr>
      <w:lang w:eastAsia="en-US"/>
    </w:rPr>
  </w:style>
  <w:style w:type="character" w:styleId="FootnoteReference">
    <w:name w:val="footnote reference"/>
    <w:basedOn w:val="DefaultParagraphFont"/>
    <w:semiHidden/>
    <w:unhideWhenUsed/>
    <w:rsid w:val="00077768"/>
    <w:rPr>
      <w:vertAlign w:val="superscript"/>
    </w:rPr>
  </w:style>
  <w:style w:type="paragraph" w:customStyle="1" w:styleId="FCBullets2">
    <w:name w:val="FCBullets2"/>
    <w:basedOn w:val="FCBullets"/>
    <w:rsid w:val="001C2FE0"/>
    <w:pPr>
      <w:numPr>
        <w:ilvl w:val="1"/>
      </w:numPr>
    </w:pPr>
  </w:style>
  <w:style w:type="numbering" w:customStyle="1" w:styleId="FCNotes">
    <w:name w:val="FCNotes"/>
    <w:uiPriority w:val="99"/>
    <w:rsid w:val="00805A30"/>
    <w:pPr>
      <w:numPr>
        <w:numId w:val="26"/>
      </w:numPr>
    </w:pPr>
  </w:style>
  <w:style w:type="paragraph" w:customStyle="1" w:styleId="Notes">
    <w:name w:val="Notes"/>
    <w:basedOn w:val="Normal"/>
    <w:rsid w:val="00805A30"/>
    <w:pPr>
      <w:numPr>
        <w:numId w:val="28"/>
      </w:numPr>
      <w:spacing w:before="60" w:after="60"/>
    </w:pPr>
  </w:style>
  <w:style w:type="paragraph" w:customStyle="1" w:styleId="OrdersHeading1">
    <w:name w:val="Orders Heading 1"/>
    <w:basedOn w:val="Normal"/>
    <w:next w:val="BodyText"/>
    <w:rsid w:val="001E0C61"/>
    <w:pPr>
      <w:keepNext/>
      <w:spacing w:before="240" w:after="180" w:line="240" w:lineRule="auto"/>
    </w:pPr>
    <w:rPr>
      <w:b/>
      <w:caps/>
    </w:rPr>
  </w:style>
  <w:style w:type="paragraph" w:customStyle="1" w:styleId="OrdersHeading2">
    <w:name w:val="Orders Heading 2"/>
    <w:basedOn w:val="Normal"/>
    <w:next w:val="BodyText"/>
    <w:rsid w:val="001E0C61"/>
    <w:pPr>
      <w:keepNext/>
      <w:spacing w:before="240" w:after="180" w:line="240" w:lineRule="auto"/>
    </w:pPr>
    <w:rPr>
      <w:b/>
    </w:rPr>
  </w:style>
  <w:style w:type="character" w:customStyle="1" w:styleId="Heading2Char">
    <w:name w:val="Heading 2 Char"/>
    <w:basedOn w:val="DefaultParagraphFont"/>
    <w:link w:val="Heading2"/>
    <w:rsid w:val="003A0C55"/>
    <w:rPr>
      <w:b/>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5.jpeg"/><Relationship Id="rId3" Type="http://schemas.openxmlformats.org/officeDocument/2006/relationships/numbering" Target="numbering.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header" Target="header3.xml"/><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footer" Target="footer7.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footer" Target="footer4.xml"/><Relationship Id="rId40" Type="http://schemas.openxmlformats.org/officeDocument/2006/relationships/image" Target="media/image26.jpeg"/><Relationship Id="rId45" Type="http://schemas.openxmlformats.org/officeDocument/2006/relationships/header" Target="header5.xml"/><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footer" Target="footer6.xm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header" Target="header4.xml"/><Relationship Id="rId48" Type="http://schemas.openxmlformats.org/officeDocument/2006/relationships/glossaryDocument" Target="glossary/document.xml"/><Relationship Id="rId8"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murad\AppData\Local\Microsoft\Windows\INetCache\Content.Outlook\U95XOE7Z\Judgmen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34EDBC96982F4EF79FDC924FD9A5F8BE"/>
        <w:category>
          <w:name w:val="General"/>
          <w:gallery w:val="placeholder"/>
        </w:category>
        <w:types>
          <w:type w:val="bbPlcHdr"/>
        </w:types>
        <w:behaviors>
          <w:behavior w:val="content"/>
        </w:behaviors>
        <w:guid w:val="{B3B982FC-BBEE-401C-A7D8-0058792BB420}"/>
      </w:docPartPr>
      <w:docPartBody>
        <w:p w:rsidR="00C93389" w:rsidRDefault="00C93389">
          <w:pPr>
            <w:pStyle w:val="34EDBC96982F4EF79FDC924FD9A5F8BE"/>
          </w:pPr>
          <w:r>
            <w:rPr>
              <w:rStyle w:val="PlaceholderText"/>
            </w:rPr>
            <w:t>MNC Text</w:t>
          </w:r>
        </w:p>
      </w:docPartBody>
    </w:docPart>
    <w:docPart>
      <w:docPartPr>
        <w:name w:val="E37A090D73EF40CD95F2B4A9E362BBC1"/>
        <w:category>
          <w:name w:val="General"/>
          <w:gallery w:val="placeholder"/>
        </w:category>
        <w:types>
          <w:type w:val="bbPlcHdr"/>
        </w:types>
        <w:behaviors>
          <w:behavior w:val="content"/>
        </w:behaviors>
        <w:guid w:val="{C88444FC-E6D3-49B7-90AC-FE9A2689D640}"/>
      </w:docPartPr>
      <w:docPartBody>
        <w:p w:rsidR="00C93389" w:rsidRDefault="00C93389">
          <w:pPr>
            <w:pStyle w:val="E37A090D73EF40CD95F2B4A9E362BBC1"/>
          </w:pPr>
          <w:r w:rsidRPr="005C44BE">
            <w:rPr>
              <w:rStyle w:val="PlaceholderText"/>
            </w:rPr>
            <w:t>Click or tap here to enter text.</w:t>
          </w:r>
        </w:p>
      </w:docPartBody>
    </w:docPart>
    <w:docPart>
      <w:docPartPr>
        <w:name w:val="D14F0411915B4D45A69FE432D83E6A9E"/>
        <w:category>
          <w:name w:val="General"/>
          <w:gallery w:val="placeholder"/>
        </w:category>
        <w:types>
          <w:type w:val="bbPlcHdr"/>
        </w:types>
        <w:behaviors>
          <w:behavior w:val="content"/>
        </w:behaviors>
        <w:guid w:val="{00856F16-6C01-4A1A-97C7-89765A8EA8D4}"/>
      </w:docPartPr>
      <w:docPartBody>
        <w:p w:rsidR="00C93389" w:rsidRDefault="00C93389">
          <w:pPr>
            <w:pStyle w:val="D14F0411915B4D45A69FE432D83E6A9E"/>
          </w:pPr>
          <w:r w:rsidRPr="005C44BE">
            <w:rPr>
              <w:rStyle w:val="PlaceholderText"/>
            </w:rPr>
            <w:t>Click or tap here to enter text.</w:t>
          </w:r>
        </w:p>
      </w:docPartBody>
    </w:docPart>
    <w:docPart>
      <w:docPartPr>
        <w:name w:val="343AC8E7CE0444EF9BBA997A3996A5C4"/>
        <w:category>
          <w:name w:val="General"/>
          <w:gallery w:val="placeholder"/>
        </w:category>
        <w:types>
          <w:type w:val="bbPlcHdr"/>
        </w:types>
        <w:behaviors>
          <w:behavior w:val="content"/>
        </w:behaviors>
        <w:guid w:val="{4C08900F-B319-474F-B58E-1331FE6E134D}"/>
      </w:docPartPr>
      <w:docPartBody>
        <w:p w:rsidR="00C93389" w:rsidRDefault="00C93389">
          <w:pPr>
            <w:pStyle w:val="343AC8E7CE0444EF9BBA997A3996A5C4"/>
          </w:pPr>
          <w:r w:rsidRPr="005C44BE">
            <w:rPr>
              <w:rStyle w:val="PlaceholderText"/>
            </w:rPr>
            <w:t>Click or tap here to enter text.</w:t>
          </w:r>
        </w:p>
      </w:docPartBody>
    </w:docPart>
    <w:docPart>
      <w:docPartPr>
        <w:name w:val="64CC7A42A1EB40D89A24F993F0D700A6"/>
        <w:category>
          <w:name w:val="General"/>
          <w:gallery w:val="placeholder"/>
        </w:category>
        <w:types>
          <w:type w:val="bbPlcHdr"/>
        </w:types>
        <w:behaviors>
          <w:behavior w:val="content"/>
        </w:behaviors>
        <w:guid w:val="{63F6A7D7-21E2-4D74-926D-22E2CA1EE7D7}"/>
      </w:docPartPr>
      <w:docPartBody>
        <w:p w:rsidR="00C93389" w:rsidRDefault="00C93389">
          <w:pPr>
            <w:pStyle w:val="64CC7A42A1EB40D89A24F993F0D700A6"/>
          </w:pPr>
          <w:r w:rsidRPr="005C44BE">
            <w:rPr>
              <w:rStyle w:val="PlaceholderText"/>
            </w:rPr>
            <w:t>Click or tap here to enter text.</w:t>
          </w:r>
        </w:p>
      </w:docPartBody>
    </w:docPart>
    <w:docPart>
      <w:docPartPr>
        <w:name w:val="8DCAAE74EE5D464C9A0E5B3134D6F5DB"/>
        <w:category>
          <w:name w:val="General"/>
          <w:gallery w:val="placeholder"/>
        </w:category>
        <w:types>
          <w:type w:val="bbPlcHdr"/>
        </w:types>
        <w:behaviors>
          <w:behavior w:val="content"/>
        </w:behaviors>
        <w:guid w:val="{20702BD0-49C3-48BB-9B6E-51A8D0323BBA}"/>
      </w:docPartPr>
      <w:docPartBody>
        <w:p w:rsidR="00A13085" w:rsidRDefault="00E40CC8" w:rsidP="00E40CC8">
          <w:pPr>
            <w:pStyle w:val="8DCAAE74EE5D464C9A0E5B3134D6F5DB"/>
          </w:pPr>
          <w:r w:rsidRPr="005C44BE">
            <w:rPr>
              <w:rStyle w:val="PlaceholderText"/>
            </w:rPr>
            <w:t>Click or tap here to enter text.</w:t>
          </w:r>
        </w:p>
      </w:docPartBody>
    </w:docPart>
    <w:docPart>
      <w:docPartPr>
        <w:name w:val="A332A459608D4E6596DE201618825864"/>
        <w:category>
          <w:name w:val="General"/>
          <w:gallery w:val="placeholder"/>
        </w:category>
        <w:types>
          <w:type w:val="bbPlcHdr"/>
        </w:types>
        <w:behaviors>
          <w:behavior w:val="content"/>
        </w:behaviors>
        <w:guid w:val="{8A614DBE-0184-47F0-A1A5-29C4FE2CB6DE}"/>
      </w:docPartPr>
      <w:docPartBody>
        <w:p w:rsidR="00A13085" w:rsidRDefault="00E40CC8" w:rsidP="00E40CC8">
          <w:pPr>
            <w:pStyle w:val="A332A459608D4E6596DE201618825864"/>
          </w:pPr>
          <w:r w:rsidRPr="005C44BE">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atang">
    <w:altName w:val="¹ÙÅÁ"/>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3389"/>
    <w:rsid w:val="00A13085"/>
    <w:rsid w:val="00C93389"/>
    <w:rsid w:val="00E40CC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40CC8"/>
    <w:rPr>
      <w:color w:val="808080"/>
    </w:rPr>
  </w:style>
  <w:style w:type="paragraph" w:customStyle="1" w:styleId="34EDBC96982F4EF79FDC924FD9A5F8BE">
    <w:name w:val="34EDBC96982F4EF79FDC924FD9A5F8BE"/>
  </w:style>
  <w:style w:type="paragraph" w:customStyle="1" w:styleId="E37A090D73EF40CD95F2B4A9E362BBC1">
    <w:name w:val="E37A090D73EF40CD95F2B4A9E362BBC1"/>
  </w:style>
  <w:style w:type="paragraph" w:customStyle="1" w:styleId="D14F0411915B4D45A69FE432D83E6A9E">
    <w:name w:val="D14F0411915B4D45A69FE432D83E6A9E"/>
  </w:style>
  <w:style w:type="paragraph" w:customStyle="1" w:styleId="343AC8E7CE0444EF9BBA997A3996A5C4">
    <w:name w:val="343AC8E7CE0444EF9BBA997A3996A5C4"/>
  </w:style>
  <w:style w:type="paragraph" w:customStyle="1" w:styleId="64CC7A42A1EB40D89A24F993F0D700A6">
    <w:name w:val="64CC7A42A1EB40D89A24F993F0D700A6"/>
  </w:style>
  <w:style w:type="paragraph" w:customStyle="1" w:styleId="8DCAAE74EE5D464C9A0E5B3134D6F5DB">
    <w:name w:val="8DCAAE74EE5D464C9A0E5B3134D6F5DB"/>
    <w:rsid w:val="00E40CC8"/>
  </w:style>
  <w:style w:type="paragraph" w:customStyle="1" w:styleId="A332A459608D4E6596DE201618825864">
    <w:name w:val="A332A459608D4E6596DE201618825864"/>
    <w:rsid w:val="00E40CC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root xmlns="http://schemas.globalmacros.com/FCA">
  <Name>JKC Australia LNG Pty Ltd v AkzoNobel NV (No 3) [2021] FCA 1217</Name>
</root>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7E7CCB-4AA5-44E7-B148-17BA2B6F57C0}">
  <ds:schemaRefs>
    <ds:schemaRef ds:uri="http://schemas.globalmacros.com/FCA"/>
  </ds:schemaRefs>
</ds:datastoreItem>
</file>

<file path=customXml/itemProps2.xml><?xml version="1.0" encoding="utf-8"?>
<ds:datastoreItem xmlns:ds="http://schemas.openxmlformats.org/officeDocument/2006/customXml" ds:itemID="{670F6BB8-6D27-47F9-8686-8ED7E590DE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Judgment.dotx</Template>
  <TotalTime>2</TotalTime>
  <Pages>38</Pages>
  <Words>4045</Words>
  <Characters>20677</Characters>
  <Application>Microsoft Office Word</Application>
  <DocSecurity>0</DocSecurity>
  <Lines>172</Lines>
  <Paragraphs>49</Paragraphs>
  <ScaleCrop>false</ScaleCrop>
  <HeadingPairs>
    <vt:vector size="2" baseType="variant">
      <vt:variant>
        <vt:lpstr>Title</vt:lpstr>
      </vt:variant>
      <vt:variant>
        <vt:i4>1</vt:i4>
      </vt:variant>
    </vt:vector>
  </HeadingPairs>
  <TitlesOfParts>
    <vt:vector size="1" baseType="lpstr">
      <vt:lpstr>JKC Australia LNG Pty Ltd v AkzoNobel NV (No 3) [2021] FCA 1217</vt:lpstr>
    </vt:vector>
  </TitlesOfParts>
  <Company>Federal Court of Australia</Company>
  <LinksUpToDate>false</LinksUpToDate>
  <CharactersWithSpaces>24673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JKC Australia LNG Pty Ltd v AkzoNobel NV (No 3) [2021] FCA 1217</dc:title>
  <dc:creator>Federal Court of Australia</dc:creator>
  <cp:lastModifiedBy>Federal Court of Australia</cp:lastModifiedBy>
  <cp:revision>3</cp:revision>
  <cp:lastPrinted>2021-10-07T01:31:00Z</cp:lastPrinted>
  <dcterms:created xsi:type="dcterms:W3CDTF">2021-10-12T05:11:00Z</dcterms:created>
  <dcterms:modified xsi:type="dcterms:W3CDTF">2021-10-12T05:12:00Z</dcterms:modified>
  <cp:version>v1.2</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licant">
    <vt:lpwstr> </vt:lpwstr>
  </property>
  <property fmtid="{D5CDD505-2E9C-101B-9397-08002B2CF9AE}" pid="3" name="Distribution">
    <vt:lpwstr>GENERAL DISTRIBUTION</vt:lpwstr>
  </property>
  <property fmtid="{D5CDD505-2E9C-101B-9397-08002B2CF9AE}" pid="4" name="MNC">
    <vt:lpwstr> </vt:lpwstr>
  </property>
  <property fmtid="{D5CDD505-2E9C-101B-9397-08002B2CF9AE}" pid="5" name="Pages">
    <vt:lpwstr>11</vt:lpwstr>
  </property>
  <property fmtid="{D5CDD505-2E9C-101B-9397-08002B2CF9AE}" pid="6" name="Parties">
    <vt:lpwstr> </vt:lpwstr>
  </property>
  <property fmtid="{D5CDD505-2E9C-101B-9397-08002B2CF9AE}" pid="7" name="Place">
    <vt:lpwstr>N/A FCA</vt:lpwstr>
  </property>
  <property fmtid="{D5CDD505-2E9C-101B-9397-08002B2CF9AE}" pid="8" name="Respondent">
    <vt:lpwstr> </vt:lpwstr>
  </property>
  <property fmtid="{D5CDD505-2E9C-101B-9397-08002B2CF9AE}" pid="9" name="Year">
    <vt:lpwstr>2020</vt:lpwstr>
  </property>
  <property fmtid="{D5CDD505-2E9C-101B-9397-08002B2CF9AE}" pid="10" name="Judgment Template">
    <vt:lpwstr>True</vt:lpwstr>
  </property>
  <property fmtid="{D5CDD505-2E9C-101B-9397-08002B2CF9AE}" pid="11" name="VERSION">
    <vt:lpwstr>1.0</vt:lpwstr>
  </property>
  <property fmtid="{D5CDD505-2E9C-101B-9397-08002B2CF9AE}" pid="12" name="Registry">
    <vt:lpwstr>Western Australia</vt:lpwstr>
  </property>
  <property fmtid="{D5CDD505-2E9C-101B-9397-08002B2CF9AE}" pid="13" name="Division">
    <vt:lpwstr>General Division</vt:lpwstr>
  </property>
  <property fmtid="{D5CDD505-2E9C-101B-9397-08002B2CF9AE}" pid="14" name="FileNo">
    <vt:lpwstr>&lt;FILE NO&gt;</vt:lpwstr>
  </property>
  <property fmtid="{D5CDD505-2E9C-101B-9397-08002B2CF9AE}" pid="15" name="Practice Area">
    <vt:lpwstr>Commercial and Corporations</vt:lpwstr>
  </property>
  <property fmtid="{D5CDD505-2E9C-101B-9397-08002B2CF9AE}" pid="16" name="Court">
    <vt:lpwstr>Federal Court of Australia</vt:lpwstr>
  </property>
  <property fmtid="{D5CDD505-2E9C-101B-9397-08002B2CF9AE}" pid="17" name="Sub Area">
    <vt:lpwstr>Regulator and Consumer Protection</vt:lpwstr>
  </property>
  <property fmtid="{D5CDD505-2E9C-101B-9397-08002B2CF9AE}" pid="18" name="AppealFrom">
    <vt:lpwstr>&lt;AppealFrom&gt;</vt:lpwstr>
  </property>
  <property fmtid="{D5CDD505-2E9C-101B-9397-08002B2CF9AE}" pid="19" name="Judge">
    <vt:lpwstr>Judge</vt:lpwstr>
  </property>
  <property fmtid="{D5CDD505-2E9C-101B-9397-08002B2CF9AE}" pid="20" name="Judgment_dated">
    <vt:lpwstr>Judgment_dated</vt:lpwstr>
  </property>
  <property fmtid="{D5CDD505-2E9C-101B-9397-08002B2CF9AE}" pid="21" name="Legislation">
    <vt:lpwstr>Legislation</vt:lpwstr>
  </property>
  <property fmtid="{D5CDD505-2E9C-101B-9397-08002B2CF9AE}" pid="22" name="Catchwords">
    <vt:lpwstr>Catchwords</vt:lpwstr>
  </property>
  <property fmtid="{D5CDD505-2E9C-101B-9397-08002B2CF9AE}" pid="23" name="Words_Phrases">
    <vt:lpwstr>WordsPhrases</vt:lpwstr>
  </property>
  <property fmtid="{D5CDD505-2E9C-101B-9397-08002B2CF9AE}" pid="24" name="Cases_Cited">
    <vt:lpwstr>CasesCited</vt:lpwstr>
  </property>
  <property fmtid="{D5CDD505-2E9C-101B-9397-08002B2CF9AE}" pid="25" name="File_Number">
    <vt:lpwstr>Num</vt:lpwstr>
  </property>
  <property fmtid="{D5CDD505-2E9C-101B-9397-08002B2CF9AE}" pid="26" name="State">
    <vt:lpwstr>State</vt:lpwstr>
  </property>
</Properties>
</file>