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37369A">
      <w:pPr>
        <w:pStyle w:val="MediaNeutralStyle"/>
      </w:pPr>
      <w:bookmarkStart w:id="0" w:name="MNC"/>
      <w:r>
        <w:t>McKay Super Solution</w:t>
      </w:r>
      <w:r w:rsidR="003C3E0F">
        <w:t>s</w:t>
      </w:r>
      <w:r w:rsidR="003A74BD">
        <w:t xml:space="preserve"> Pty </w:t>
      </w:r>
      <w:r>
        <w:t>Ltd (</w:t>
      </w:r>
      <w:r w:rsidR="003A74BD">
        <w:t>Trustee)</w:t>
      </w:r>
      <w:r>
        <w:t xml:space="preserve"> v Bella</w:t>
      </w:r>
      <w:r w:rsidR="0010278C">
        <w:t xml:space="preserve">my’s Australia Ltd </w:t>
      </w:r>
      <w:r w:rsidR="0010278C">
        <w:br/>
      </w:r>
      <w:r w:rsidR="003A74BD">
        <w:t>[2017] FCA 947</w:t>
      </w:r>
      <w:r w:rsidR="002C7385">
        <w:t xml:space="preserve"> </w:t>
      </w:r>
      <w:bookmarkEnd w:id="0"/>
    </w:p>
    <w:p w:rsidR="00395B24" w:rsidRDefault="00395B24">
      <w:pPr>
        <w:pStyle w:val="Normal1linespace"/>
      </w:pPr>
    </w:p>
    <w:tbl>
      <w:tblPr>
        <w:tblW w:w="9038" w:type="dxa"/>
        <w:tblLayout w:type="fixed"/>
        <w:tblLook w:val="01E0" w:firstRow="1" w:lastRow="1" w:firstColumn="1" w:lastColumn="1" w:noHBand="0" w:noVBand="0"/>
        <w:tblCaption w:val="Cover Table"/>
        <w:tblDescription w:val="Cover Table"/>
      </w:tblPr>
      <w:tblGrid>
        <w:gridCol w:w="3084"/>
        <w:gridCol w:w="5954"/>
      </w:tblGrid>
      <w:tr w:rsidR="00395B24" w:rsidTr="00663878">
        <w:tc>
          <w:tcPr>
            <w:tcW w:w="3084" w:type="dxa"/>
            <w:shd w:val="clear" w:color="auto" w:fill="auto"/>
          </w:tcPr>
          <w:p w:rsidR="00395B24" w:rsidRDefault="0037369A" w:rsidP="00663878">
            <w:pPr>
              <w:pStyle w:val="Normal1linespace"/>
              <w:widowControl w:val="0"/>
              <w:jc w:val="left"/>
            </w:pPr>
            <w:r>
              <w:t>File numbers</w:t>
            </w:r>
            <w:r w:rsidR="002C7385">
              <w:t>:</w:t>
            </w:r>
          </w:p>
        </w:tc>
        <w:tc>
          <w:tcPr>
            <w:tcW w:w="5954" w:type="dxa"/>
            <w:shd w:val="clear" w:color="auto" w:fill="auto"/>
          </w:tcPr>
          <w:p w:rsidR="0037369A" w:rsidRPr="0037369A" w:rsidRDefault="0037369A" w:rsidP="0037369A">
            <w:pPr>
              <w:pStyle w:val="Normal1linespace"/>
              <w:jc w:val="left"/>
            </w:pPr>
            <w:r w:rsidRPr="0037369A">
              <w:fldChar w:fldCharType="begin" w:fldLock="1"/>
            </w:r>
            <w:r w:rsidRPr="0037369A">
              <w:instrText xml:space="preserve"> REF  FileNo  \* MERGEFORMAT </w:instrText>
            </w:r>
            <w:r w:rsidRPr="0037369A">
              <w:fldChar w:fldCharType="separate"/>
            </w:r>
            <w:r w:rsidRPr="0037369A">
              <w:t>VID 163 of 2017</w:t>
            </w:r>
          </w:p>
          <w:p w:rsidR="00395B24" w:rsidRPr="001B1053" w:rsidRDefault="0037369A" w:rsidP="0037369A">
            <w:pPr>
              <w:pStyle w:val="Normal1linespace"/>
              <w:jc w:val="left"/>
            </w:pPr>
            <w:r w:rsidRPr="0037369A">
              <w:t>VID 213 of 2017</w:t>
            </w:r>
            <w:r w:rsidRPr="0037369A">
              <w:fldChar w:fldCharType="end"/>
            </w:r>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37369A" w:rsidP="00663878">
            <w:pPr>
              <w:pStyle w:val="Normal1linespace"/>
              <w:widowControl w:val="0"/>
              <w:jc w:val="left"/>
            </w:pPr>
            <w:r>
              <w:t>Judge</w:t>
            </w:r>
            <w:r w:rsidR="002C7385">
              <w:t>:</w:t>
            </w:r>
          </w:p>
        </w:tc>
        <w:tc>
          <w:tcPr>
            <w:tcW w:w="5954" w:type="dxa"/>
            <w:shd w:val="clear" w:color="auto" w:fill="auto"/>
          </w:tcPr>
          <w:p w:rsidR="00395B24" w:rsidRDefault="002C7385" w:rsidP="00663878">
            <w:pPr>
              <w:pStyle w:val="Normal1linespace"/>
              <w:widowControl w:val="0"/>
              <w:jc w:val="left"/>
              <w:rPr>
                <w:b/>
              </w:rPr>
            </w:pPr>
            <w:r w:rsidRPr="0037369A">
              <w:rPr>
                <w:b/>
              </w:rPr>
              <w:fldChar w:fldCharType="begin" w:fldLock="1"/>
            </w:r>
            <w:r w:rsidRPr="0037369A">
              <w:rPr>
                <w:b/>
              </w:rPr>
              <w:instrText xml:space="preserve"> REF  Judge  \* MERGEFORMAT </w:instrText>
            </w:r>
            <w:r w:rsidRPr="0037369A">
              <w:rPr>
                <w:b/>
              </w:rPr>
              <w:fldChar w:fldCharType="separate"/>
            </w:r>
            <w:r w:rsidR="0037369A" w:rsidRPr="0037369A">
              <w:rPr>
                <w:b/>
                <w:caps/>
                <w:szCs w:val="24"/>
              </w:rPr>
              <w:t>BEACH J</w:t>
            </w:r>
            <w:r w:rsidRPr="0037369A">
              <w:rPr>
                <w:b/>
              </w:rPr>
              <w:fldChar w:fldCharType="end"/>
            </w:r>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Date of judgment:</w:t>
            </w:r>
          </w:p>
        </w:tc>
        <w:tc>
          <w:tcPr>
            <w:tcW w:w="5954" w:type="dxa"/>
            <w:shd w:val="clear" w:color="auto" w:fill="auto"/>
          </w:tcPr>
          <w:p w:rsidR="00395B24" w:rsidRDefault="008B044B" w:rsidP="00663878">
            <w:pPr>
              <w:pStyle w:val="Normal1linespace"/>
              <w:widowControl w:val="0"/>
              <w:jc w:val="left"/>
            </w:pPr>
            <w:bookmarkStart w:id="1" w:name="JudgmentDate"/>
            <w:r>
              <w:t xml:space="preserve">18 </w:t>
            </w:r>
            <w:r w:rsidR="00DB15A0">
              <w:t>August</w:t>
            </w:r>
            <w:r w:rsidR="0037369A">
              <w:t xml:space="preserve"> 2017</w:t>
            </w:r>
            <w:bookmarkEnd w:id="1"/>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Catchwords:</w:t>
            </w:r>
          </w:p>
        </w:tc>
        <w:tc>
          <w:tcPr>
            <w:tcW w:w="5954" w:type="dxa"/>
            <w:shd w:val="clear" w:color="auto" w:fill="auto"/>
          </w:tcPr>
          <w:p w:rsidR="00395B24" w:rsidRDefault="00C17EEE" w:rsidP="00D7198F">
            <w:pPr>
              <w:pStyle w:val="Normal1linespace"/>
              <w:widowControl w:val="0"/>
              <w:jc w:val="left"/>
            </w:pPr>
            <w:bookmarkStart w:id="2" w:name="Catchwords"/>
            <w:r w:rsidRPr="00C17EEE">
              <w:rPr>
                <w:b/>
              </w:rPr>
              <w:t>REPRESENTATIVE PROCEEDINGS</w:t>
            </w:r>
            <w:r>
              <w:t xml:space="preserve"> – two overlapping open class proceedings against the same respondent – substantially the same claims and substantially the same causes of action – application for a permanent stay of one of the proceedings – whether permanent stay is appropriate – whether two proceedings </w:t>
            </w:r>
            <w:r w:rsidR="009843AC">
              <w:t>sh</w:t>
            </w:r>
            <w:r w:rsidR="00351AC3">
              <w:t>ould</w:t>
            </w:r>
            <w:r>
              <w:t xml:space="preserve"> be consolidated – </w:t>
            </w:r>
            <w:r w:rsidR="00351AC3">
              <w:t xml:space="preserve">whether a </w:t>
            </w:r>
            <w:r w:rsidR="009843AC">
              <w:t>“</w:t>
            </w:r>
            <w:r w:rsidR="00351AC3">
              <w:t>declassing</w:t>
            </w:r>
            <w:r w:rsidR="009843AC">
              <w:t>”</w:t>
            </w:r>
            <w:r w:rsidR="00351AC3">
              <w:t xml:space="preserve"> order </w:t>
            </w:r>
            <w:r w:rsidR="00D7198F">
              <w:t xml:space="preserve">should be made </w:t>
            </w:r>
            <w:r w:rsidR="00351AC3">
              <w:t>under s 33N</w:t>
            </w:r>
            <w:r w:rsidR="00D7198F">
              <w:t>(1)</w:t>
            </w:r>
            <w:r w:rsidR="00351AC3">
              <w:t xml:space="preserve"> of the </w:t>
            </w:r>
            <w:r w:rsidR="00351AC3" w:rsidRPr="003C3E0F">
              <w:rPr>
                <w:i/>
              </w:rPr>
              <w:t>Federal Court of Australia Act 1976</w:t>
            </w:r>
            <w:r w:rsidR="00351AC3">
              <w:t xml:space="preserve"> (</w:t>
            </w:r>
            <w:proofErr w:type="spellStart"/>
            <w:r w:rsidR="00351AC3">
              <w:t>Cth</w:t>
            </w:r>
            <w:proofErr w:type="spellEnd"/>
            <w:r w:rsidR="00351AC3">
              <w:t>)</w:t>
            </w:r>
            <w:r w:rsidR="00D7198F">
              <w:t xml:space="preserve"> </w:t>
            </w:r>
            <w:r w:rsidR="00351AC3">
              <w:t xml:space="preserve">– </w:t>
            </w:r>
            <w:r>
              <w:t>whether</w:t>
            </w:r>
            <w:r w:rsidR="00351AC3">
              <w:t xml:space="preserve"> </w:t>
            </w:r>
            <w:r>
              <w:t>closure of one class is appropriate –</w:t>
            </w:r>
            <w:r w:rsidR="00351AC3">
              <w:t xml:space="preserve"> whether joint trial of both proceedings as open class proceedings</w:t>
            </w:r>
            <w:r w:rsidR="00D7198F">
              <w:t xml:space="preserve"> is</w:t>
            </w:r>
            <w:r w:rsidR="00351AC3">
              <w:t xml:space="preserve"> appropriate</w:t>
            </w:r>
            <w:r w:rsidR="00177E96">
              <w:t xml:space="preserve"> – application for a permanent stay of one of the proceedings refused – order</w:t>
            </w:r>
            <w:r w:rsidR="00D7198F">
              <w:t>s</w:t>
            </w:r>
            <w:r w:rsidR="00177E96">
              <w:t xml:space="preserve"> made </w:t>
            </w:r>
            <w:r w:rsidR="00D7198F">
              <w:t>to achieve</w:t>
            </w:r>
            <w:r w:rsidR="00177E96">
              <w:t xml:space="preserve"> closure of one class and to have a joint trial of both proceedings</w:t>
            </w:r>
            <w:r w:rsidR="002C7385">
              <w:t xml:space="preserve"> </w:t>
            </w:r>
            <w:bookmarkEnd w:id="2"/>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Legislation:</w:t>
            </w:r>
          </w:p>
        </w:tc>
        <w:tc>
          <w:tcPr>
            <w:tcW w:w="5954" w:type="dxa"/>
            <w:shd w:val="clear" w:color="auto" w:fill="auto"/>
          </w:tcPr>
          <w:p w:rsidR="00561649" w:rsidRDefault="003C3E0F" w:rsidP="00D82620">
            <w:pPr>
              <w:pStyle w:val="CasesLegislationAppealFrom"/>
              <w:spacing w:after="60"/>
            </w:pPr>
            <w:bookmarkStart w:id="3" w:name="Legislation"/>
            <w:r w:rsidRPr="003C3E0F">
              <w:rPr>
                <w:i/>
              </w:rPr>
              <w:t>Federal Court of Australia Act 1976</w:t>
            </w:r>
            <w:r>
              <w:t xml:space="preserve"> (</w:t>
            </w:r>
            <w:proofErr w:type="spellStart"/>
            <w:r>
              <w:t>Cth</w:t>
            </w:r>
            <w:proofErr w:type="spellEnd"/>
            <w:r>
              <w:t xml:space="preserve">) </w:t>
            </w:r>
            <w:proofErr w:type="spellStart"/>
            <w:r>
              <w:t>ss</w:t>
            </w:r>
            <w:proofErr w:type="spellEnd"/>
            <w:r>
              <w:t xml:space="preserve"> 33N, 33ZF</w:t>
            </w:r>
            <w:r w:rsidR="00C17EEE">
              <w:t>, 33ZG</w:t>
            </w:r>
          </w:p>
          <w:p w:rsidR="00395B24" w:rsidRDefault="00561649" w:rsidP="00D82620">
            <w:pPr>
              <w:pStyle w:val="CasesLegislationAppealFrom"/>
              <w:spacing w:after="60"/>
            </w:pPr>
            <w:r w:rsidRPr="00561649">
              <w:rPr>
                <w:i/>
              </w:rPr>
              <w:t>Federal Court Rules 2011</w:t>
            </w:r>
            <w:r>
              <w:t xml:space="preserve"> (</w:t>
            </w:r>
            <w:proofErr w:type="spellStart"/>
            <w:r>
              <w:t>Cth</w:t>
            </w:r>
            <w:proofErr w:type="spellEnd"/>
            <w:r>
              <w:t>) r 30.11</w:t>
            </w:r>
            <w:r w:rsidR="002C7385">
              <w:t xml:space="preserve"> </w:t>
            </w:r>
            <w:bookmarkEnd w:id="3"/>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Cases cited:</w:t>
            </w:r>
          </w:p>
        </w:tc>
        <w:tc>
          <w:tcPr>
            <w:tcW w:w="5954" w:type="dxa"/>
            <w:shd w:val="clear" w:color="auto" w:fill="auto"/>
          </w:tcPr>
          <w:p w:rsidR="0017478C" w:rsidRPr="0017478C" w:rsidRDefault="0017478C" w:rsidP="0017478C">
            <w:pPr>
              <w:pStyle w:val="CasesLegislationAppealFrom"/>
              <w:spacing w:after="60"/>
            </w:pPr>
            <w:bookmarkStart w:id="4" w:name="Cases_Cited"/>
            <w:r w:rsidRPr="0017478C">
              <w:rPr>
                <w:i/>
              </w:rPr>
              <w:t>Bray v F Hoffman-La Roche Ltd</w:t>
            </w:r>
            <w:r w:rsidRPr="0017478C">
              <w:t xml:space="preserve"> (2003) 130 FCR 317</w:t>
            </w:r>
          </w:p>
          <w:p w:rsidR="004C3659" w:rsidRDefault="004C3659" w:rsidP="0017478C">
            <w:pPr>
              <w:pStyle w:val="CasesLegislationAppealFrom"/>
              <w:spacing w:after="60"/>
              <w:rPr>
                <w:i/>
              </w:rPr>
            </w:pPr>
            <w:proofErr w:type="spellStart"/>
            <w:r w:rsidRPr="004C3659">
              <w:rPr>
                <w:i/>
              </w:rPr>
              <w:t>Earglow</w:t>
            </w:r>
            <w:proofErr w:type="spellEnd"/>
            <w:r w:rsidRPr="004C3659">
              <w:rPr>
                <w:i/>
              </w:rPr>
              <w:t xml:space="preserve"> Pty Ltd v Newcrest Mining Ltd</w:t>
            </w:r>
            <w:r>
              <w:t xml:space="preserve"> (2015) 230 FCR 469</w:t>
            </w:r>
          </w:p>
          <w:p w:rsidR="008B044B" w:rsidRPr="0017478C" w:rsidRDefault="008B044B" w:rsidP="008B044B">
            <w:pPr>
              <w:pStyle w:val="CasesLegislationAppealFrom"/>
              <w:spacing w:after="60"/>
            </w:pPr>
            <w:r w:rsidRPr="0017478C">
              <w:rPr>
                <w:i/>
              </w:rPr>
              <w:t>Giles v Westminster Savings Credit Union</w:t>
            </w:r>
            <w:r w:rsidRPr="0017478C">
              <w:t xml:space="preserve"> [2002] BCJ No. 2567; 2002 BCSC 1583</w:t>
            </w:r>
          </w:p>
          <w:p w:rsidR="0017478C" w:rsidRPr="0017478C" w:rsidRDefault="0017478C" w:rsidP="0017478C">
            <w:pPr>
              <w:pStyle w:val="CasesLegislationAppealFrom"/>
              <w:spacing w:after="60"/>
            </w:pPr>
            <w:proofErr w:type="spellStart"/>
            <w:r w:rsidRPr="00062DE4">
              <w:rPr>
                <w:i/>
              </w:rPr>
              <w:t>Grasby</w:t>
            </w:r>
            <w:proofErr w:type="spellEnd"/>
            <w:r w:rsidRPr="00062DE4">
              <w:rPr>
                <w:i/>
              </w:rPr>
              <w:t xml:space="preserve"> v Merck </w:t>
            </w:r>
            <w:proofErr w:type="spellStart"/>
            <w:r w:rsidRPr="00062DE4">
              <w:rPr>
                <w:i/>
              </w:rPr>
              <w:t>Frosst</w:t>
            </w:r>
            <w:proofErr w:type="spellEnd"/>
            <w:r w:rsidRPr="00062DE4">
              <w:rPr>
                <w:i/>
              </w:rPr>
              <w:t xml:space="preserve"> Canada Ltd</w:t>
            </w:r>
            <w:r w:rsidRPr="00062DE4">
              <w:t xml:space="preserve"> </w:t>
            </w:r>
            <w:r w:rsidR="00062DE4" w:rsidRPr="00062DE4">
              <w:t xml:space="preserve">(2007) 216 </w:t>
            </w:r>
            <w:proofErr w:type="spellStart"/>
            <w:r w:rsidR="00062DE4" w:rsidRPr="00062DE4">
              <w:t>ManR</w:t>
            </w:r>
            <w:proofErr w:type="spellEnd"/>
            <w:r w:rsidR="00062DE4" w:rsidRPr="00062DE4">
              <w:t xml:space="preserve"> (2d) 117</w:t>
            </w:r>
          </w:p>
          <w:p w:rsidR="00655697" w:rsidRPr="00655697" w:rsidRDefault="00655697" w:rsidP="0017478C">
            <w:pPr>
              <w:pStyle w:val="CasesLegislationAppealFrom"/>
              <w:spacing w:after="60"/>
            </w:pPr>
            <w:r>
              <w:rPr>
                <w:i/>
              </w:rPr>
              <w:t>Hassid v Queensland Bulk Water Supply Authority</w:t>
            </w:r>
            <w:r>
              <w:t xml:space="preserve"> [2017] NSWSC 599</w:t>
            </w:r>
          </w:p>
          <w:p w:rsidR="0017478C" w:rsidRPr="0017478C" w:rsidRDefault="0017478C" w:rsidP="0017478C">
            <w:pPr>
              <w:pStyle w:val="CasesLegislationAppealFrom"/>
              <w:spacing w:after="60"/>
            </w:pPr>
            <w:r w:rsidRPr="0017478C">
              <w:rPr>
                <w:i/>
              </w:rPr>
              <w:t xml:space="preserve">Joel v Menu Foods </w:t>
            </w:r>
            <w:proofErr w:type="spellStart"/>
            <w:r w:rsidRPr="0017478C">
              <w:rPr>
                <w:i/>
              </w:rPr>
              <w:t>Genpar</w:t>
            </w:r>
            <w:proofErr w:type="spellEnd"/>
            <w:r w:rsidRPr="0017478C">
              <w:rPr>
                <w:i/>
              </w:rPr>
              <w:t xml:space="preserve"> Ltd</w:t>
            </w:r>
            <w:r w:rsidRPr="0017478C">
              <w:t xml:space="preserve"> (2007) 78 BCLR (4th) 112</w:t>
            </w:r>
          </w:p>
          <w:p w:rsidR="0017478C" w:rsidRPr="0017478C" w:rsidRDefault="0017478C" w:rsidP="0017478C">
            <w:pPr>
              <w:pStyle w:val="CasesLegislationAppealFrom"/>
              <w:spacing w:after="60"/>
            </w:pPr>
            <w:r w:rsidRPr="0017478C">
              <w:rPr>
                <w:i/>
              </w:rPr>
              <w:t>Johnson Tiles Pty Ltd v Esso Australia Ltd</w:t>
            </w:r>
            <w:r w:rsidRPr="0017478C">
              <w:t xml:space="preserve"> (1999) ATPR 41-679; [1999] FCA 56</w:t>
            </w:r>
          </w:p>
          <w:p w:rsidR="0017478C" w:rsidRPr="0017478C" w:rsidRDefault="0017478C" w:rsidP="0017478C">
            <w:pPr>
              <w:pStyle w:val="CasesLegislationAppealFrom"/>
              <w:spacing w:after="60"/>
            </w:pPr>
            <w:r w:rsidRPr="0017478C">
              <w:rPr>
                <w:i/>
              </w:rPr>
              <w:t xml:space="preserve">Kirby v Centro Properties Ltd </w:t>
            </w:r>
            <w:r w:rsidRPr="0017478C">
              <w:t>(2008) 253 ALR 65; [2008] FCA 1505</w:t>
            </w:r>
          </w:p>
          <w:p w:rsidR="00157399" w:rsidRDefault="00157399" w:rsidP="00157399">
            <w:pPr>
              <w:pStyle w:val="CasesLegislationAppealFrom"/>
              <w:spacing w:after="60"/>
            </w:pPr>
            <w:r w:rsidRPr="00157399">
              <w:rPr>
                <w:i/>
              </w:rPr>
              <w:t xml:space="preserve">Locking v </w:t>
            </w:r>
            <w:proofErr w:type="spellStart"/>
            <w:r w:rsidRPr="00157399">
              <w:rPr>
                <w:i/>
              </w:rPr>
              <w:t>Armtec</w:t>
            </w:r>
            <w:proofErr w:type="spellEnd"/>
            <w:r w:rsidRPr="00157399">
              <w:rPr>
                <w:i/>
              </w:rPr>
              <w:t xml:space="preserve"> Infrastructure </w:t>
            </w:r>
            <w:proofErr w:type="spellStart"/>
            <w:r w:rsidRPr="00157399">
              <w:rPr>
                <w:i/>
              </w:rPr>
              <w:t>Inc</w:t>
            </w:r>
            <w:proofErr w:type="spellEnd"/>
            <w:r>
              <w:t xml:space="preserve"> 2013 ONSC 331</w:t>
            </w:r>
          </w:p>
          <w:p w:rsidR="00157399" w:rsidRDefault="00157399" w:rsidP="00157399">
            <w:pPr>
              <w:pStyle w:val="CasesLegislationAppealFrom"/>
              <w:spacing w:after="60"/>
            </w:pPr>
            <w:proofErr w:type="spellStart"/>
            <w:r w:rsidRPr="00157399">
              <w:rPr>
                <w:i/>
              </w:rPr>
              <w:lastRenderedPageBreak/>
              <w:t>Mancinelli</w:t>
            </w:r>
            <w:proofErr w:type="spellEnd"/>
            <w:r w:rsidRPr="00157399">
              <w:rPr>
                <w:i/>
              </w:rPr>
              <w:t xml:space="preserve"> v Barrick Gold Corporation</w:t>
            </w:r>
            <w:r>
              <w:t xml:space="preserve"> (2015) 126 OR (3d) 296</w:t>
            </w:r>
          </w:p>
          <w:p w:rsidR="00694979" w:rsidRDefault="00694979" w:rsidP="0017478C">
            <w:pPr>
              <w:pStyle w:val="CasesLegislationAppealFrom"/>
              <w:spacing w:after="60"/>
              <w:rPr>
                <w:i/>
              </w:rPr>
            </w:pPr>
            <w:r w:rsidRPr="008107AE">
              <w:rPr>
                <w:i/>
              </w:rPr>
              <w:t>Melbourne City Investments Pty Ltd v Treasury Wine Estates Ltd</w:t>
            </w:r>
            <w:r>
              <w:t xml:space="preserve"> [2017] FCAFC 98</w:t>
            </w:r>
          </w:p>
          <w:p w:rsidR="0017478C" w:rsidRPr="0017478C" w:rsidRDefault="0017478C" w:rsidP="0017478C">
            <w:pPr>
              <w:pStyle w:val="CasesLegislationAppealFrom"/>
              <w:spacing w:after="60"/>
            </w:pPr>
            <w:r w:rsidRPr="0017478C">
              <w:rPr>
                <w:i/>
              </w:rPr>
              <w:t xml:space="preserve">Nelson v Merck </w:t>
            </w:r>
            <w:proofErr w:type="spellStart"/>
            <w:r w:rsidRPr="0017478C">
              <w:rPr>
                <w:i/>
              </w:rPr>
              <w:t>Frosst</w:t>
            </w:r>
            <w:proofErr w:type="spellEnd"/>
            <w:r w:rsidRPr="0017478C">
              <w:rPr>
                <w:i/>
              </w:rPr>
              <w:t xml:space="preserve"> Canada Ltd</w:t>
            </w:r>
            <w:r w:rsidRPr="0017478C">
              <w:t xml:space="preserve"> (2006) 61 BCLR (4th) 157</w:t>
            </w:r>
          </w:p>
          <w:p w:rsidR="0017478C" w:rsidRPr="0017478C" w:rsidRDefault="0017478C" w:rsidP="0017478C">
            <w:pPr>
              <w:pStyle w:val="CasesLegislationAppealFrom"/>
              <w:spacing w:after="60"/>
            </w:pPr>
            <w:r w:rsidRPr="0017478C">
              <w:rPr>
                <w:i/>
              </w:rPr>
              <w:t>Ryan v Great Lakes Council</w:t>
            </w:r>
            <w:r w:rsidRPr="0017478C">
              <w:t xml:space="preserve"> (1997) 78 FCR 309 </w:t>
            </w:r>
          </w:p>
          <w:p w:rsidR="00157399" w:rsidRDefault="00157399" w:rsidP="0017478C">
            <w:pPr>
              <w:pStyle w:val="CasesLegislationAppealFrom"/>
              <w:spacing w:after="60"/>
            </w:pPr>
            <w:proofErr w:type="spellStart"/>
            <w:r w:rsidRPr="00157399">
              <w:rPr>
                <w:i/>
              </w:rPr>
              <w:t>Setterington</w:t>
            </w:r>
            <w:proofErr w:type="spellEnd"/>
            <w:r w:rsidRPr="00157399">
              <w:rPr>
                <w:i/>
              </w:rPr>
              <w:t xml:space="preserve"> v Merck </w:t>
            </w:r>
            <w:proofErr w:type="spellStart"/>
            <w:r w:rsidRPr="00157399">
              <w:rPr>
                <w:i/>
              </w:rPr>
              <w:t>Frosst</w:t>
            </w:r>
            <w:proofErr w:type="spellEnd"/>
            <w:r w:rsidRPr="00157399">
              <w:rPr>
                <w:i/>
              </w:rPr>
              <w:t xml:space="preserve"> Canada Ltd</w:t>
            </w:r>
            <w:r>
              <w:t xml:space="preserve"> [2006] OJ No. 376</w:t>
            </w:r>
          </w:p>
          <w:p w:rsidR="0017478C" w:rsidRPr="0017478C" w:rsidRDefault="0017478C" w:rsidP="0017478C">
            <w:pPr>
              <w:pStyle w:val="CasesLegislationAppealFrom"/>
              <w:spacing w:after="60"/>
            </w:pPr>
            <w:r w:rsidRPr="0017478C">
              <w:rPr>
                <w:i/>
              </w:rPr>
              <w:t xml:space="preserve">Sharma v </w:t>
            </w:r>
            <w:proofErr w:type="spellStart"/>
            <w:r w:rsidRPr="0017478C">
              <w:rPr>
                <w:i/>
              </w:rPr>
              <w:t>Timminco</w:t>
            </w:r>
            <w:proofErr w:type="spellEnd"/>
            <w:r w:rsidRPr="0017478C">
              <w:rPr>
                <w:i/>
              </w:rPr>
              <w:t xml:space="preserve"> Ltd</w:t>
            </w:r>
            <w:r w:rsidRPr="0017478C">
              <w:t xml:space="preserve"> (2009) 99 OR (3d) 260</w:t>
            </w:r>
          </w:p>
          <w:p w:rsidR="0017478C" w:rsidRPr="0017478C" w:rsidRDefault="0017478C" w:rsidP="0017478C">
            <w:pPr>
              <w:pStyle w:val="CasesLegislationAppealFrom"/>
              <w:spacing w:after="60"/>
            </w:pPr>
            <w:r w:rsidRPr="0017478C">
              <w:rPr>
                <w:i/>
              </w:rPr>
              <w:t>Smith v Australian Executor Trustees Ltd; Creighton v Australian Executor Trustees Ltd</w:t>
            </w:r>
            <w:r w:rsidRPr="0017478C">
              <w:t xml:space="preserve"> [2016] NSWSC 17</w:t>
            </w:r>
          </w:p>
          <w:p w:rsidR="0017478C" w:rsidRDefault="0017478C" w:rsidP="0017478C">
            <w:pPr>
              <w:pStyle w:val="CasesLegislationAppealFrom"/>
              <w:spacing w:after="60"/>
            </w:pPr>
            <w:proofErr w:type="spellStart"/>
            <w:r w:rsidRPr="0017478C">
              <w:rPr>
                <w:i/>
              </w:rPr>
              <w:t>Tiboni</w:t>
            </w:r>
            <w:proofErr w:type="spellEnd"/>
            <w:r w:rsidRPr="0017478C">
              <w:rPr>
                <w:i/>
              </w:rPr>
              <w:t xml:space="preserve"> v Merck </w:t>
            </w:r>
            <w:proofErr w:type="spellStart"/>
            <w:r w:rsidRPr="0017478C">
              <w:rPr>
                <w:i/>
              </w:rPr>
              <w:t>Frosst</w:t>
            </w:r>
            <w:proofErr w:type="spellEnd"/>
            <w:r w:rsidRPr="0017478C">
              <w:rPr>
                <w:i/>
              </w:rPr>
              <w:t xml:space="preserve"> Canada</w:t>
            </w:r>
            <w:r w:rsidRPr="0017478C">
              <w:t xml:space="preserve"> Ltd (2008) 295 DLR (4th) 32</w:t>
            </w:r>
          </w:p>
          <w:p w:rsidR="00075248" w:rsidRDefault="00075248" w:rsidP="00075248">
            <w:pPr>
              <w:pStyle w:val="CasesLegislationAppealFrom"/>
              <w:spacing w:after="60"/>
            </w:pPr>
            <w:proofErr w:type="spellStart"/>
            <w:r w:rsidRPr="00075248">
              <w:rPr>
                <w:i/>
              </w:rPr>
              <w:t>Vitapharm</w:t>
            </w:r>
            <w:proofErr w:type="spellEnd"/>
            <w:r w:rsidRPr="00075248">
              <w:rPr>
                <w:i/>
              </w:rPr>
              <w:t xml:space="preserve"> Canada Ltd v F. Hoffmann-La Roche Ltd</w:t>
            </w:r>
            <w:r>
              <w:t xml:space="preserve"> [2000] OJ No. 4594</w:t>
            </w:r>
          </w:p>
          <w:p w:rsidR="0017478C" w:rsidRPr="0017478C" w:rsidRDefault="0017478C" w:rsidP="0017478C">
            <w:pPr>
              <w:pStyle w:val="CasesLegislationAppealFrom"/>
              <w:spacing w:after="60"/>
            </w:pPr>
          </w:p>
          <w:p w:rsidR="0017478C" w:rsidRPr="0017478C" w:rsidRDefault="0017478C" w:rsidP="0017478C">
            <w:pPr>
              <w:pStyle w:val="CasesLegislationAppealFrom"/>
              <w:spacing w:after="60"/>
            </w:pPr>
            <w:r w:rsidRPr="0017478C">
              <w:t xml:space="preserve">Grave D, Adams K and Betts J, </w:t>
            </w:r>
            <w:r w:rsidRPr="0017478C">
              <w:rPr>
                <w:i/>
              </w:rPr>
              <w:t>Class Actions in Australia</w:t>
            </w:r>
            <w:r w:rsidRPr="0017478C">
              <w:t xml:space="preserve"> (2nd </w:t>
            </w:r>
            <w:proofErr w:type="spellStart"/>
            <w:r w:rsidRPr="0017478C">
              <w:t>ed</w:t>
            </w:r>
            <w:proofErr w:type="spellEnd"/>
            <w:r w:rsidRPr="0017478C">
              <w:t xml:space="preserve">, </w:t>
            </w:r>
            <w:r w:rsidR="008B45F1">
              <w:t xml:space="preserve">Thomson Reuters, </w:t>
            </w:r>
            <w:r w:rsidRPr="0017478C">
              <w:t>2002)</w:t>
            </w:r>
          </w:p>
          <w:p w:rsidR="00395B24" w:rsidRPr="0017478C" w:rsidRDefault="0017478C" w:rsidP="00D82620">
            <w:pPr>
              <w:pStyle w:val="CasesLegislationAppealFrom"/>
              <w:spacing w:after="60"/>
              <w:rPr>
                <w:i/>
              </w:rPr>
            </w:pPr>
            <w:proofErr w:type="spellStart"/>
            <w:r w:rsidRPr="0017478C">
              <w:t>Morabito</w:t>
            </w:r>
            <w:proofErr w:type="spellEnd"/>
            <w:r w:rsidRPr="0017478C">
              <w:t xml:space="preserve">, V, “Clashing Classes Down Under – Evaluating Australia’s Competing Class Actions Through Empirical and Comparative Perspectives” (2012) 27 </w:t>
            </w:r>
            <w:r w:rsidRPr="008B45F1">
              <w:rPr>
                <w:i/>
              </w:rPr>
              <w:t>Connecticut Journal of International Law</w:t>
            </w:r>
            <w:r w:rsidRPr="0017478C">
              <w:t xml:space="preserve"> 245</w:t>
            </w:r>
            <w:r w:rsidR="002C7385" w:rsidRPr="0017478C">
              <w:t xml:space="preserve"> </w:t>
            </w:r>
            <w:bookmarkEnd w:id="4"/>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Normal1linespace"/>
              <w:widowControl w:val="0"/>
              <w:jc w:val="left"/>
            </w:pPr>
          </w:p>
        </w:tc>
      </w:tr>
      <w:tr w:rsidR="00693C45" w:rsidTr="00663878">
        <w:tc>
          <w:tcPr>
            <w:tcW w:w="3084" w:type="dxa"/>
            <w:shd w:val="clear" w:color="auto" w:fill="auto"/>
          </w:tcPr>
          <w:p w:rsidR="00693C45" w:rsidRDefault="00693C45" w:rsidP="00381849">
            <w:pPr>
              <w:pStyle w:val="Normal1linespace"/>
              <w:widowControl w:val="0"/>
              <w:jc w:val="left"/>
            </w:pPr>
            <w:r>
              <w:t>Date of hearing:</w:t>
            </w:r>
          </w:p>
        </w:tc>
        <w:tc>
          <w:tcPr>
            <w:tcW w:w="5954" w:type="dxa"/>
            <w:shd w:val="clear" w:color="auto" w:fill="auto"/>
          </w:tcPr>
          <w:p w:rsidR="00693C45" w:rsidRDefault="00693C45" w:rsidP="00381849">
            <w:pPr>
              <w:pStyle w:val="Normal1linespace"/>
              <w:widowControl w:val="0"/>
              <w:jc w:val="left"/>
            </w:pPr>
            <w:r>
              <w:t>16 June 2017</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Normal1linespace"/>
              <w:widowControl w:val="0"/>
              <w:jc w:val="left"/>
            </w:pPr>
          </w:p>
        </w:tc>
      </w:tr>
      <w:tr w:rsidR="00693C45" w:rsidTr="00663878">
        <w:tc>
          <w:tcPr>
            <w:tcW w:w="3084" w:type="dxa"/>
            <w:shd w:val="clear" w:color="auto" w:fill="auto"/>
          </w:tcPr>
          <w:p w:rsidR="00693C45" w:rsidRDefault="00693C45" w:rsidP="00381849">
            <w:pPr>
              <w:pStyle w:val="Normal1linespace"/>
              <w:widowControl w:val="0"/>
              <w:jc w:val="left"/>
            </w:pPr>
            <w:r>
              <w:t>Registry:</w:t>
            </w:r>
          </w:p>
        </w:tc>
        <w:tc>
          <w:tcPr>
            <w:tcW w:w="5954" w:type="dxa"/>
            <w:shd w:val="clear" w:color="auto" w:fill="auto"/>
          </w:tcPr>
          <w:p w:rsidR="00693C45" w:rsidRDefault="00693C45" w:rsidP="00381849">
            <w:pPr>
              <w:pStyle w:val="CasesLegislationAppealFrom"/>
              <w:spacing w:after="0"/>
            </w:pPr>
            <w:r>
              <w:t>Victoria</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693C45" w:rsidP="00381849">
            <w:pPr>
              <w:pStyle w:val="Normal1linespace"/>
              <w:widowControl w:val="0"/>
              <w:jc w:val="left"/>
            </w:pPr>
            <w:r>
              <w:t>Division:</w:t>
            </w:r>
          </w:p>
        </w:tc>
        <w:tc>
          <w:tcPr>
            <w:tcW w:w="5954" w:type="dxa"/>
            <w:shd w:val="clear" w:color="auto" w:fill="auto"/>
          </w:tcPr>
          <w:p w:rsidR="00693C45" w:rsidRDefault="00693C45" w:rsidP="00381849">
            <w:pPr>
              <w:pStyle w:val="CasesLegislationAppealFrom"/>
              <w:spacing w:after="0"/>
            </w:pPr>
            <w:r>
              <w:t>General Division</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Pr="000E61BF" w:rsidRDefault="00693C45" w:rsidP="00381849">
            <w:pPr>
              <w:pStyle w:val="CasesLegislationAppealFrom"/>
              <w:spacing w:after="0"/>
            </w:pPr>
          </w:p>
        </w:tc>
      </w:tr>
      <w:tr w:rsidR="00693C45" w:rsidTr="00663878">
        <w:tc>
          <w:tcPr>
            <w:tcW w:w="3084" w:type="dxa"/>
            <w:shd w:val="clear" w:color="auto" w:fill="auto"/>
          </w:tcPr>
          <w:p w:rsidR="00693C45" w:rsidRDefault="00693C45" w:rsidP="00381849">
            <w:pPr>
              <w:pStyle w:val="Normal1linespace"/>
              <w:widowControl w:val="0"/>
              <w:jc w:val="left"/>
            </w:pPr>
            <w:r>
              <w:t>National Practice Area:</w:t>
            </w:r>
          </w:p>
        </w:tc>
        <w:tc>
          <w:tcPr>
            <w:tcW w:w="5954" w:type="dxa"/>
            <w:shd w:val="clear" w:color="auto" w:fill="auto"/>
          </w:tcPr>
          <w:p w:rsidR="00693C45" w:rsidRPr="000E61BF" w:rsidRDefault="00693C45" w:rsidP="00381849">
            <w:pPr>
              <w:pStyle w:val="CasesLegislationAppealFrom"/>
              <w:spacing w:after="0"/>
            </w:pPr>
            <w:r>
              <w:t>Commercial and Corporations</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693C45" w:rsidP="00381849">
            <w:pPr>
              <w:pStyle w:val="Normal1linespace"/>
              <w:widowControl w:val="0"/>
              <w:jc w:val="left"/>
            </w:pPr>
            <w:r>
              <w:t>Sub-area:</w:t>
            </w:r>
          </w:p>
        </w:tc>
        <w:tc>
          <w:tcPr>
            <w:tcW w:w="5954" w:type="dxa"/>
            <w:shd w:val="clear" w:color="auto" w:fill="auto"/>
          </w:tcPr>
          <w:p w:rsidR="00693C45" w:rsidRDefault="00693C45" w:rsidP="00381849">
            <w:pPr>
              <w:pStyle w:val="CasesLegislationAppealFrom"/>
              <w:spacing w:after="0"/>
            </w:pPr>
            <w:r>
              <w:t>Corporations and Corporate Insolvency</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Pr="000E61BF" w:rsidRDefault="00693C45" w:rsidP="00381849">
            <w:pPr>
              <w:pStyle w:val="CasesLegislationAppealFrom"/>
              <w:spacing w:after="0"/>
            </w:pPr>
          </w:p>
        </w:tc>
      </w:tr>
      <w:tr w:rsidR="00693C45" w:rsidTr="00663878">
        <w:tc>
          <w:tcPr>
            <w:tcW w:w="3084" w:type="dxa"/>
            <w:shd w:val="clear" w:color="auto" w:fill="auto"/>
          </w:tcPr>
          <w:p w:rsidR="00693C45" w:rsidRDefault="00693C45" w:rsidP="00381849">
            <w:pPr>
              <w:pStyle w:val="Normal1linespace"/>
              <w:widowControl w:val="0"/>
              <w:jc w:val="left"/>
            </w:pPr>
            <w:r>
              <w:t>Category:</w:t>
            </w:r>
          </w:p>
        </w:tc>
        <w:tc>
          <w:tcPr>
            <w:tcW w:w="5954" w:type="dxa"/>
            <w:shd w:val="clear" w:color="auto" w:fill="auto"/>
          </w:tcPr>
          <w:p w:rsidR="00693C45" w:rsidRDefault="00693C45" w:rsidP="00381849">
            <w:pPr>
              <w:pStyle w:val="CasesLegislationAppealFrom"/>
              <w:spacing w:after="0"/>
            </w:pPr>
            <w:r>
              <w:t>Catchwords</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693C45" w:rsidP="00381849">
            <w:pPr>
              <w:pStyle w:val="Normal1linespace"/>
              <w:widowControl w:val="0"/>
              <w:jc w:val="left"/>
            </w:pPr>
            <w:r>
              <w:t>Number of paragraphs:</w:t>
            </w:r>
          </w:p>
        </w:tc>
        <w:tc>
          <w:tcPr>
            <w:tcW w:w="5954" w:type="dxa"/>
            <w:shd w:val="clear" w:color="auto" w:fill="auto"/>
          </w:tcPr>
          <w:p w:rsidR="00693C45" w:rsidRDefault="00A720E2" w:rsidP="00381849">
            <w:pPr>
              <w:pStyle w:val="CasesLegislationAppealFrom"/>
              <w:spacing w:after="0"/>
            </w:pPr>
            <w:r>
              <w:t>120</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DF6DDA" w:rsidP="00381849">
            <w:pPr>
              <w:pStyle w:val="Normal1linespace"/>
              <w:widowControl w:val="0"/>
              <w:jc w:val="left"/>
            </w:pPr>
            <w:r>
              <w:t>Counsel for the Applicant in VID 163 of 2017</w:t>
            </w:r>
            <w:r w:rsidR="00693C45">
              <w:t>:</w:t>
            </w:r>
          </w:p>
        </w:tc>
        <w:tc>
          <w:tcPr>
            <w:tcW w:w="5954" w:type="dxa"/>
            <w:shd w:val="clear" w:color="auto" w:fill="auto"/>
          </w:tcPr>
          <w:p w:rsidR="00693C45" w:rsidRDefault="00DF6DDA" w:rsidP="00EA3979">
            <w:pPr>
              <w:pStyle w:val="CasesLegislationAppealFrom"/>
              <w:spacing w:after="0"/>
            </w:pPr>
            <w:bookmarkStart w:id="5" w:name="AppCounsel"/>
            <w:bookmarkEnd w:id="5"/>
            <w:r>
              <w:t>Ms R</w:t>
            </w:r>
            <w:r w:rsidR="003A6EB8">
              <w:t xml:space="preserve">M Doyle SC with Mr JH </w:t>
            </w:r>
            <w:r>
              <w:t>Kirkwood</w:t>
            </w:r>
            <w:r w:rsidR="00EA3979">
              <w:t xml:space="preserve"> and Mr D </w:t>
            </w:r>
            <w:proofErr w:type="spellStart"/>
            <w:r w:rsidR="00EA3979">
              <w:t>Lorbeer</w:t>
            </w:r>
            <w:proofErr w:type="spellEnd"/>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Normal1linespace"/>
              <w:widowControl w:val="0"/>
              <w:jc w:val="left"/>
            </w:pPr>
          </w:p>
        </w:tc>
      </w:tr>
      <w:tr w:rsidR="00693C45" w:rsidTr="00663878">
        <w:tc>
          <w:tcPr>
            <w:tcW w:w="3084" w:type="dxa"/>
            <w:shd w:val="clear" w:color="auto" w:fill="auto"/>
          </w:tcPr>
          <w:p w:rsidR="00693C45" w:rsidRDefault="00DF6DDA" w:rsidP="00381849">
            <w:pPr>
              <w:pStyle w:val="Normal1linespace"/>
              <w:widowControl w:val="0"/>
              <w:jc w:val="left"/>
            </w:pPr>
            <w:r>
              <w:t>Solicitor for the Applicant in VID 163 of 2017</w:t>
            </w:r>
            <w:r w:rsidR="00693C45">
              <w:t>:</w:t>
            </w:r>
          </w:p>
        </w:tc>
        <w:tc>
          <w:tcPr>
            <w:tcW w:w="5954" w:type="dxa"/>
            <w:shd w:val="clear" w:color="auto" w:fill="auto"/>
          </w:tcPr>
          <w:p w:rsidR="00693C45" w:rsidRDefault="00DF6DDA" w:rsidP="00381849">
            <w:pPr>
              <w:pStyle w:val="CasesLegislationAppealFrom"/>
              <w:spacing w:after="0"/>
            </w:pPr>
            <w:r>
              <w:t>Slater and Gordon</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693C45" w:rsidP="00DF6DDA">
            <w:pPr>
              <w:pStyle w:val="Normal1linespace"/>
              <w:widowControl w:val="0"/>
              <w:jc w:val="left"/>
            </w:pPr>
            <w:r>
              <w:t xml:space="preserve">Counsel for the </w:t>
            </w:r>
            <w:r w:rsidR="00DF6DDA">
              <w:t>Applicant in VID 213 of 2017:</w:t>
            </w:r>
          </w:p>
        </w:tc>
        <w:tc>
          <w:tcPr>
            <w:tcW w:w="5954" w:type="dxa"/>
            <w:shd w:val="clear" w:color="auto" w:fill="auto"/>
          </w:tcPr>
          <w:p w:rsidR="00693C45" w:rsidRDefault="00DF6DDA" w:rsidP="00381849">
            <w:pPr>
              <w:pStyle w:val="CasesLegislationAppealFrom"/>
              <w:spacing w:after="0"/>
            </w:pPr>
            <w:r>
              <w:t xml:space="preserve">Mr JC </w:t>
            </w:r>
            <w:proofErr w:type="spellStart"/>
            <w:r>
              <w:t>Sheahan</w:t>
            </w:r>
            <w:proofErr w:type="spellEnd"/>
            <w:r>
              <w:t xml:space="preserve"> QC with Mr WAD Edwards and Mr DJ Fahey</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693C45" w:rsidP="00381849">
            <w:pPr>
              <w:pStyle w:val="Normal1linespace"/>
              <w:widowControl w:val="0"/>
              <w:jc w:val="left"/>
            </w:pPr>
            <w:r>
              <w:lastRenderedPageBreak/>
              <w:t xml:space="preserve">Solicitor for the </w:t>
            </w:r>
            <w:r w:rsidR="00DF6DDA">
              <w:t>Applicant in VID 213 of 2017:</w:t>
            </w:r>
          </w:p>
        </w:tc>
        <w:tc>
          <w:tcPr>
            <w:tcW w:w="5954" w:type="dxa"/>
            <w:shd w:val="clear" w:color="auto" w:fill="auto"/>
          </w:tcPr>
          <w:p w:rsidR="00693C45" w:rsidRDefault="00DF6DDA" w:rsidP="00381849">
            <w:pPr>
              <w:pStyle w:val="CasesLegislationAppealFrom"/>
              <w:spacing w:after="0"/>
            </w:pPr>
            <w:r>
              <w:t>Maurice Blackburn</w:t>
            </w:r>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693C45" w:rsidP="00DF6DDA">
            <w:pPr>
              <w:pStyle w:val="Normal1linespace"/>
              <w:widowControl w:val="0"/>
              <w:jc w:val="left"/>
            </w:pPr>
            <w:r>
              <w:t>Counsel for the Respondent</w:t>
            </w:r>
            <w:r w:rsidR="00DF6DDA">
              <w:t xml:space="preserve"> in VID 163 of 2017 and VID 213 of 2017</w:t>
            </w:r>
            <w:r>
              <w:t>:</w:t>
            </w:r>
          </w:p>
        </w:tc>
        <w:tc>
          <w:tcPr>
            <w:tcW w:w="5954" w:type="dxa"/>
            <w:shd w:val="clear" w:color="auto" w:fill="auto"/>
          </w:tcPr>
          <w:p w:rsidR="00693C45" w:rsidRDefault="00693C45" w:rsidP="00DF6DDA">
            <w:pPr>
              <w:pStyle w:val="CasesLegislationAppealFrom"/>
              <w:spacing w:after="0"/>
            </w:pPr>
            <w:r>
              <w:t xml:space="preserve">Mr </w:t>
            </w:r>
            <w:r w:rsidR="00DF6DDA">
              <w:t>M</w:t>
            </w:r>
            <w:r w:rsidR="003A6EB8">
              <w:t>C</w:t>
            </w:r>
            <w:r w:rsidR="00DF6DDA">
              <w:t xml:space="preserve"> Garner with Mr G </w:t>
            </w:r>
            <w:proofErr w:type="spellStart"/>
            <w:r w:rsidR="00DF6DDA">
              <w:t>Kozminsky</w:t>
            </w:r>
            <w:proofErr w:type="spellEnd"/>
          </w:p>
        </w:tc>
      </w:tr>
      <w:tr w:rsidR="00693C45" w:rsidTr="00663878">
        <w:tc>
          <w:tcPr>
            <w:tcW w:w="3084" w:type="dxa"/>
            <w:shd w:val="clear" w:color="auto" w:fill="auto"/>
          </w:tcPr>
          <w:p w:rsidR="00693C45" w:rsidRDefault="00693C45" w:rsidP="00381849">
            <w:pPr>
              <w:pStyle w:val="Normal1linespace"/>
              <w:widowControl w:val="0"/>
              <w:jc w:val="left"/>
            </w:pPr>
          </w:p>
        </w:tc>
        <w:tc>
          <w:tcPr>
            <w:tcW w:w="5954" w:type="dxa"/>
            <w:shd w:val="clear" w:color="auto" w:fill="auto"/>
          </w:tcPr>
          <w:p w:rsidR="00693C45" w:rsidRDefault="00693C45" w:rsidP="00381849">
            <w:pPr>
              <w:pStyle w:val="CasesLegislationAppealFrom"/>
              <w:spacing w:after="0"/>
            </w:pPr>
          </w:p>
        </w:tc>
      </w:tr>
      <w:tr w:rsidR="00693C45" w:rsidTr="00663878">
        <w:tc>
          <w:tcPr>
            <w:tcW w:w="3084" w:type="dxa"/>
            <w:shd w:val="clear" w:color="auto" w:fill="auto"/>
          </w:tcPr>
          <w:p w:rsidR="00693C45" w:rsidRDefault="00693C45" w:rsidP="00381849">
            <w:pPr>
              <w:pStyle w:val="Normal1linespace"/>
              <w:widowControl w:val="0"/>
              <w:jc w:val="left"/>
            </w:pPr>
            <w:r>
              <w:t xml:space="preserve">Solicitor for the </w:t>
            </w:r>
            <w:r w:rsidR="00DF6DDA">
              <w:t>Respondent in VID 163 of 2017 and VID 213 of 2017:</w:t>
            </w:r>
          </w:p>
        </w:tc>
        <w:tc>
          <w:tcPr>
            <w:tcW w:w="5954" w:type="dxa"/>
            <w:shd w:val="clear" w:color="auto" w:fill="auto"/>
          </w:tcPr>
          <w:p w:rsidR="00693C45" w:rsidRDefault="00DF6DDA" w:rsidP="00381849">
            <w:pPr>
              <w:pStyle w:val="CasesLegislationAppealFrom"/>
              <w:spacing w:after="0"/>
            </w:pPr>
            <w:r>
              <w:t>Herbert Smith Freehills</w:t>
            </w:r>
          </w:p>
        </w:tc>
      </w:tr>
    </w:tbl>
    <w:p w:rsidR="00395B24" w:rsidRDefault="00395B24">
      <w:pPr>
        <w:pStyle w:val="Normal1linespace"/>
      </w:pPr>
    </w:p>
    <w:p w:rsidR="00EA3979" w:rsidRDefault="00EA3979">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EA3979" w:rsidTr="00615AAC">
        <w:tc>
          <w:tcPr>
            <w:tcW w:w="3050" w:type="dxa"/>
            <w:shd w:val="clear" w:color="auto" w:fill="auto"/>
          </w:tcPr>
          <w:p w:rsidR="00EA3979" w:rsidRPr="00223FB4" w:rsidRDefault="00EA3979" w:rsidP="00615AAC">
            <w:pPr>
              <w:pStyle w:val="Normal1linespace"/>
              <w:jc w:val="left"/>
              <w:rPr>
                <w:b/>
              </w:rPr>
            </w:pPr>
            <w:r w:rsidRPr="00223FB4">
              <w:rPr>
                <w:b/>
              </w:rPr>
              <w:t>Table of Corrections</w:t>
            </w:r>
          </w:p>
        </w:tc>
        <w:tc>
          <w:tcPr>
            <w:tcW w:w="5989" w:type="dxa"/>
            <w:shd w:val="clear" w:color="auto" w:fill="auto"/>
          </w:tcPr>
          <w:p w:rsidR="00EA3979" w:rsidRDefault="00EA3979" w:rsidP="00615AAC">
            <w:pPr>
              <w:pStyle w:val="Normal1linespace"/>
              <w:widowControl w:val="0"/>
              <w:jc w:val="left"/>
              <w:rPr>
                <w:b/>
              </w:rPr>
            </w:pPr>
          </w:p>
        </w:tc>
      </w:tr>
      <w:tr w:rsidR="00EA3979" w:rsidTr="00615AAC">
        <w:tc>
          <w:tcPr>
            <w:tcW w:w="3050" w:type="dxa"/>
            <w:shd w:val="clear" w:color="auto" w:fill="auto"/>
          </w:tcPr>
          <w:p w:rsidR="00EA3979" w:rsidRDefault="00EA3979" w:rsidP="00615AAC">
            <w:pPr>
              <w:pStyle w:val="Normal1linespace"/>
              <w:widowControl w:val="0"/>
              <w:jc w:val="left"/>
            </w:pPr>
          </w:p>
        </w:tc>
        <w:tc>
          <w:tcPr>
            <w:tcW w:w="5989" w:type="dxa"/>
            <w:shd w:val="clear" w:color="auto" w:fill="auto"/>
          </w:tcPr>
          <w:p w:rsidR="00EA3979" w:rsidRDefault="00EA3979" w:rsidP="00615AAC">
            <w:pPr>
              <w:pStyle w:val="Normal1linespace"/>
              <w:widowControl w:val="0"/>
              <w:jc w:val="left"/>
            </w:pPr>
          </w:p>
        </w:tc>
      </w:tr>
      <w:tr w:rsidR="00EA3979" w:rsidTr="00615AAC">
        <w:tc>
          <w:tcPr>
            <w:tcW w:w="3050" w:type="dxa"/>
            <w:shd w:val="clear" w:color="auto" w:fill="auto"/>
          </w:tcPr>
          <w:p w:rsidR="00EA3979" w:rsidRDefault="00EA3979" w:rsidP="00615AAC">
            <w:pPr>
              <w:pStyle w:val="Normal1linespace"/>
              <w:widowControl w:val="0"/>
              <w:jc w:val="left"/>
            </w:pPr>
            <w:bookmarkStart w:id="6" w:name="SelectMe"/>
            <w:bookmarkEnd w:id="6"/>
            <w:r>
              <w:t>11 September 2017</w:t>
            </w:r>
          </w:p>
        </w:tc>
        <w:tc>
          <w:tcPr>
            <w:tcW w:w="5989" w:type="dxa"/>
            <w:shd w:val="clear" w:color="auto" w:fill="auto"/>
          </w:tcPr>
          <w:p w:rsidR="00EA3979" w:rsidRDefault="00EA3979" w:rsidP="00EA3979">
            <w:pPr>
              <w:pStyle w:val="Normal1linespace"/>
              <w:widowControl w:val="0"/>
              <w:jc w:val="left"/>
            </w:pPr>
            <w:r>
              <w:t>In the Appearances on the cover page in the field Counsel for the Applicant in VID 163 of 2017, the words “</w:t>
            </w:r>
            <w:r w:rsidR="00047801">
              <w:t xml:space="preserve">and </w:t>
            </w:r>
            <w:r>
              <w:t xml:space="preserve">Mr D </w:t>
            </w:r>
            <w:proofErr w:type="spellStart"/>
            <w:r>
              <w:t>Lorbeer</w:t>
            </w:r>
            <w:proofErr w:type="spellEnd"/>
            <w:r>
              <w:t>” after “Mr JH Kirkwood” have been added.</w:t>
            </w:r>
          </w:p>
        </w:tc>
      </w:tr>
    </w:tbl>
    <w:p w:rsidR="00EA3979" w:rsidRDefault="00EA3979">
      <w:pPr>
        <w:pStyle w:val="Normal1linespace"/>
      </w:pPr>
    </w:p>
    <w:p w:rsidR="00EA3979" w:rsidRDefault="00EA3979">
      <w:pPr>
        <w:pStyle w:val="Normal1linespace"/>
      </w:pPr>
    </w:p>
    <w:p w:rsidR="00EA3979" w:rsidRDefault="00EA3979">
      <w:pPr>
        <w:pStyle w:val="Normal1linespace"/>
        <w:sectPr w:rsidR="00EA3979">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37369A" w:rsidP="00644431">
            <w:pPr>
              <w:pStyle w:val="NormalHeadings"/>
              <w:jc w:val="right"/>
            </w:pPr>
            <w:bookmarkStart w:id="7" w:name="FileNo"/>
            <w:r>
              <w:t xml:space="preserve">VID </w:t>
            </w:r>
            <w:r w:rsidR="00644431">
              <w:t xml:space="preserve">163 </w:t>
            </w:r>
            <w:r>
              <w:t>of 2017</w:t>
            </w:r>
            <w:bookmarkEnd w:id="7"/>
          </w:p>
        </w:tc>
      </w:tr>
      <w:tr w:rsidR="00A76C13" w:rsidTr="00381849">
        <w:tc>
          <w:tcPr>
            <w:tcW w:w="9242" w:type="dxa"/>
            <w:gridSpan w:val="3"/>
          </w:tcPr>
          <w:p w:rsidR="00A76C13" w:rsidRPr="00A76C13" w:rsidRDefault="0037369A" w:rsidP="0037369A">
            <w:pPr>
              <w:pStyle w:val="NormalHeadings"/>
              <w:jc w:val="left"/>
            </w:pPr>
            <w:bookmarkStart w:id="8" w:name="InTheMatterOf"/>
            <w:r>
              <w:t xml:space="preserve"> </w:t>
            </w:r>
            <w:bookmarkEnd w:id="8"/>
          </w:p>
        </w:tc>
      </w:tr>
      <w:tr w:rsidR="00A46CCC" w:rsidTr="00381849">
        <w:trPr>
          <w:trHeight w:val="386"/>
        </w:trPr>
        <w:tc>
          <w:tcPr>
            <w:tcW w:w="2376" w:type="dxa"/>
          </w:tcPr>
          <w:p w:rsidR="00A46CCC" w:rsidRDefault="00A46CCC" w:rsidP="00381849">
            <w:pPr>
              <w:pStyle w:val="NormalHeadings"/>
              <w:jc w:val="left"/>
              <w:rPr>
                <w:caps/>
                <w:szCs w:val="24"/>
              </w:rPr>
            </w:pPr>
            <w:bookmarkStart w:id="9" w:name="Parties"/>
            <w:r>
              <w:rPr>
                <w:caps/>
                <w:szCs w:val="24"/>
              </w:rPr>
              <w:t>BETWEEN:</w:t>
            </w:r>
          </w:p>
        </w:tc>
        <w:tc>
          <w:tcPr>
            <w:tcW w:w="6866" w:type="dxa"/>
            <w:gridSpan w:val="2"/>
          </w:tcPr>
          <w:p w:rsidR="0037369A" w:rsidRDefault="0037369A" w:rsidP="0037369A">
            <w:pPr>
              <w:pStyle w:val="NormalHeadings"/>
              <w:jc w:val="left"/>
            </w:pPr>
            <w:bookmarkStart w:id="10" w:name="Applicant"/>
            <w:r>
              <w:t>MCKAY SUPER SOLUTIONS PTY LTD (ACN 110 853 024) (AS TRUSTEE FOR THE MCKAY SUPER SOLUTIONS FUND)</w:t>
            </w:r>
          </w:p>
          <w:p w:rsidR="0037369A" w:rsidRDefault="0037369A" w:rsidP="0037369A">
            <w:pPr>
              <w:pStyle w:val="PartyType"/>
            </w:pPr>
            <w:r>
              <w:t>Applicant</w:t>
            </w:r>
          </w:p>
          <w:bookmarkEnd w:id="10"/>
          <w:p w:rsidR="00A46CCC" w:rsidRPr="006555B4" w:rsidRDefault="00A46CCC" w:rsidP="00381849">
            <w:pPr>
              <w:pStyle w:val="NormalHeadings"/>
              <w:jc w:val="left"/>
            </w:pPr>
          </w:p>
        </w:tc>
      </w:tr>
      <w:tr w:rsidR="00A46CCC" w:rsidTr="00381849">
        <w:trPr>
          <w:trHeight w:val="386"/>
        </w:trPr>
        <w:tc>
          <w:tcPr>
            <w:tcW w:w="2376" w:type="dxa"/>
          </w:tcPr>
          <w:p w:rsidR="00A46CCC" w:rsidRDefault="00A46CCC" w:rsidP="00381849">
            <w:pPr>
              <w:pStyle w:val="NormalHeadings"/>
              <w:jc w:val="left"/>
              <w:rPr>
                <w:caps/>
                <w:szCs w:val="24"/>
              </w:rPr>
            </w:pPr>
            <w:r>
              <w:rPr>
                <w:caps/>
                <w:szCs w:val="24"/>
              </w:rPr>
              <w:t>AND:</w:t>
            </w:r>
          </w:p>
        </w:tc>
        <w:tc>
          <w:tcPr>
            <w:tcW w:w="6866" w:type="dxa"/>
            <w:gridSpan w:val="2"/>
          </w:tcPr>
          <w:p w:rsidR="0037369A" w:rsidRDefault="00E418D1" w:rsidP="0037369A">
            <w:pPr>
              <w:pStyle w:val="NormalHeadings"/>
              <w:jc w:val="left"/>
            </w:pPr>
            <w:bookmarkStart w:id="11" w:name="Respondent"/>
            <w:r>
              <w:t>BELLAMY’</w:t>
            </w:r>
            <w:r w:rsidR="0037369A">
              <w:t>S AUSTRALIA LIMITED (ACN 124 272 108)</w:t>
            </w:r>
          </w:p>
          <w:p w:rsidR="0037369A" w:rsidRDefault="0037369A" w:rsidP="0037369A">
            <w:pPr>
              <w:pStyle w:val="PartyType"/>
            </w:pPr>
            <w:r>
              <w:t>Respondent</w:t>
            </w:r>
          </w:p>
          <w:bookmarkEnd w:id="11"/>
          <w:p w:rsidR="00A46CCC" w:rsidRPr="006555B4" w:rsidRDefault="00A46CCC" w:rsidP="00381849">
            <w:pPr>
              <w:pStyle w:val="NormalHeadings"/>
              <w:jc w:val="left"/>
            </w:pPr>
          </w:p>
        </w:tc>
      </w:tr>
    </w:tbl>
    <w:p w:rsidR="00395B24" w:rsidRDefault="00395B24">
      <w:pPr>
        <w:pStyle w:val="NormalHeadings"/>
      </w:pPr>
      <w:bookmarkStart w:id="12" w:name="CrossClaimPosition"/>
      <w:bookmarkEnd w:id="9"/>
      <w:bookmarkEnd w:id="12"/>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37369A">
            <w:pPr>
              <w:pStyle w:val="NormalHeadings"/>
              <w:spacing w:after="120"/>
              <w:jc w:val="left"/>
              <w:rPr>
                <w:caps/>
                <w:szCs w:val="24"/>
              </w:rPr>
            </w:pPr>
            <w:bookmarkStart w:id="13" w:name="JudgeText"/>
            <w:r>
              <w:rPr>
                <w:caps/>
                <w:szCs w:val="24"/>
              </w:rPr>
              <w:t>JUDGE</w:t>
            </w:r>
            <w:bookmarkEnd w:id="13"/>
            <w:r w:rsidR="002C7385">
              <w:rPr>
                <w:caps/>
                <w:szCs w:val="24"/>
              </w:rPr>
              <w:t>:</w:t>
            </w:r>
          </w:p>
        </w:tc>
        <w:tc>
          <w:tcPr>
            <w:tcW w:w="6866" w:type="dxa"/>
          </w:tcPr>
          <w:p w:rsidR="00395B24" w:rsidRDefault="0037369A">
            <w:pPr>
              <w:pStyle w:val="NormalHeadings"/>
              <w:jc w:val="left"/>
              <w:rPr>
                <w:caps/>
                <w:szCs w:val="24"/>
              </w:rPr>
            </w:pPr>
            <w:bookmarkStart w:id="14" w:name="Judge"/>
            <w:r>
              <w:rPr>
                <w:caps/>
                <w:szCs w:val="24"/>
              </w:rPr>
              <w:t>BEACH J</w:t>
            </w:r>
            <w:bookmarkEnd w:id="14"/>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8B044B">
            <w:pPr>
              <w:pStyle w:val="NormalHeadings"/>
              <w:jc w:val="left"/>
              <w:rPr>
                <w:caps/>
                <w:szCs w:val="24"/>
              </w:rPr>
            </w:pPr>
            <w:bookmarkStart w:id="15" w:name="Judgment_Dated"/>
            <w:r>
              <w:rPr>
                <w:caps/>
                <w:szCs w:val="24"/>
              </w:rPr>
              <w:t>18</w:t>
            </w:r>
            <w:r w:rsidR="00DB15A0">
              <w:rPr>
                <w:caps/>
                <w:szCs w:val="24"/>
              </w:rPr>
              <w:t xml:space="preserve"> august</w:t>
            </w:r>
            <w:r w:rsidR="0037369A">
              <w:rPr>
                <w:caps/>
                <w:szCs w:val="24"/>
              </w:rPr>
              <w:t xml:space="preserve"> 2017</w:t>
            </w:r>
            <w:bookmarkEnd w:id="15"/>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Pr="00742374" w:rsidRDefault="009843AC" w:rsidP="00E418D1">
      <w:pPr>
        <w:pStyle w:val="Order1"/>
      </w:pPr>
      <w:bookmarkStart w:id="16" w:name="Order_Start_Text"/>
      <w:bookmarkEnd w:id="16"/>
      <w:r>
        <w:t xml:space="preserve">Within 7 days of </w:t>
      </w:r>
      <w:r w:rsidRPr="00742374">
        <w:t xml:space="preserve">the date of these orders, </w:t>
      </w:r>
      <w:r w:rsidR="009C038B" w:rsidRPr="00742374">
        <w:t>the parties</w:t>
      </w:r>
      <w:r w:rsidRPr="00742374">
        <w:t xml:space="preserve"> file and </w:t>
      </w:r>
      <w:r w:rsidR="008B044B">
        <w:t>serve minutes of orders and submissions (no more than ten</w:t>
      </w:r>
      <w:r w:rsidRPr="00742374">
        <w:t xml:space="preserve"> pages) directed to implem</w:t>
      </w:r>
      <w:r w:rsidR="008A7E7B">
        <w:t>enting the following protocol to accord</w:t>
      </w:r>
      <w:r w:rsidRPr="00742374">
        <w:t xml:space="preserve"> with the Court’s reasons</w:t>
      </w:r>
      <w:r w:rsidR="00742374" w:rsidRPr="00742374">
        <w:t>, being</w:t>
      </w:r>
      <w:r w:rsidRPr="00742374">
        <w:t>:</w:t>
      </w:r>
    </w:p>
    <w:p w:rsidR="009843AC" w:rsidRPr="00742374" w:rsidRDefault="009843AC" w:rsidP="009843AC">
      <w:pPr>
        <w:pStyle w:val="Order2"/>
      </w:pPr>
      <w:r w:rsidRPr="00742374">
        <w:t>to close the class in the Basil proceedings</w:t>
      </w:r>
      <w:r w:rsidR="009C038B" w:rsidRPr="00742374">
        <w:t xml:space="preserve"> (VID 213 of 2017)</w:t>
      </w:r>
      <w:r w:rsidRPr="00742374">
        <w:t>;</w:t>
      </w:r>
    </w:p>
    <w:p w:rsidR="009843AC" w:rsidRPr="00742374" w:rsidRDefault="009843AC" w:rsidP="009843AC">
      <w:pPr>
        <w:pStyle w:val="Order2"/>
      </w:pPr>
      <w:r w:rsidRPr="00742374">
        <w:t xml:space="preserve">to provide for notifications to group members in each of the proceedings of relevant class closure and opt out mechanisms such as to achieve the result of the McKay proceedings </w:t>
      </w:r>
      <w:r w:rsidR="009C038B" w:rsidRPr="00742374">
        <w:t xml:space="preserve">(VID 163 of 2017) </w:t>
      </w:r>
      <w:r w:rsidR="00D7198F">
        <w:t>continuing</w:t>
      </w:r>
      <w:r w:rsidR="008A7E7B">
        <w:t xml:space="preserve"> as </w:t>
      </w:r>
      <w:r w:rsidRPr="00742374">
        <w:t>open class proceeding</w:t>
      </w:r>
      <w:r w:rsidR="008A7E7B">
        <w:t>s</w:t>
      </w:r>
      <w:r w:rsidRPr="00742374">
        <w:t xml:space="preserve"> and the Basil proceedings </w:t>
      </w:r>
      <w:r w:rsidR="00D7198F">
        <w:t>continuing</w:t>
      </w:r>
      <w:r w:rsidR="008A7E7B">
        <w:t xml:space="preserve"> as </w:t>
      </w:r>
      <w:r w:rsidRPr="00742374">
        <w:t>closed class proceeding</w:t>
      </w:r>
      <w:r w:rsidR="008A7E7B">
        <w:t>s</w:t>
      </w:r>
      <w:r w:rsidRPr="00742374">
        <w:t>.</w:t>
      </w:r>
    </w:p>
    <w:p w:rsidR="009843AC" w:rsidRDefault="009843AC" w:rsidP="009843AC">
      <w:pPr>
        <w:pStyle w:val="Order1"/>
      </w:pPr>
      <w:r w:rsidRPr="00742374">
        <w:t xml:space="preserve">Within 14 days of the date of these orders, </w:t>
      </w:r>
      <w:r w:rsidR="009C038B" w:rsidRPr="00742374">
        <w:t xml:space="preserve">the parties </w:t>
      </w:r>
      <w:r w:rsidR="008B044B">
        <w:t xml:space="preserve">file and serve </w:t>
      </w:r>
      <w:r w:rsidRPr="00742374">
        <w:t xml:space="preserve">submissions in response (no more than </w:t>
      </w:r>
      <w:r w:rsidR="008B044B">
        <w:t>five</w:t>
      </w:r>
      <w:r w:rsidRPr="00742374">
        <w:t xml:space="preserve"> pages) to any other party’s proposed minutes of orde</w:t>
      </w:r>
      <w:r w:rsidR="00D7198F">
        <w:t>rs and</w:t>
      </w:r>
      <w:r w:rsidRPr="00742374">
        <w:t xml:space="preserve"> submissions served in accordance with order 1</w:t>
      </w:r>
      <w:r w:rsidR="009C038B" w:rsidRPr="00742374">
        <w:t xml:space="preserve"> in </w:t>
      </w:r>
      <w:r w:rsidR="008A7E7B">
        <w:t xml:space="preserve">either </w:t>
      </w:r>
      <w:r w:rsidR="009C038B" w:rsidRPr="00742374">
        <w:t xml:space="preserve">the Basil proceedings </w:t>
      </w:r>
      <w:r w:rsidR="008A7E7B">
        <w:t>or</w:t>
      </w:r>
      <w:r w:rsidR="00D7198F">
        <w:t xml:space="preserve"> the</w:t>
      </w:r>
      <w:r w:rsidR="009C038B" w:rsidRPr="00742374">
        <w:t xml:space="preserve"> McKay proceedings</w:t>
      </w:r>
      <w:r w:rsidRPr="00742374">
        <w:t>.</w:t>
      </w:r>
    </w:p>
    <w:p w:rsidR="008B044B" w:rsidRPr="00742374" w:rsidRDefault="008B044B" w:rsidP="009843AC">
      <w:pPr>
        <w:pStyle w:val="Order1"/>
      </w:pPr>
      <w:r>
        <w:t>The proceedings be listed for a further case management hearing within 21 days on a date to be advised.</w:t>
      </w:r>
    </w:p>
    <w:p w:rsidR="009843AC" w:rsidRDefault="009843AC" w:rsidP="009843AC">
      <w:pPr>
        <w:pStyle w:val="Order1"/>
      </w:pPr>
      <w:r>
        <w:t>Liberty to apply.</w:t>
      </w:r>
    </w:p>
    <w:p w:rsidR="00636871" w:rsidRDefault="00636871"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E418D1" w:rsidRPr="00045BB7" w:rsidRDefault="00E418D1"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E418D1" w:rsidTr="00E81DA6">
        <w:tc>
          <w:tcPr>
            <w:tcW w:w="6912" w:type="dxa"/>
            <w:gridSpan w:val="2"/>
          </w:tcPr>
          <w:p w:rsidR="00E418D1" w:rsidRPr="001765E0" w:rsidRDefault="00E418D1" w:rsidP="00381849">
            <w:pPr>
              <w:pStyle w:val="NormalHeadings"/>
            </w:pPr>
          </w:p>
        </w:tc>
        <w:tc>
          <w:tcPr>
            <w:tcW w:w="2330" w:type="dxa"/>
          </w:tcPr>
          <w:p w:rsidR="00E418D1" w:rsidRDefault="00E418D1" w:rsidP="00381849">
            <w:pPr>
              <w:pStyle w:val="NormalHeadings"/>
              <w:jc w:val="right"/>
            </w:pPr>
            <w:r>
              <w:t>VID 213 of 2017</w:t>
            </w:r>
          </w:p>
        </w:tc>
      </w:tr>
      <w:tr w:rsidR="00E418D1" w:rsidTr="00381849">
        <w:tc>
          <w:tcPr>
            <w:tcW w:w="9242" w:type="dxa"/>
            <w:gridSpan w:val="3"/>
          </w:tcPr>
          <w:p w:rsidR="00E418D1" w:rsidRPr="00A76C13" w:rsidRDefault="00E418D1" w:rsidP="00381849">
            <w:pPr>
              <w:pStyle w:val="NormalHeadings"/>
              <w:jc w:val="left"/>
            </w:pPr>
          </w:p>
        </w:tc>
      </w:tr>
      <w:tr w:rsidR="00E418D1" w:rsidTr="00381849">
        <w:trPr>
          <w:trHeight w:val="386"/>
        </w:trPr>
        <w:tc>
          <w:tcPr>
            <w:tcW w:w="2376" w:type="dxa"/>
          </w:tcPr>
          <w:p w:rsidR="00E418D1" w:rsidRDefault="00E418D1" w:rsidP="00381849">
            <w:pPr>
              <w:pStyle w:val="NormalHeadings"/>
              <w:jc w:val="left"/>
              <w:rPr>
                <w:caps/>
                <w:szCs w:val="24"/>
              </w:rPr>
            </w:pPr>
            <w:r>
              <w:rPr>
                <w:caps/>
                <w:szCs w:val="24"/>
              </w:rPr>
              <w:t>BETWEEN:</w:t>
            </w:r>
          </w:p>
        </w:tc>
        <w:tc>
          <w:tcPr>
            <w:tcW w:w="6866" w:type="dxa"/>
            <w:gridSpan w:val="2"/>
          </w:tcPr>
          <w:p w:rsidR="00E418D1" w:rsidRPr="008D226B" w:rsidRDefault="00E418D1" w:rsidP="00381849">
            <w:pPr>
              <w:pStyle w:val="NormalHeadings"/>
            </w:pPr>
            <w:r>
              <w:t>PETER ANTHONY BASIL</w:t>
            </w:r>
          </w:p>
          <w:p w:rsidR="00E418D1" w:rsidRDefault="00E418D1" w:rsidP="00381849">
            <w:pPr>
              <w:pStyle w:val="PartyType"/>
            </w:pPr>
            <w:r>
              <w:t>Applicant</w:t>
            </w:r>
          </w:p>
          <w:p w:rsidR="00E418D1" w:rsidRPr="006555B4" w:rsidRDefault="00E418D1" w:rsidP="00381849">
            <w:pPr>
              <w:pStyle w:val="NormalHeadings"/>
            </w:pPr>
          </w:p>
        </w:tc>
      </w:tr>
      <w:tr w:rsidR="00E418D1" w:rsidTr="00381849">
        <w:trPr>
          <w:trHeight w:val="386"/>
        </w:trPr>
        <w:tc>
          <w:tcPr>
            <w:tcW w:w="2376" w:type="dxa"/>
          </w:tcPr>
          <w:p w:rsidR="00E418D1" w:rsidRDefault="00E418D1" w:rsidP="00381849">
            <w:pPr>
              <w:pStyle w:val="NormalHeadings"/>
              <w:jc w:val="left"/>
              <w:rPr>
                <w:caps/>
                <w:szCs w:val="24"/>
              </w:rPr>
            </w:pPr>
            <w:r>
              <w:rPr>
                <w:caps/>
                <w:szCs w:val="24"/>
              </w:rPr>
              <w:t>AND:</w:t>
            </w:r>
          </w:p>
        </w:tc>
        <w:tc>
          <w:tcPr>
            <w:tcW w:w="6866" w:type="dxa"/>
            <w:gridSpan w:val="2"/>
          </w:tcPr>
          <w:p w:rsidR="00E418D1" w:rsidRDefault="00E418D1" w:rsidP="00E418D1">
            <w:pPr>
              <w:pStyle w:val="NormalHeadings"/>
              <w:jc w:val="left"/>
            </w:pPr>
            <w:r>
              <w:t>BELLAMY’S AUSTRALIA LIMITED (ACN 124 272 108)</w:t>
            </w:r>
          </w:p>
          <w:p w:rsidR="00E418D1" w:rsidRDefault="00E418D1" w:rsidP="00381849">
            <w:pPr>
              <w:pStyle w:val="PartyType"/>
            </w:pPr>
            <w:r>
              <w:t>Respondent</w:t>
            </w:r>
          </w:p>
          <w:p w:rsidR="00E418D1" w:rsidRPr="006555B4" w:rsidRDefault="00E418D1" w:rsidP="00381849">
            <w:pPr>
              <w:pStyle w:val="NormalHeadings"/>
            </w:pPr>
          </w:p>
        </w:tc>
      </w:tr>
    </w:tbl>
    <w:p w:rsidR="00E418D1" w:rsidRDefault="00E418D1">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E418D1">
        <w:tc>
          <w:tcPr>
            <w:tcW w:w="2376" w:type="dxa"/>
          </w:tcPr>
          <w:p w:rsidR="00E418D1" w:rsidRDefault="00E418D1">
            <w:pPr>
              <w:pStyle w:val="NormalHeadings"/>
              <w:spacing w:after="120"/>
              <w:jc w:val="left"/>
              <w:rPr>
                <w:caps/>
                <w:szCs w:val="24"/>
              </w:rPr>
            </w:pPr>
            <w:r>
              <w:rPr>
                <w:caps/>
                <w:szCs w:val="24"/>
              </w:rPr>
              <w:t>JUDGE:</w:t>
            </w:r>
          </w:p>
        </w:tc>
        <w:tc>
          <w:tcPr>
            <w:tcW w:w="6866" w:type="dxa"/>
          </w:tcPr>
          <w:p w:rsidR="00E418D1" w:rsidRDefault="00E418D1">
            <w:pPr>
              <w:pStyle w:val="NormalHeadings"/>
              <w:jc w:val="left"/>
              <w:rPr>
                <w:caps/>
                <w:szCs w:val="24"/>
              </w:rPr>
            </w:pPr>
            <w:r>
              <w:rPr>
                <w:caps/>
                <w:szCs w:val="24"/>
              </w:rPr>
              <w:t>BEACH J</w:t>
            </w:r>
          </w:p>
        </w:tc>
      </w:tr>
      <w:tr w:rsidR="00E418D1">
        <w:tc>
          <w:tcPr>
            <w:tcW w:w="2376" w:type="dxa"/>
          </w:tcPr>
          <w:p w:rsidR="00E418D1" w:rsidRDefault="00E418D1">
            <w:pPr>
              <w:pStyle w:val="NormalHeadings"/>
              <w:spacing w:after="120"/>
              <w:jc w:val="left"/>
              <w:rPr>
                <w:caps/>
                <w:szCs w:val="24"/>
              </w:rPr>
            </w:pPr>
            <w:r>
              <w:rPr>
                <w:caps/>
                <w:szCs w:val="24"/>
              </w:rPr>
              <w:t>DATE OF ORDER:</w:t>
            </w:r>
          </w:p>
        </w:tc>
        <w:tc>
          <w:tcPr>
            <w:tcW w:w="6866" w:type="dxa"/>
          </w:tcPr>
          <w:p w:rsidR="00E418D1" w:rsidRDefault="008B044B" w:rsidP="00DB15A0">
            <w:pPr>
              <w:pStyle w:val="NormalHeadings"/>
              <w:jc w:val="left"/>
              <w:rPr>
                <w:caps/>
                <w:szCs w:val="24"/>
              </w:rPr>
            </w:pPr>
            <w:r>
              <w:rPr>
                <w:caps/>
                <w:szCs w:val="24"/>
              </w:rPr>
              <w:t>18</w:t>
            </w:r>
            <w:r w:rsidR="00E418D1">
              <w:rPr>
                <w:caps/>
                <w:szCs w:val="24"/>
              </w:rPr>
              <w:t xml:space="preserve"> </w:t>
            </w:r>
            <w:r w:rsidR="00DB15A0">
              <w:rPr>
                <w:caps/>
                <w:szCs w:val="24"/>
              </w:rPr>
              <w:t>AUGUST</w:t>
            </w:r>
            <w:r w:rsidR="00E418D1">
              <w:rPr>
                <w:caps/>
                <w:szCs w:val="24"/>
              </w:rPr>
              <w:t xml:space="preserve"> 2017</w:t>
            </w:r>
          </w:p>
        </w:tc>
      </w:tr>
    </w:tbl>
    <w:p w:rsidR="00E418D1" w:rsidRDefault="00E418D1">
      <w:pPr>
        <w:pStyle w:val="NormalHeadings"/>
        <w:rPr>
          <w:b w:val="0"/>
        </w:rPr>
      </w:pPr>
    </w:p>
    <w:p w:rsidR="00E418D1" w:rsidRDefault="00E418D1">
      <w:pPr>
        <w:pStyle w:val="NormalHeadings"/>
        <w:rPr>
          <w:b w:val="0"/>
        </w:rPr>
      </w:pPr>
    </w:p>
    <w:p w:rsidR="00E418D1" w:rsidRDefault="00E418D1">
      <w:pPr>
        <w:pStyle w:val="NormalHeadings"/>
      </w:pPr>
      <w:r>
        <w:t>THE COURT ORDERS THAT:</w:t>
      </w:r>
    </w:p>
    <w:p w:rsidR="00E418D1" w:rsidRDefault="00E418D1">
      <w:pPr>
        <w:pStyle w:val="NormalHeadings"/>
      </w:pPr>
    </w:p>
    <w:p w:rsidR="008B044B" w:rsidRPr="00742374" w:rsidRDefault="008B044B" w:rsidP="008B044B">
      <w:pPr>
        <w:pStyle w:val="Order1"/>
        <w:numPr>
          <w:ilvl w:val="0"/>
          <w:numId w:val="41"/>
        </w:numPr>
      </w:pPr>
      <w:r>
        <w:t xml:space="preserve">Within 7 days of </w:t>
      </w:r>
      <w:r w:rsidRPr="00742374">
        <w:t xml:space="preserve">the date of these orders, the parties file and </w:t>
      </w:r>
      <w:r>
        <w:t>serve minutes of orders and submissions (no more than ten</w:t>
      </w:r>
      <w:r w:rsidRPr="00742374">
        <w:t xml:space="preserve"> pages) directed to implem</w:t>
      </w:r>
      <w:r>
        <w:t>enting the following protocol to accord</w:t>
      </w:r>
      <w:r w:rsidRPr="00742374">
        <w:t xml:space="preserve"> with the Court’s reasons, being:</w:t>
      </w:r>
    </w:p>
    <w:p w:rsidR="008B044B" w:rsidRPr="00742374" w:rsidRDefault="008B044B" w:rsidP="008B044B">
      <w:pPr>
        <w:pStyle w:val="Order2"/>
      </w:pPr>
      <w:r w:rsidRPr="00742374">
        <w:t>to close the class in the Basil proceedings (VID 213 of 2017);</w:t>
      </w:r>
    </w:p>
    <w:p w:rsidR="008B044B" w:rsidRPr="00742374" w:rsidRDefault="008B044B" w:rsidP="008B044B">
      <w:pPr>
        <w:pStyle w:val="Order2"/>
      </w:pPr>
      <w:r w:rsidRPr="00742374">
        <w:t xml:space="preserve">to provide for notifications to group members in each of the proceedings of relevant class closure and opt out mechanisms such as to achieve the result of the McKay proceedings (VID 163 of 2017) </w:t>
      </w:r>
      <w:r>
        <w:t xml:space="preserve">continuing as </w:t>
      </w:r>
      <w:r w:rsidRPr="00742374">
        <w:t>open class proceeding</w:t>
      </w:r>
      <w:r>
        <w:t>s</w:t>
      </w:r>
      <w:r w:rsidRPr="00742374">
        <w:t xml:space="preserve"> and the Basil proceedings </w:t>
      </w:r>
      <w:r>
        <w:t xml:space="preserve">continuing as </w:t>
      </w:r>
      <w:r w:rsidRPr="00742374">
        <w:t>closed class proceeding</w:t>
      </w:r>
      <w:r>
        <w:t>s</w:t>
      </w:r>
      <w:r w:rsidRPr="00742374">
        <w:t>.</w:t>
      </w:r>
    </w:p>
    <w:p w:rsidR="008B044B" w:rsidRDefault="008B044B" w:rsidP="008B044B">
      <w:pPr>
        <w:pStyle w:val="Order1"/>
      </w:pPr>
      <w:r w:rsidRPr="00742374">
        <w:t xml:space="preserve">Within 14 days of the date of these orders, the parties </w:t>
      </w:r>
      <w:r>
        <w:t xml:space="preserve">file and serve </w:t>
      </w:r>
      <w:r w:rsidRPr="00742374">
        <w:t xml:space="preserve">submissions in response (no more than </w:t>
      </w:r>
      <w:r>
        <w:t>five</w:t>
      </w:r>
      <w:r w:rsidRPr="00742374">
        <w:t xml:space="preserve"> pages) to any other party’s proposed minutes of orde</w:t>
      </w:r>
      <w:r>
        <w:t>rs and</w:t>
      </w:r>
      <w:r w:rsidRPr="00742374">
        <w:t xml:space="preserve"> submissions served in accordance with order 1 in </w:t>
      </w:r>
      <w:r>
        <w:t xml:space="preserve">either </w:t>
      </w:r>
      <w:r w:rsidRPr="00742374">
        <w:t xml:space="preserve">the Basil proceedings </w:t>
      </w:r>
      <w:r>
        <w:t>or the</w:t>
      </w:r>
      <w:r w:rsidRPr="00742374">
        <w:t xml:space="preserve"> McKay proceedings.</w:t>
      </w:r>
    </w:p>
    <w:p w:rsidR="008B044B" w:rsidRPr="00742374" w:rsidRDefault="008B044B" w:rsidP="008B044B">
      <w:pPr>
        <w:pStyle w:val="Order1"/>
      </w:pPr>
      <w:r>
        <w:t>The proceedings be listed for a further case management hearing within 21 days on a date to be advised.</w:t>
      </w:r>
    </w:p>
    <w:p w:rsidR="008A7E7B" w:rsidRDefault="008A7E7B" w:rsidP="008A7E7B">
      <w:pPr>
        <w:pStyle w:val="Order1"/>
      </w:pPr>
      <w:r>
        <w:t>Liberty to apply.</w:t>
      </w:r>
    </w:p>
    <w:p w:rsidR="00E418D1" w:rsidRDefault="00E418D1" w:rsidP="002B0E91">
      <w:pPr>
        <w:pStyle w:val="BodyText"/>
      </w:pPr>
    </w:p>
    <w:p w:rsidR="00E418D1" w:rsidRDefault="00E418D1" w:rsidP="004D53E5">
      <w:pPr>
        <w:pStyle w:val="SingleSpace"/>
      </w:pPr>
      <w:r>
        <w:t>Note:</w:t>
      </w:r>
      <w:r>
        <w:tab/>
        <w:t xml:space="preserve">Entry of orders is dealt with in Rule 39.32 of the </w:t>
      </w:r>
      <w:r>
        <w:rPr>
          <w:i/>
        </w:rPr>
        <w:t>Federal Court Rules 2011</w:t>
      </w:r>
      <w:r>
        <w:t>.</w:t>
      </w:r>
    </w:p>
    <w:p w:rsidR="00E418D1" w:rsidRDefault="00E418D1" w:rsidP="002B0E91">
      <w:pPr>
        <w:pStyle w:val="BodyText"/>
      </w:pPr>
    </w:p>
    <w:p w:rsidR="00E418D1" w:rsidRDefault="00E418D1" w:rsidP="002B0E91">
      <w:pPr>
        <w:pStyle w:val="BodyText"/>
      </w:pPr>
    </w:p>
    <w:p w:rsidR="00E418D1" w:rsidRDefault="00E418D1">
      <w:pPr>
        <w:pStyle w:val="NormalHeadings"/>
        <w:spacing w:before="240" w:after="120"/>
        <w:rPr>
          <w:b w:val="0"/>
        </w:rPr>
        <w:sectPr w:rsidR="00E418D1" w:rsidSect="00381849">
          <w:headerReference w:type="default" r:id="rId11"/>
          <w:headerReference w:type="first" r:id="rId12"/>
          <w:endnotePr>
            <w:numFmt w:val="decimal"/>
          </w:endnotePr>
          <w:pgSz w:w="11907" w:h="16840" w:code="9"/>
          <w:pgMar w:top="1440" w:right="1440" w:bottom="1440" w:left="1440" w:header="851" w:footer="851" w:gutter="0"/>
          <w:pgNumType w:fmt="lowerRoman"/>
          <w:cols w:space="720"/>
          <w:noEndnote/>
          <w:titlePg/>
        </w:sectPr>
      </w:pPr>
    </w:p>
    <w:p w:rsidR="00484F6D" w:rsidRPr="00045BB7" w:rsidRDefault="00484F6D" w:rsidP="00045BB7">
      <w:pPr>
        <w:pStyle w:val="NormalHeadings"/>
        <w:spacing w:line="480" w:lineRule="auto"/>
        <w:jc w:val="center"/>
        <w:rPr>
          <w:sz w:val="28"/>
          <w:szCs w:val="28"/>
        </w:rPr>
      </w:pPr>
      <w:bookmarkStart w:id="17" w:name="ReasonsPage"/>
      <w:bookmarkEnd w:id="17"/>
      <w:r w:rsidRPr="00045BB7">
        <w:rPr>
          <w:sz w:val="28"/>
          <w:szCs w:val="28"/>
        </w:rPr>
        <w:lastRenderedPageBreak/>
        <w:t>REASONS FOR JUDGMENT</w:t>
      </w:r>
    </w:p>
    <w:p w:rsidR="00395B24" w:rsidRPr="00EA03CE" w:rsidRDefault="004C49DD" w:rsidP="005E0510">
      <w:pPr>
        <w:pStyle w:val="NormalHeadings"/>
        <w:spacing w:line="360" w:lineRule="auto"/>
        <w:jc w:val="left"/>
        <w:rPr>
          <w:sz w:val="26"/>
          <w:szCs w:val="26"/>
        </w:rPr>
      </w:pPr>
      <w:r>
        <w:rPr>
          <w:sz w:val="26"/>
          <w:szCs w:val="26"/>
        </w:rPr>
        <w:t>BEACH J</w:t>
      </w:r>
      <w:r w:rsidR="00484F6D" w:rsidRPr="00EA03CE">
        <w:rPr>
          <w:sz w:val="26"/>
          <w:szCs w:val="26"/>
        </w:rPr>
        <w:t>:</w:t>
      </w:r>
    </w:p>
    <w:p w:rsidR="00484F6D" w:rsidRDefault="00167BD0" w:rsidP="0037369A">
      <w:pPr>
        <w:pStyle w:val="ParaNumbering"/>
      </w:pPr>
      <w:r>
        <w:t>Two open</w:t>
      </w:r>
      <w:r w:rsidR="009843AC">
        <w:t xml:space="preserve"> class </w:t>
      </w:r>
      <w:r w:rsidR="0010278C">
        <w:t>securities</w:t>
      </w:r>
      <w:r>
        <w:t xml:space="preserve"> class actions have been brought against Bellamy’s Australia Limited (the respondent) </w:t>
      </w:r>
      <w:r w:rsidR="00D7198F">
        <w:t xml:space="preserve">under Part IVA of the </w:t>
      </w:r>
      <w:r w:rsidR="00D7198F" w:rsidRPr="00E633B3">
        <w:rPr>
          <w:i/>
        </w:rPr>
        <w:t>Federal Court of Australia Act 1976</w:t>
      </w:r>
      <w:r w:rsidR="00D7198F">
        <w:t xml:space="preserve"> (</w:t>
      </w:r>
      <w:proofErr w:type="spellStart"/>
      <w:r w:rsidR="00D7198F">
        <w:t>Cth</w:t>
      </w:r>
      <w:proofErr w:type="spellEnd"/>
      <w:r w:rsidR="00D7198F">
        <w:t xml:space="preserve">) (the Act) </w:t>
      </w:r>
      <w:r>
        <w:t>concerning the same subject matter and causes of action.</w:t>
      </w:r>
      <w:r w:rsidR="001638CD">
        <w:t xml:space="preserve">  </w:t>
      </w:r>
      <w:r w:rsidR="0010278C">
        <w:t>They involve an almost</w:t>
      </w:r>
      <w:r w:rsidR="001638CD">
        <w:t xml:space="preserve"> complete overlap in the class </w:t>
      </w:r>
      <w:r w:rsidR="004368B5">
        <w:t>memberships</w:t>
      </w:r>
      <w:r w:rsidR="001638CD">
        <w:t xml:space="preserve"> represented b</w:t>
      </w:r>
      <w:r w:rsidR="00351AC3">
        <w:t>y the applicant</w:t>
      </w:r>
      <w:r w:rsidR="001638CD">
        <w:t xml:space="preserve"> in each case.</w:t>
      </w:r>
      <w:r w:rsidR="00D7198F">
        <w:t xml:space="preserve">  Should either or both</w:t>
      </w:r>
      <w:r w:rsidR="008B044B">
        <w:t xml:space="preserve"> proceedings</w:t>
      </w:r>
      <w:r w:rsidR="00D7198F">
        <w:t xml:space="preserve"> be allowed to </w:t>
      </w:r>
      <w:r w:rsidR="004368B5">
        <w:t>continue</w:t>
      </w:r>
      <w:r w:rsidR="00D7198F">
        <w:t>?</w:t>
      </w:r>
      <w:r w:rsidR="0010278C">
        <w:t xml:space="preserve">  If one only, which one?</w:t>
      </w:r>
      <w:r w:rsidR="00D7198F">
        <w:t xml:space="preserve">  And if both, as two open class proceedings or in some other configuration?</w:t>
      </w:r>
    </w:p>
    <w:p w:rsidR="001638CD" w:rsidRDefault="001638CD" w:rsidP="0037369A">
      <w:pPr>
        <w:pStyle w:val="ParaNumbering"/>
      </w:pPr>
      <w:r>
        <w:t xml:space="preserve">On 23 February 2017, McKay Super Solutions Pty Ltd (as trustee for the McKay Super Solutions Fund) (the McKay applicant) </w:t>
      </w:r>
      <w:r w:rsidR="009843AC">
        <w:t>commenced</w:t>
      </w:r>
      <w:r>
        <w:t xml:space="preserve"> its proceeding</w:t>
      </w:r>
      <w:r w:rsidR="00351AC3">
        <w:t>s</w:t>
      </w:r>
      <w:r>
        <w:t xml:space="preserve"> </w:t>
      </w:r>
      <w:r w:rsidR="009843AC">
        <w:t>on behalf of</w:t>
      </w:r>
      <w:r>
        <w:t xml:space="preserve"> persons who </w:t>
      </w:r>
      <w:r w:rsidR="009843AC">
        <w:t xml:space="preserve">had </w:t>
      </w:r>
      <w:r>
        <w:t xml:space="preserve">acquired an interest in ordinary shares in the respondent during the period from 14 April 2016 to a trading halt in </w:t>
      </w:r>
      <w:r w:rsidR="008A7E7B">
        <w:t>such</w:t>
      </w:r>
      <w:r>
        <w:t xml:space="preserve"> shares on 12 December 2016 (the McKay proceedings).  </w:t>
      </w:r>
      <w:r w:rsidR="00D7198F">
        <w:t>The</w:t>
      </w:r>
      <w:r>
        <w:t xml:space="preserve"> respondent </w:t>
      </w:r>
      <w:r w:rsidR="00D7198F">
        <w:t xml:space="preserve">is said to have </w:t>
      </w:r>
      <w:r>
        <w:t xml:space="preserve">engaged in contraventions of </w:t>
      </w:r>
      <w:proofErr w:type="spellStart"/>
      <w:r>
        <w:t>ss</w:t>
      </w:r>
      <w:proofErr w:type="spellEnd"/>
      <w:r>
        <w:t xml:space="preserve"> 674 and 1041H of the </w:t>
      </w:r>
      <w:r w:rsidRPr="00E633B3">
        <w:rPr>
          <w:i/>
        </w:rPr>
        <w:t>Corporations Act 2001</w:t>
      </w:r>
      <w:r w:rsidR="00E633B3">
        <w:t xml:space="preserve"> (</w:t>
      </w:r>
      <w:proofErr w:type="spellStart"/>
      <w:r w:rsidR="00E633B3">
        <w:t>Cth</w:t>
      </w:r>
      <w:proofErr w:type="spellEnd"/>
      <w:r w:rsidR="00E633B3">
        <w:t>) and s </w:t>
      </w:r>
      <w:r>
        <w:t xml:space="preserve">12DA(1) of the </w:t>
      </w:r>
      <w:r w:rsidRPr="00E633B3">
        <w:rPr>
          <w:i/>
        </w:rPr>
        <w:t>Australian Securities and Investments Commission Act 2001</w:t>
      </w:r>
      <w:r>
        <w:t xml:space="preserve"> (</w:t>
      </w:r>
      <w:proofErr w:type="spellStart"/>
      <w:r>
        <w:t>Cth</w:t>
      </w:r>
      <w:proofErr w:type="spellEnd"/>
      <w:r>
        <w:t>)</w:t>
      </w:r>
      <w:r w:rsidR="0015723A">
        <w:t>,</w:t>
      </w:r>
      <w:r>
        <w:t xml:space="preserve"> </w:t>
      </w:r>
      <w:r w:rsidR="008A7E7B">
        <w:t>causing</w:t>
      </w:r>
      <w:r>
        <w:t xml:space="preserve"> the McKay applicant and</w:t>
      </w:r>
      <w:r w:rsidR="009843AC">
        <w:t xml:space="preserve"> McKay</w:t>
      </w:r>
      <w:r>
        <w:t xml:space="preserve"> group members loss and damage.  It is not necessary to </w:t>
      </w:r>
      <w:r w:rsidR="008A7E7B">
        <w:t xml:space="preserve">detail </w:t>
      </w:r>
      <w:r w:rsidR="0083335B">
        <w:t xml:space="preserve">the alleged </w:t>
      </w:r>
      <w:r w:rsidR="00D7198F">
        <w:t>non-</w:t>
      </w:r>
      <w:r w:rsidR="0083335B">
        <w:t xml:space="preserve">disclosure </w:t>
      </w:r>
      <w:r w:rsidR="00D7198F">
        <w:t>breaches</w:t>
      </w:r>
      <w:r w:rsidR="0083335B">
        <w:t xml:space="preserve"> or the misleading or deceptive conduct.  The </w:t>
      </w:r>
      <w:r w:rsidR="00D7198F">
        <w:t>legal</w:t>
      </w:r>
      <w:r w:rsidR="0083335B">
        <w:t xml:space="preserve"> </w:t>
      </w:r>
      <w:r w:rsidR="009843AC">
        <w:t xml:space="preserve">firm </w:t>
      </w:r>
      <w:r w:rsidR="0083335B">
        <w:t xml:space="preserve">representing the McKay applicant is Slater &amp; Gordon Limited.  </w:t>
      </w:r>
      <w:r w:rsidR="008A7E7B">
        <w:t>The</w:t>
      </w:r>
      <w:r w:rsidR="0083335B">
        <w:t xml:space="preserve"> external litigation funder su</w:t>
      </w:r>
      <w:r w:rsidR="008A7E7B">
        <w:t xml:space="preserve">pporting the McKay proceedings is </w:t>
      </w:r>
      <w:r w:rsidR="0083335B">
        <w:t>IMF Bentham Limited (IMF).  Notwithstanding that the McKay proceedings are open clas</w:t>
      </w:r>
      <w:r w:rsidR="00B94A44">
        <w:t>s proceedings, currently over 15</w:t>
      </w:r>
      <w:r w:rsidR="0083335B">
        <w:t xml:space="preserve">00 </w:t>
      </w:r>
      <w:r w:rsidR="009843AC">
        <w:t xml:space="preserve">McKay </w:t>
      </w:r>
      <w:r w:rsidR="0083335B">
        <w:t>group members have entered into litigation funding agreements with IMF and retainer agreements with Slater &amp; Gordon.</w:t>
      </w:r>
    </w:p>
    <w:p w:rsidR="0083335B" w:rsidRDefault="00D7198F" w:rsidP="0037369A">
      <w:pPr>
        <w:pStyle w:val="ParaNumbering"/>
      </w:pPr>
      <w:r>
        <w:t>Shortly after the commencement of the McKay proceedings, o</w:t>
      </w:r>
      <w:r w:rsidR="0083335B">
        <w:t xml:space="preserve">n 8 March 2017 Peter Basil (the Basil applicant) </w:t>
      </w:r>
      <w:r w:rsidR="009843AC">
        <w:t>commenced</w:t>
      </w:r>
      <w:r w:rsidR="0083335B">
        <w:t xml:space="preserve"> his proceedings (the Basil proceedings) </w:t>
      </w:r>
      <w:r w:rsidR="009843AC">
        <w:t>on behalf of</w:t>
      </w:r>
      <w:r w:rsidR="0083335B">
        <w:t xml:space="preserve"> persons who </w:t>
      </w:r>
      <w:r w:rsidR="009843AC">
        <w:t xml:space="preserve">had </w:t>
      </w:r>
      <w:r w:rsidR="0083335B">
        <w:t>acquired an interest in ordinary shares in the respondent during the period 14 April 2016 and 9 December 2016</w:t>
      </w:r>
      <w:r w:rsidR="009843AC">
        <w:t>,</w:t>
      </w:r>
      <w:r w:rsidR="0083335B">
        <w:t xml:space="preserve"> but excluding the McKay applicant and persons who had signed litigation funding agreements with IMF or retainer agreements with Slater &amp; Gordon </w:t>
      </w:r>
      <w:r w:rsidR="008A7E7B">
        <w:t>to prosecute the McKay</w:t>
      </w:r>
      <w:r w:rsidR="0083335B">
        <w:t xml:space="preserve"> proceedings.  Similar if not identical subject matter and causes of action </w:t>
      </w:r>
      <w:r>
        <w:t xml:space="preserve">have been </w:t>
      </w:r>
      <w:r w:rsidR="008A7E7B">
        <w:t>alleged</w:t>
      </w:r>
      <w:r w:rsidR="0083335B">
        <w:t xml:space="preserve"> in the Basil proceedings as for the McKay proceedings.  </w:t>
      </w:r>
      <w:r w:rsidR="008A7E7B">
        <w:t>Subject to one matter, t</w:t>
      </w:r>
      <w:r w:rsidR="0083335B">
        <w:t>he same c</w:t>
      </w:r>
      <w:r w:rsidR="0089172C">
        <w:t>lass description</w:t>
      </w:r>
      <w:r>
        <w:t xml:space="preserve"> period ha</w:t>
      </w:r>
      <w:r w:rsidR="0083335B">
        <w:t xml:space="preserve">s also </w:t>
      </w:r>
      <w:r>
        <w:t>been used</w:t>
      </w:r>
      <w:r w:rsidR="0083335B">
        <w:t>; the difference between the</w:t>
      </w:r>
      <w:r>
        <w:t xml:space="preserve"> end date of 9 </w:t>
      </w:r>
      <w:r w:rsidR="0083335B">
        <w:t>December 2016 in the Basil proceedings and the 12 December 2016 date</w:t>
      </w:r>
      <w:r w:rsidR="008A7E7B">
        <w:t xml:space="preserve"> in the McKay proceedings is </w:t>
      </w:r>
      <w:r w:rsidR="0083335B">
        <w:t xml:space="preserve">irrelevant </w:t>
      </w:r>
      <w:r w:rsidR="008A7E7B">
        <w:t>given</w:t>
      </w:r>
      <w:r w:rsidR="0083335B">
        <w:t xml:space="preserve"> t</w:t>
      </w:r>
      <w:r w:rsidR="0015723A">
        <w:t>hat the intervening two days were over</w:t>
      </w:r>
      <w:r w:rsidR="0083335B">
        <w:t xml:space="preserve"> a weekend.  The </w:t>
      </w:r>
      <w:r>
        <w:t>legal</w:t>
      </w:r>
      <w:r w:rsidR="0089172C">
        <w:t xml:space="preserve"> firm</w:t>
      </w:r>
      <w:r w:rsidR="007E2938">
        <w:t xml:space="preserve"> representing the Basil applicant is Maurice Blackburn Pty Ltd.  </w:t>
      </w:r>
      <w:r w:rsidR="008A7E7B">
        <w:t>The</w:t>
      </w:r>
      <w:r w:rsidR="007E2938">
        <w:t xml:space="preserve"> external </w:t>
      </w:r>
      <w:r w:rsidR="007E2938">
        <w:lastRenderedPageBreak/>
        <w:t>litigation funder su</w:t>
      </w:r>
      <w:r w:rsidR="008A7E7B">
        <w:t xml:space="preserve">pporting the Basil proceedings is </w:t>
      </w:r>
      <w:r w:rsidR="007E2938">
        <w:t>ICP Capital Pty Ltd (ICP Capital) with Investor Claim Partner Pty Ltd (ICP) providing</w:t>
      </w:r>
      <w:r w:rsidR="0089172C">
        <w:t xml:space="preserve"> </w:t>
      </w:r>
      <w:r w:rsidR="007E2938">
        <w:t>support services.  Notwithstanding that the Basil proceedings are open class proceedings,</w:t>
      </w:r>
      <w:r w:rsidR="0015723A">
        <w:t xml:space="preserve"> </w:t>
      </w:r>
      <w:r w:rsidR="0015723A" w:rsidRPr="00D82246">
        <w:t>and</w:t>
      </w:r>
      <w:r w:rsidR="008A7E7B" w:rsidRPr="00D82246">
        <w:t xml:space="preserve"> subject to the carve out</w:t>
      </w:r>
      <w:r w:rsidR="001824B8" w:rsidRPr="00D82246">
        <w:t xml:space="preserve"> of signed up McKay group members</w:t>
      </w:r>
      <w:r w:rsidR="00A720E2" w:rsidRPr="00D82246">
        <w:t xml:space="preserve"> in the Basil class description</w:t>
      </w:r>
      <w:r w:rsidR="008A7E7B" w:rsidRPr="00D82246">
        <w:t xml:space="preserve"> that I</w:t>
      </w:r>
      <w:r w:rsidR="008A7E7B">
        <w:t xml:space="preserve"> have just described,</w:t>
      </w:r>
      <w:r w:rsidR="007E2938">
        <w:t xml:space="preserve"> currently over 1000 group members have entered into litigation funding agreements with ICP Capital and ICP, </w:t>
      </w:r>
      <w:r w:rsidR="0089172C">
        <w:t>together with</w:t>
      </w:r>
      <w:r w:rsidR="008A7E7B">
        <w:t xml:space="preserve"> retainers of </w:t>
      </w:r>
      <w:r w:rsidR="007E2938">
        <w:t>Maurice Blackburn.</w:t>
      </w:r>
    </w:p>
    <w:p w:rsidR="007E2938" w:rsidRDefault="007E2938" w:rsidP="0037369A">
      <w:pPr>
        <w:pStyle w:val="ParaNumbering"/>
      </w:pPr>
      <w:r>
        <w:t>On 20 March 2017, the respondent in each of the McKay proceedings and the Basil proceedings filed an interlocutory application</w:t>
      </w:r>
      <w:r w:rsidR="00E633B3">
        <w:t xml:space="preserve"> seeking</w:t>
      </w:r>
      <w:r w:rsidR="0089172C">
        <w:t xml:space="preserve"> orders</w:t>
      </w:r>
      <w:r w:rsidR="00E633B3">
        <w:t xml:space="preserve"> pursuant to s 33ZF</w:t>
      </w:r>
      <w:r w:rsidR="0089172C">
        <w:t>(1)</w:t>
      </w:r>
      <w:r w:rsidR="00E633B3">
        <w:t xml:space="preserve"> of the Act, alternati</w:t>
      </w:r>
      <w:r w:rsidR="0089172C">
        <w:t xml:space="preserve">vely what </w:t>
      </w:r>
      <w:r w:rsidR="00D7198F">
        <w:t>has been</w:t>
      </w:r>
      <w:r w:rsidR="0089172C">
        <w:t xml:space="preserve"> described as the inherent jurisdiction</w:t>
      </w:r>
      <w:r w:rsidR="008A7E7B">
        <w:t xml:space="preserve"> (power) of the Court, </w:t>
      </w:r>
      <w:r w:rsidR="00E633B3">
        <w:t>to</w:t>
      </w:r>
      <w:r w:rsidR="00D7198F">
        <w:t xml:space="preserve"> permanently</w:t>
      </w:r>
      <w:r w:rsidR="00E633B3">
        <w:t xml:space="preserve"> stay </w:t>
      </w:r>
      <w:r w:rsidR="0089172C">
        <w:t>either</w:t>
      </w:r>
      <w:r w:rsidR="00E633B3">
        <w:t xml:space="preserve"> of the procee</w:t>
      </w:r>
      <w:r w:rsidR="008A7E7B">
        <w:t>dings on the basis that it:</w:t>
      </w:r>
    </w:p>
    <w:p w:rsidR="00E633B3" w:rsidRDefault="008B044B" w:rsidP="00E633B3">
      <w:pPr>
        <w:pStyle w:val="ListNo2"/>
      </w:pPr>
      <w:r>
        <w:t>would be</w:t>
      </w:r>
      <w:r w:rsidR="00CF61DF">
        <w:t xml:space="preserve"> </w:t>
      </w:r>
      <w:r w:rsidR="00E633B3">
        <w:t xml:space="preserve">appropriate or necessary to ensure that justice </w:t>
      </w:r>
      <w:r>
        <w:t>was</w:t>
      </w:r>
      <w:r w:rsidR="00E633B3">
        <w:t xml:space="preserve"> done; or</w:t>
      </w:r>
    </w:p>
    <w:p w:rsidR="00E633B3" w:rsidRDefault="00E633B3" w:rsidP="00E633B3">
      <w:pPr>
        <w:pStyle w:val="ListNo2"/>
      </w:pPr>
      <w:r>
        <w:t>would be an abuse of process, vexatious or oppressive for both of the proceedings to be prosecuted.</w:t>
      </w:r>
    </w:p>
    <w:p w:rsidR="00E633B3" w:rsidRDefault="00E633B3" w:rsidP="00E633B3">
      <w:pPr>
        <w:pStyle w:val="ParaNumbering"/>
      </w:pPr>
      <w:r>
        <w:t xml:space="preserve">These applications were heard </w:t>
      </w:r>
      <w:r w:rsidR="0089172C">
        <w:t xml:space="preserve">on 16 June 2017, with numerous </w:t>
      </w:r>
      <w:r>
        <w:t xml:space="preserve">affidavits </w:t>
      </w:r>
      <w:r w:rsidR="008A7E7B">
        <w:t>and</w:t>
      </w:r>
      <w:r>
        <w:t xml:space="preserve"> annexures filed by the parties</w:t>
      </w:r>
      <w:r w:rsidR="008A7E7B">
        <w:t xml:space="preserve"> from</w:t>
      </w:r>
      <w:r w:rsidR="00D7198F">
        <w:t xml:space="preserve"> their legal advisers</w:t>
      </w:r>
      <w:r>
        <w:t xml:space="preserve"> and litigation funders.  Most of this material is confidential, but in any event</w:t>
      </w:r>
      <w:r w:rsidR="00D7198F">
        <w:t xml:space="preserve"> is</w:t>
      </w:r>
      <w:r>
        <w:t xml:space="preserve"> unnecessary to </w:t>
      </w:r>
      <w:r w:rsidR="00D7198F">
        <w:t>set out</w:t>
      </w:r>
      <w:r>
        <w:t>.</w:t>
      </w:r>
    </w:p>
    <w:p w:rsidR="00E633B3" w:rsidRDefault="00E633B3" w:rsidP="00E633B3">
      <w:pPr>
        <w:pStyle w:val="ParaNumbering"/>
      </w:pPr>
      <w:r>
        <w:t xml:space="preserve">Should I stay one of the proceedings?  Should I consolidate </w:t>
      </w:r>
      <w:r w:rsidR="00A30F21">
        <w:t>both</w:t>
      </w:r>
      <w:r>
        <w:t xml:space="preserve"> proceedings?  Should I allow one</w:t>
      </w:r>
      <w:r w:rsidR="00AB5A74">
        <w:t xml:space="preserve"> of</w:t>
      </w:r>
      <w:r>
        <w:t xml:space="preserve"> t</w:t>
      </w:r>
      <w:r w:rsidR="008A7E7B">
        <w:t xml:space="preserve">he proceedings to </w:t>
      </w:r>
      <w:r w:rsidR="00453B87" w:rsidRPr="00FD45E8">
        <w:t xml:space="preserve">continue </w:t>
      </w:r>
      <w:r w:rsidR="008A7E7B" w:rsidRPr="00FD45E8">
        <w:t xml:space="preserve">as </w:t>
      </w:r>
      <w:r w:rsidRPr="00FD45E8">
        <w:t>open class proceeding</w:t>
      </w:r>
      <w:r w:rsidR="008A7E7B" w:rsidRPr="00FD45E8">
        <w:t>s but</w:t>
      </w:r>
      <w:r w:rsidR="00453B87" w:rsidRPr="00FD45E8">
        <w:t xml:space="preserve"> make a s </w:t>
      </w:r>
      <w:r w:rsidRPr="00FD45E8">
        <w:t xml:space="preserve">33N(1) order in relation to the other, in essence a declassing order?  </w:t>
      </w:r>
      <w:r w:rsidR="008A7E7B" w:rsidRPr="00FD45E8">
        <w:t>If</w:t>
      </w:r>
      <w:r w:rsidRPr="00FD45E8">
        <w:t xml:space="preserve"> so, which</w:t>
      </w:r>
      <w:r w:rsidR="008A7E7B" w:rsidRPr="00FD45E8">
        <w:t xml:space="preserve"> proceedings</w:t>
      </w:r>
      <w:r w:rsidRPr="00FD45E8">
        <w:t>?  Should</w:t>
      </w:r>
      <w:r w:rsidR="00A035B0" w:rsidRPr="00FD45E8">
        <w:t xml:space="preserve"> I allow one of the proce</w:t>
      </w:r>
      <w:r w:rsidR="008A7E7B" w:rsidRPr="00FD45E8">
        <w:t xml:space="preserve">edings to </w:t>
      </w:r>
      <w:r w:rsidR="00453B87" w:rsidRPr="00FD45E8">
        <w:t xml:space="preserve">continue </w:t>
      </w:r>
      <w:r w:rsidR="008A7E7B" w:rsidRPr="00FD45E8">
        <w:t xml:space="preserve">as </w:t>
      </w:r>
      <w:r w:rsidR="00A035B0" w:rsidRPr="00FD45E8">
        <w:t>open class proceeding</w:t>
      </w:r>
      <w:r w:rsidR="008A7E7B" w:rsidRPr="00FD45E8">
        <w:t>s but</w:t>
      </w:r>
      <w:r w:rsidR="00A035B0" w:rsidRPr="00FD45E8">
        <w:t xml:space="preserve"> close the </w:t>
      </w:r>
      <w:r w:rsidR="0089172C" w:rsidRPr="00FD45E8">
        <w:t>class in the other proceeding</w:t>
      </w:r>
      <w:r w:rsidR="008A7E7B" w:rsidRPr="00FD45E8">
        <w:t>s</w:t>
      </w:r>
      <w:r w:rsidR="00A035B0" w:rsidRPr="00FD45E8">
        <w:t>, and then pro</w:t>
      </w:r>
      <w:r w:rsidR="00A30F21" w:rsidRPr="00FD45E8">
        <w:t>ceed with a joint trial of both?</w:t>
      </w:r>
      <w:r w:rsidR="00A035B0" w:rsidRPr="00FD45E8">
        <w:t xml:space="preserve">  </w:t>
      </w:r>
      <w:r w:rsidR="0089172C" w:rsidRPr="00FD45E8">
        <w:t>If</w:t>
      </w:r>
      <w:r w:rsidR="00A035B0" w:rsidRPr="00FD45E8">
        <w:t xml:space="preserve"> so, which</w:t>
      </w:r>
      <w:r w:rsidR="0089172C" w:rsidRPr="00FD45E8">
        <w:t xml:space="preserve"> class in which</w:t>
      </w:r>
      <w:r w:rsidR="00A035B0" w:rsidRPr="00FD45E8">
        <w:t xml:space="preserve"> proceeding</w:t>
      </w:r>
      <w:r w:rsidR="008A7E7B" w:rsidRPr="00FD45E8">
        <w:t>s should be closed?  Or should I do nothing</w:t>
      </w:r>
      <w:r w:rsidR="00A035B0" w:rsidRPr="00FD45E8">
        <w:t xml:space="preserve"> at this time and permit both</w:t>
      </w:r>
      <w:r w:rsidR="0089172C" w:rsidRPr="00FD45E8">
        <w:t xml:space="preserve"> proceedings</w:t>
      </w:r>
      <w:r w:rsidR="00A035B0" w:rsidRPr="00FD45E8">
        <w:t xml:space="preserve"> to </w:t>
      </w:r>
      <w:r w:rsidR="00453B87" w:rsidRPr="00FD45E8">
        <w:t>remain</w:t>
      </w:r>
      <w:r w:rsidR="00A035B0" w:rsidRPr="00FD45E8">
        <w:t xml:space="preserve"> as open class</w:t>
      </w:r>
      <w:r w:rsidR="00A035B0">
        <w:t xml:space="preserve"> proceedings, with potentially a joint trial of both?</w:t>
      </w:r>
      <w:r w:rsidR="0089172C">
        <w:t xml:space="preserve">  These questions neither permit of easy answers nor </w:t>
      </w:r>
      <w:r w:rsidR="008A7E7B">
        <w:t xml:space="preserve">are </w:t>
      </w:r>
      <w:r w:rsidR="0089172C">
        <w:t xml:space="preserve">answered by </w:t>
      </w:r>
      <w:r w:rsidR="008B044B">
        <w:t>utilising</w:t>
      </w:r>
      <w:r w:rsidR="0089172C">
        <w:t xml:space="preserve"> procedures f</w:t>
      </w:r>
      <w:r w:rsidR="008B044B">
        <w:t>avoured in</w:t>
      </w:r>
      <w:r w:rsidR="0089172C">
        <w:t xml:space="preserve"> foreign jurisdictions, although </w:t>
      </w:r>
      <w:r w:rsidR="00B94A44">
        <w:t>the approach</w:t>
      </w:r>
      <w:r w:rsidR="008A7E7B">
        <w:t xml:space="preserve"> entertained</w:t>
      </w:r>
      <w:r w:rsidR="00B94A44">
        <w:t xml:space="preserve"> in the Canadian provinces </w:t>
      </w:r>
      <w:r w:rsidR="008A7E7B">
        <w:t>of</w:t>
      </w:r>
      <w:r w:rsidR="00B94A44">
        <w:t xml:space="preserve"> </w:t>
      </w:r>
      <w:r w:rsidR="0089172C">
        <w:t>carriage motions is not unhelpful.</w:t>
      </w:r>
      <w:r w:rsidR="00B94A44">
        <w:t xml:space="preserve">  </w:t>
      </w:r>
      <w:r w:rsidR="008A7E7B">
        <w:t>Rather, the</w:t>
      </w:r>
      <w:r w:rsidR="00B94A44">
        <w:t xml:space="preserve"> solution</w:t>
      </w:r>
      <w:r w:rsidR="008A7E7B">
        <w:t xml:space="preserve"> to these questions</w:t>
      </w:r>
      <w:r w:rsidR="00B94A44">
        <w:t xml:space="preserve"> is to be found in applying commercial practical themes.</w:t>
      </w:r>
    </w:p>
    <w:p w:rsidR="00A035B0" w:rsidRDefault="00A035B0" w:rsidP="00E633B3">
      <w:pPr>
        <w:pStyle w:val="ParaNumbering"/>
      </w:pPr>
      <w:r>
        <w:t>I</w:t>
      </w:r>
      <w:r w:rsidR="0089172C">
        <w:t>n summary, I</w:t>
      </w:r>
      <w:r>
        <w:t xml:space="preserve"> have determined </w:t>
      </w:r>
      <w:r w:rsidR="008A7E7B">
        <w:t>not</w:t>
      </w:r>
      <w:r w:rsidR="00710AD6">
        <w:t xml:space="preserve"> to</w:t>
      </w:r>
      <w:r w:rsidR="00B94A44">
        <w:t xml:space="preserve"> permanently</w:t>
      </w:r>
      <w:r w:rsidR="00710AD6">
        <w:t xml:space="preserve"> stay one of t</w:t>
      </w:r>
      <w:r w:rsidR="00807578">
        <w:t>he proceedings.  Rather</w:t>
      </w:r>
      <w:r w:rsidR="008A7E7B">
        <w:t>,</w:t>
      </w:r>
      <w:r w:rsidR="00807578">
        <w:t xml:space="preserve"> I propose to close the class in the Basil proceedings, to allow the Mc</w:t>
      </w:r>
      <w:r w:rsidR="00A30F21">
        <w:t xml:space="preserve">Kay proceedings to remain as </w:t>
      </w:r>
      <w:r w:rsidR="00807578">
        <w:t>open class proceeding</w:t>
      </w:r>
      <w:r w:rsidR="00A30F21">
        <w:t>s</w:t>
      </w:r>
      <w:r w:rsidR="00807578">
        <w:t xml:space="preserve">, and to have a joint trial of both proceedings as then so </w:t>
      </w:r>
      <w:r w:rsidR="0089172C">
        <w:t>re</w:t>
      </w:r>
      <w:r w:rsidR="00807578">
        <w:t>constituted</w:t>
      </w:r>
      <w:r w:rsidR="008A7E7B">
        <w:t>; in essence,</w:t>
      </w:r>
      <w:r w:rsidR="0089172C">
        <w:t xml:space="preserve"> one open class and one closed class</w:t>
      </w:r>
      <w:r w:rsidR="00807578">
        <w:t>.  Group members in the clos</w:t>
      </w:r>
      <w:r w:rsidR="0089172C">
        <w:t xml:space="preserve">ed </w:t>
      </w:r>
      <w:r w:rsidR="0089172C">
        <w:lastRenderedPageBreak/>
        <w:t>class proceeding</w:t>
      </w:r>
      <w:r w:rsidR="00A30F21">
        <w:t>s</w:t>
      </w:r>
      <w:r w:rsidR="00807578">
        <w:t xml:space="preserve"> will be excluded</w:t>
      </w:r>
      <w:r w:rsidR="0089172C">
        <w:t xml:space="preserve"> from the open class proceeding</w:t>
      </w:r>
      <w:r w:rsidR="00A30F21">
        <w:t>s</w:t>
      </w:r>
      <w:r w:rsidR="00807578">
        <w:t xml:space="preserve"> to avoid overlapping </w:t>
      </w:r>
      <w:r w:rsidR="008A7E7B">
        <w:t xml:space="preserve">group </w:t>
      </w:r>
      <w:r w:rsidR="00807578">
        <w:t>membership</w:t>
      </w:r>
      <w:r w:rsidR="008B044B">
        <w:t xml:space="preserve"> (and by corollary, vice versa)</w:t>
      </w:r>
      <w:r w:rsidR="00807578">
        <w:t xml:space="preserve">.  I will discuss the </w:t>
      </w:r>
      <w:r w:rsidR="008A7E7B">
        <w:t>precise steps</w:t>
      </w:r>
      <w:r w:rsidR="00807578">
        <w:t xml:space="preserve"> to achieve this result later.</w:t>
      </w:r>
      <w:r w:rsidR="00A30F21">
        <w:t xml:space="preserve">  I also propose to </w:t>
      </w:r>
      <w:r w:rsidR="008A7E7B">
        <w:t>impose</w:t>
      </w:r>
      <w:r w:rsidR="00A30F21">
        <w:t xml:space="preserve"> mechanisms to </w:t>
      </w:r>
      <w:r w:rsidR="00D4189E">
        <w:t>minimise any</w:t>
      </w:r>
      <w:r w:rsidR="00A30F21">
        <w:t xml:space="preserve"> duplication of work and expense.  </w:t>
      </w:r>
      <w:r w:rsidR="008B044B">
        <w:t>Moreover, i</w:t>
      </w:r>
      <w:r w:rsidR="00D4189E">
        <w:t xml:space="preserve">n the absence of cooperation between both applicants and </w:t>
      </w:r>
      <w:r w:rsidR="008B044B">
        <w:t xml:space="preserve">between </w:t>
      </w:r>
      <w:r w:rsidR="00D4189E">
        <w:t>their advisers to achieve these objectives, t</w:t>
      </w:r>
      <w:r w:rsidR="00A30F21">
        <w:t xml:space="preserve">his may include the appointment of an independent </w:t>
      </w:r>
      <w:r w:rsidR="00D4189E">
        <w:t>lawyer</w:t>
      </w:r>
      <w:r w:rsidR="00A30F21">
        <w:t xml:space="preserve"> to liaise with </w:t>
      </w:r>
      <w:r w:rsidR="00D4189E">
        <w:t>both applicant</w:t>
      </w:r>
      <w:r w:rsidR="00A30F21">
        <w:t>s</w:t>
      </w:r>
      <w:r w:rsidR="00D4189E">
        <w:t>’</w:t>
      </w:r>
      <w:r w:rsidR="00A30F21">
        <w:t xml:space="preserve"> lawyers and funders</w:t>
      </w:r>
      <w:r w:rsidR="00AC61FE" w:rsidRPr="004A39DA">
        <w:t>,</w:t>
      </w:r>
      <w:r w:rsidR="00A30F21" w:rsidRPr="004A39DA">
        <w:t xml:space="preserve"> who</w:t>
      </w:r>
      <w:r w:rsidR="00A30F21">
        <w:t xml:space="preserve"> can monitor the work done and resources deployed and report </w:t>
      </w:r>
      <w:r w:rsidR="00D4189E">
        <w:t xml:space="preserve">on a regular basis.  </w:t>
      </w:r>
      <w:r w:rsidR="008B044B">
        <w:t>Other</w:t>
      </w:r>
      <w:r w:rsidR="00D4189E">
        <w:t xml:space="preserve"> mechanisms </w:t>
      </w:r>
      <w:r w:rsidR="00A30F21">
        <w:t>may also involve making orders to ultimately ensure that the r</w:t>
      </w:r>
      <w:r w:rsidR="008B044B">
        <w:t xml:space="preserve">espondent is only exposed to </w:t>
      </w:r>
      <w:r w:rsidR="00A30F21">
        <w:t>one set of legal costs vis-à-vis the applicants as if there had been</w:t>
      </w:r>
      <w:r w:rsidR="00D4189E">
        <w:t xml:space="preserve"> only</w:t>
      </w:r>
      <w:r w:rsidR="00A30F21">
        <w:t xml:space="preserve"> one set of proceedings.</w:t>
      </w:r>
    </w:p>
    <w:p w:rsidR="00807578" w:rsidRDefault="00D4189E" w:rsidP="00E633B3">
      <w:pPr>
        <w:pStyle w:val="ParaNumbering"/>
      </w:pPr>
      <w:r>
        <w:t xml:space="preserve">Now </w:t>
      </w:r>
      <w:r w:rsidR="0089172C">
        <w:t>b</w:t>
      </w:r>
      <w:r w:rsidR="00807578">
        <w:t xml:space="preserve">efore </w:t>
      </w:r>
      <w:r w:rsidR="008B044B">
        <w:t>continuing,</w:t>
      </w:r>
      <w:r w:rsidR="00807578">
        <w:t xml:space="preserve"> I should </w:t>
      </w:r>
      <w:r>
        <w:t xml:space="preserve">observe </w:t>
      </w:r>
      <w:r w:rsidR="00807578">
        <w:t xml:space="preserve">that but for the fact that in </w:t>
      </w:r>
      <w:r w:rsidR="00807578" w:rsidRPr="00AB5A74">
        <w:rPr>
          <w:i/>
        </w:rPr>
        <w:t>both</w:t>
      </w:r>
      <w:r w:rsidR="00807578">
        <w:t xml:space="preserve"> proceedings more than 100</w:t>
      </w:r>
      <w:r w:rsidR="00464BF3">
        <w:t>0 group members in each case have</w:t>
      </w:r>
      <w:r w:rsidR="00807578">
        <w:t xml:space="preserve"> committed themselves to litigation funding agreements and retainer agreements with the</w:t>
      </w:r>
      <w:r w:rsidR="00464BF3">
        <w:t>ir</w:t>
      </w:r>
      <w:r w:rsidR="00807578">
        <w:t xml:space="preserve"> respective litigation funders and solicitors, I would have</w:t>
      </w:r>
      <w:r w:rsidR="008B044B">
        <w:t xml:space="preserve"> permanently</w:t>
      </w:r>
      <w:r w:rsidR="00807578">
        <w:t xml:space="preserve"> stayed one of the proc</w:t>
      </w:r>
      <w:r w:rsidR="0010278C">
        <w:t xml:space="preserve">eedings.  The basis </w:t>
      </w:r>
      <w:r w:rsidR="00807578">
        <w:t>for this observation will become apparent later.</w:t>
      </w:r>
    </w:p>
    <w:p w:rsidR="00807578" w:rsidRDefault="00B94A44" w:rsidP="00807578">
      <w:pPr>
        <w:pStyle w:val="Heading1"/>
      </w:pPr>
      <w:r>
        <w:t>WHAT ARE THE OPTIONS?</w:t>
      </w:r>
    </w:p>
    <w:p w:rsidR="00807578" w:rsidRDefault="00062A2A" w:rsidP="00E633B3">
      <w:pPr>
        <w:pStyle w:val="ParaNumbering"/>
      </w:pPr>
      <w:r>
        <w:t xml:space="preserve">As I have </w:t>
      </w:r>
      <w:r w:rsidR="00D4189E">
        <w:t>indicated</w:t>
      </w:r>
      <w:r>
        <w:t xml:space="preserve">, </w:t>
      </w:r>
      <w:r w:rsidR="00D4189E">
        <w:t>the following realistic options are available</w:t>
      </w:r>
      <w:r w:rsidR="007571D0">
        <w:t xml:space="preserve"> to deal with the potential </w:t>
      </w:r>
      <w:r w:rsidR="00D4189E">
        <w:t>overlap</w:t>
      </w:r>
      <w:r w:rsidR="007571D0">
        <w:t>:</w:t>
      </w:r>
    </w:p>
    <w:p w:rsidR="007571D0" w:rsidRDefault="00C1180B" w:rsidP="005A452A">
      <w:pPr>
        <w:pStyle w:val="ListNo2"/>
        <w:numPr>
          <w:ilvl w:val="1"/>
          <w:numId w:val="24"/>
        </w:numPr>
      </w:pPr>
      <w:r>
        <w:t>First, the two proceedings could be consolidated.</w:t>
      </w:r>
    </w:p>
    <w:p w:rsidR="00C1180B" w:rsidRDefault="00C1180B" w:rsidP="005A452A">
      <w:pPr>
        <w:pStyle w:val="ListNo2"/>
        <w:numPr>
          <w:ilvl w:val="1"/>
          <w:numId w:val="24"/>
        </w:numPr>
      </w:pPr>
      <w:r>
        <w:t>Second, there could be a permanent stay of one of the proceedings.</w:t>
      </w:r>
    </w:p>
    <w:p w:rsidR="00C1180B" w:rsidRDefault="00C1180B" w:rsidP="005A452A">
      <w:pPr>
        <w:pStyle w:val="ListNo2"/>
        <w:numPr>
          <w:ilvl w:val="1"/>
          <w:numId w:val="24"/>
        </w:numPr>
      </w:pPr>
      <w:r>
        <w:t>Third, an order could be made under s 33N(1) in respect of one of the proceedings, colloquially known as a declassing order.</w:t>
      </w:r>
    </w:p>
    <w:p w:rsidR="00C1180B" w:rsidRDefault="00C1180B" w:rsidP="005A452A">
      <w:pPr>
        <w:pStyle w:val="ListNo2"/>
        <w:numPr>
          <w:ilvl w:val="1"/>
          <w:numId w:val="24"/>
        </w:numPr>
      </w:pPr>
      <w:r>
        <w:t>Fourth, an order could be made closing the cla</w:t>
      </w:r>
      <w:r w:rsidR="00D4189E">
        <w:t>ss in one of the proceedings but</w:t>
      </w:r>
      <w:r>
        <w:t xml:space="preserve"> leaving the other proceeding</w:t>
      </w:r>
      <w:r w:rsidR="00A30F21">
        <w:t xml:space="preserve">s as </w:t>
      </w:r>
      <w:r>
        <w:t>open class proce</w:t>
      </w:r>
      <w:r w:rsidR="00464BF3">
        <w:t>eding</w:t>
      </w:r>
      <w:r w:rsidR="00A30F21">
        <w:t>s</w:t>
      </w:r>
      <w:r w:rsidR="00464BF3">
        <w:t>,</w:t>
      </w:r>
      <w:r w:rsidR="00D4189E">
        <w:t xml:space="preserve"> </w:t>
      </w:r>
      <w:r w:rsidR="008B044B">
        <w:t xml:space="preserve">with a joint trial of both.  The </w:t>
      </w:r>
      <w:r w:rsidR="00D4189E">
        <w:t xml:space="preserve">option of closing </w:t>
      </w:r>
      <w:r w:rsidR="00D4189E" w:rsidRPr="00D4189E">
        <w:rPr>
          <w:i/>
        </w:rPr>
        <w:t>both</w:t>
      </w:r>
      <w:r w:rsidR="00D4189E">
        <w:t xml:space="preserve"> classes at this time is not in the frame and would be antithetical to the structure and objective</w:t>
      </w:r>
      <w:r w:rsidR="00421172">
        <w:t>s of Part IVA in precluding by c</w:t>
      </w:r>
      <w:r w:rsidR="00D4189E">
        <w:t>our</w:t>
      </w:r>
      <w:r w:rsidR="008B044B">
        <w:t xml:space="preserve">t order the </w:t>
      </w:r>
      <w:r w:rsidR="008B044B" w:rsidRPr="00FD45E8">
        <w:t>prosecution</w:t>
      </w:r>
      <w:r w:rsidR="0009534F" w:rsidRPr="00FD45E8">
        <w:t>,</w:t>
      </w:r>
      <w:r w:rsidR="008B044B" w:rsidRPr="00FD45E8">
        <w:t xml:space="preserve"> </w:t>
      </w:r>
      <w:r w:rsidR="00D4189E" w:rsidRPr="00FD45E8">
        <w:t>at least at this time</w:t>
      </w:r>
      <w:r w:rsidR="0009534F" w:rsidRPr="00FD45E8">
        <w:t>,</w:t>
      </w:r>
      <w:r w:rsidR="00D4189E" w:rsidRPr="00FD45E8">
        <w:t xml:space="preserve"> of at</w:t>
      </w:r>
      <w:r w:rsidR="00D4189E">
        <w:t xml:space="preserve"> least one open class proceeding</w:t>
      </w:r>
      <w:r w:rsidR="00AB5A74">
        <w:t>.</w:t>
      </w:r>
    </w:p>
    <w:p w:rsidR="00C1180B" w:rsidRDefault="00C1180B" w:rsidP="005A452A">
      <w:pPr>
        <w:pStyle w:val="ListNo2"/>
        <w:numPr>
          <w:ilvl w:val="1"/>
          <w:numId w:val="24"/>
        </w:numPr>
      </w:pPr>
      <w:r>
        <w:t xml:space="preserve">Fifth, there could be a joint trial of both proceedings with </w:t>
      </w:r>
      <w:r w:rsidR="00A30F21">
        <w:t>each</w:t>
      </w:r>
      <w:r>
        <w:t xml:space="preserve"> lef</w:t>
      </w:r>
      <w:r w:rsidR="00464BF3">
        <w:t>t</w:t>
      </w:r>
      <w:r w:rsidR="00D4189E">
        <w:t xml:space="preserve"> as they are presently constituted</w:t>
      </w:r>
      <w:r w:rsidR="00464BF3">
        <w:t xml:space="preserve"> as open class proceedings.</w:t>
      </w:r>
    </w:p>
    <w:p w:rsidR="00116925" w:rsidRDefault="00116925" w:rsidP="00116925">
      <w:pPr>
        <w:pStyle w:val="Heading2"/>
      </w:pPr>
      <w:r>
        <w:lastRenderedPageBreak/>
        <w:t>(a)</w:t>
      </w:r>
      <w:r>
        <w:tab/>
        <w:t xml:space="preserve">Options that </w:t>
      </w:r>
      <w:r w:rsidR="00B94A44">
        <w:t>can</w:t>
      </w:r>
      <w:r>
        <w:t xml:space="preserve"> be</w:t>
      </w:r>
      <w:r w:rsidR="00464BF3">
        <w:t xml:space="preserve"> readily</w:t>
      </w:r>
      <w:r>
        <w:t xml:space="preserve"> eliminated</w:t>
      </w:r>
    </w:p>
    <w:p w:rsidR="00116925" w:rsidRDefault="00116925" w:rsidP="00C1180B">
      <w:pPr>
        <w:pStyle w:val="ParaNumbering"/>
      </w:pPr>
      <w:r>
        <w:t>Before proceeding further, I can put to one side the first option (consolidation), the third option (a s 33N(1) order) and the fifth option (</w:t>
      </w:r>
      <w:r w:rsidR="00A30F21">
        <w:t>in essence the “do nothing” scenario).</w:t>
      </w:r>
      <w:r w:rsidR="008B044B">
        <w:t xml:space="preserve">  Let me explain.</w:t>
      </w:r>
    </w:p>
    <w:p w:rsidR="00116925" w:rsidRDefault="00464BF3" w:rsidP="00C1180B">
      <w:pPr>
        <w:pStyle w:val="ParaNumbering"/>
      </w:pPr>
      <w:r>
        <w:t xml:space="preserve">First, </w:t>
      </w:r>
      <w:r w:rsidR="00A30F21">
        <w:t xml:space="preserve">in relation to </w:t>
      </w:r>
      <w:r w:rsidR="00116925">
        <w:t xml:space="preserve">consolidation, there is no doubt that I have the power to </w:t>
      </w:r>
      <w:r w:rsidR="00B1337A">
        <w:t>so order</w:t>
      </w:r>
      <w:r w:rsidR="00116925">
        <w:t>.  Section 33ZG(c)(iv) expressly reserves the operation of any law relating to the consolidation of “proceedings” and accordingly my inherent</w:t>
      </w:r>
      <w:r w:rsidR="00B1337A">
        <w:t xml:space="preserve"> power</w:t>
      </w:r>
      <w:r w:rsidR="00BF5CE4">
        <w:t xml:space="preserve"> or the power </w:t>
      </w:r>
      <w:r w:rsidR="00BF5CE4" w:rsidRPr="00464BF3">
        <w:t>under r 30.11</w:t>
      </w:r>
      <w:r w:rsidR="00116925" w:rsidRPr="00464BF3">
        <w:t xml:space="preserve"> of</w:t>
      </w:r>
      <w:r w:rsidR="00116925">
        <w:t xml:space="preserve"> the </w:t>
      </w:r>
      <w:r w:rsidR="00116925" w:rsidRPr="000E215A">
        <w:rPr>
          <w:i/>
        </w:rPr>
        <w:t>Federal Court Rules 2011</w:t>
      </w:r>
      <w:r w:rsidR="00116925">
        <w:t xml:space="preserve"> (</w:t>
      </w:r>
      <w:proofErr w:type="spellStart"/>
      <w:r w:rsidR="00116925">
        <w:t>Cth</w:t>
      </w:r>
      <w:proofErr w:type="spellEnd"/>
      <w:r w:rsidR="00116925">
        <w:t xml:space="preserve">) </w:t>
      </w:r>
      <w:r>
        <w:t xml:space="preserve">to </w:t>
      </w:r>
      <w:r w:rsidR="00B1337A">
        <w:t xml:space="preserve">so </w:t>
      </w:r>
      <w:r>
        <w:t>consolidate</w:t>
      </w:r>
      <w:r w:rsidR="00D4189E">
        <w:t>, including to facilita</w:t>
      </w:r>
      <w:r w:rsidR="00421172">
        <w:t>te the objective enshrined in s </w:t>
      </w:r>
      <w:r w:rsidR="00D4189E">
        <w:t>22 of the Act</w:t>
      </w:r>
      <w:r w:rsidR="00116925">
        <w:t xml:space="preserve">.  </w:t>
      </w:r>
      <w:r>
        <w:t>In</w:t>
      </w:r>
      <w:r w:rsidR="00116925">
        <w:t xml:space="preserve"> the context of s 33ZG(c)(iv), “proceedings” must encompass a representative proceeding</w:t>
      </w:r>
      <w:r w:rsidR="00B1337A">
        <w:t xml:space="preserve">.  If otherwise, it has little place in Part IVA.  It must embrace consolidation of a representative proceeding with another proceeding, which could either be an individual proceeding or another representative proceeding; </w:t>
      </w:r>
      <w:r w:rsidR="00116925">
        <w:t>see</w:t>
      </w:r>
      <w:r w:rsidR="00B1337A">
        <w:t xml:space="preserve"> generally</w:t>
      </w:r>
      <w:r w:rsidR="00116925">
        <w:t xml:space="preserve"> </w:t>
      </w:r>
      <w:r w:rsidR="00116925" w:rsidRPr="000E215A">
        <w:rPr>
          <w:i/>
        </w:rPr>
        <w:t>Johnson Tiles Pty Ltd v Esso Australia Ltd</w:t>
      </w:r>
      <w:r w:rsidR="00116925">
        <w:t xml:space="preserve"> (1999) ATPR 41-679</w:t>
      </w:r>
      <w:r w:rsidR="000E215A">
        <w:t>; [1999] FCA 56</w:t>
      </w:r>
      <w:r w:rsidR="00116925">
        <w:t xml:space="preserve">, </w:t>
      </w:r>
      <w:r w:rsidR="00116925" w:rsidRPr="000E215A">
        <w:rPr>
          <w:i/>
        </w:rPr>
        <w:t>Ryan v Great Lakes Council</w:t>
      </w:r>
      <w:r w:rsidR="00116925">
        <w:t xml:space="preserve"> (1997) 78 FCR 30</w:t>
      </w:r>
      <w:r w:rsidR="000E215A">
        <w:t>9 at 312</w:t>
      </w:r>
      <w:r w:rsidR="00D4189E">
        <w:t xml:space="preserve"> per Wilcox J</w:t>
      </w:r>
      <w:r w:rsidR="000E215A">
        <w:t xml:space="preserve">, </w:t>
      </w:r>
      <w:r w:rsidR="000E215A" w:rsidRPr="000E215A">
        <w:rPr>
          <w:i/>
        </w:rPr>
        <w:t>Bray v F</w:t>
      </w:r>
      <w:r w:rsidR="00116925" w:rsidRPr="000E215A">
        <w:rPr>
          <w:i/>
        </w:rPr>
        <w:t xml:space="preserve"> Hoffman-La Roche Ltd</w:t>
      </w:r>
      <w:r w:rsidR="00116925">
        <w:t xml:space="preserve"> (2003) 130 FCR 317</w:t>
      </w:r>
      <w:r w:rsidR="00E02B74">
        <w:t xml:space="preserve"> at [200] and Grave D, Adams K and </w:t>
      </w:r>
      <w:r w:rsidR="00116925">
        <w:t xml:space="preserve">Betts J, </w:t>
      </w:r>
      <w:r w:rsidR="00116925" w:rsidRPr="000E215A">
        <w:rPr>
          <w:i/>
        </w:rPr>
        <w:t>Class Actions in Australia</w:t>
      </w:r>
      <w:r w:rsidR="00116925">
        <w:t xml:space="preserve"> (2nd</w:t>
      </w:r>
      <w:r w:rsidR="000E215A">
        <w:t xml:space="preserve"> </w:t>
      </w:r>
      <w:proofErr w:type="spellStart"/>
      <w:r w:rsidR="000E215A">
        <w:t>ed</w:t>
      </w:r>
      <w:proofErr w:type="spellEnd"/>
      <w:r w:rsidR="00116925">
        <w:t xml:space="preserve">, </w:t>
      </w:r>
      <w:r w:rsidR="000E215A">
        <w:t>2002</w:t>
      </w:r>
      <w:r w:rsidR="00116925">
        <w:t>) at [9.240] et seq.</w:t>
      </w:r>
    </w:p>
    <w:p w:rsidR="00116925" w:rsidRDefault="00B1337A" w:rsidP="00C1180B">
      <w:pPr>
        <w:pStyle w:val="ParaNumbering"/>
      </w:pPr>
      <w:r>
        <w:t>The</w:t>
      </w:r>
      <w:r w:rsidR="000E215A">
        <w:t xml:space="preserve"> difficulty</w:t>
      </w:r>
      <w:r w:rsidR="00E02B74">
        <w:t xml:space="preserve"> in the present case</w:t>
      </w:r>
      <w:r w:rsidR="000E215A">
        <w:t xml:space="preserve"> is not so much the existence of the power but rather its exercise.  Here, I have no agreement</w:t>
      </w:r>
      <w:r w:rsidR="00E02B74">
        <w:t xml:space="preserve"> between all parties in both proceedings as to consolidation.  Further, there are </w:t>
      </w:r>
      <w:r w:rsidR="000E215A">
        <w:t xml:space="preserve">different </w:t>
      </w:r>
      <w:r w:rsidR="0015723A">
        <w:t>lawyers for the applicants</w:t>
      </w:r>
      <w:r w:rsidR="000E215A">
        <w:t xml:space="preserve"> and different litigation funders</w:t>
      </w:r>
      <w:r w:rsidR="00E02B74">
        <w:t xml:space="preserve"> </w:t>
      </w:r>
      <w:r w:rsidR="00E02B74" w:rsidRPr="00780498">
        <w:t>in each</w:t>
      </w:r>
      <w:r w:rsidR="00421172" w:rsidRPr="00780498">
        <w:t xml:space="preserve"> of the</w:t>
      </w:r>
      <w:r w:rsidR="00E02B74">
        <w:t xml:space="preserve"> proceeding</w:t>
      </w:r>
      <w:r w:rsidR="00D4189E">
        <w:t>s</w:t>
      </w:r>
      <w:r w:rsidR="000E215A">
        <w:t>.  Absent agreement by both sets of l</w:t>
      </w:r>
      <w:r>
        <w:t>awyers and funders, there are a number of difficulties in relation</w:t>
      </w:r>
      <w:r w:rsidR="00D4189E">
        <w:t xml:space="preserve"> to consolidation.  For example, what uniform funding model would operate for the consolidated proceedings given the different sets of signed up group members in each of the proceedings, when considered from the perspective of signed up group members, the unsigned group members or the funders?  And, what</w:t>
      </w:r>
      <w:r w:rsidR="00D4189E" w:rsidRPr="00D4189E">
        <w:t xml:space="preserve"> </w:t>
      </w:r>
      <w:r w:rsidR="00D4189E">
        <w:t>uniform legal representation for the applicants would be used, absent leave being given for separate representation for each of the applicants?</w:t>
      </w:r>
    </w:p>
    <w:p w:rsidR="00217343" w:rsidRDefault="0062656A" w:rsidP="00652911">
      <w:pPr>
        <w:pStyle w:val="ParaNumbering"/>
      </w:pPr>
      <w:r>
        <w:t xml:space="preserve">Now true it is that in </w:t>
      </w:r>
      <w:r w:rsidRPr="0062656A">
        <w:rPr>
          <w:i/>
        </w:rPr>
        <w:t>Johnson Tiles</w:t>
      </w:r>
      <w:r>
        <w:t xml:space="preserve"> separate applicant solicitors were allowed, but there was an agreement to engage the one set of counsel.  But in the context with which I am presented, there is no such agreement.  In any event, none of this deals with the problem of separate funders and how consolidation would operate in that scenario, particularly given that significant numbers of group members in each case have signed up to different </w:t>
      </w:r>
      <w:r w:rsidR="00E02B74">
        <w:t xml:space="preserve">funding </w:t>
      </w:r>
      <w:r>
        <w:t xml:space="preserve">arrangements.  How would they be affected by consolidation?  And what would be the </w:t>
      </w:r>
      <w:r>
        <w:lastRenderedPageBreak/>
        <w:t>position for those who had not signed up?  What funding model would apply?  And what type of common fund order would be sought?</w:t>
      </w:r>
      <w:r w:rsidR="00B52687">
        <w:t xml:space="preserve">  </w:t>
      </w:r>
      <w:r w:rsidR="00E02B74">
        <w:t>And to reflect what</w:t>
      </w:r>
      <w:r w:rsidR="00B1337A">
        <w:t xml:space="preserve"> proposed</w:t>
      </w:r>
      <w:r w:rsidR="00D4189E">
        <w:t xml:space="preserve"> funding mechanism?  </w:t>
      </w:r>
      <w:r w:rsidR="002F79B0">
        <w:t>A</w:t>
      </w:r>
      <w:r w:rsidR="00217343">
        <w:t xml:space="preserve"> mechanism would need to be determined for resolving</w:t>
      </w:r>
      <w:r w:rsidR="002F79B0">
        <w:t xml:space="preserve"> such</w:t>
      </w:r>
      <w:r w:rsidR="00217343">
        <w:t xml:space="preserve"> issues including achieving equity as between the McKay group members and the Basil group members</w:t>
      </w:r>
      <w:r w:rsidR="002F79B0">
        <w:t>.  Further, what would be</w:t>
      </w:r>
      <w:r w:rsidR="00217343">
        <w:t xml:space="preserve"> the liability of the McKay interest</w:t>
      </w:r>
      <w:r w:rsidR="00561649">
        <w:t>s</w:t>
      </w:r>
      <w:r w:rsidR="00217343">
        <w:t xml:space="preserve"> for </w:t>
      </w:r>
      <w:r w:rsidR="00561649">
        <w:t xml:space="preserve">the costs of the proposed </w:t>
      </w:r>
      <w:r w:rsidR="00561649" w:rsidRPr="00B94A44">
        <w:t>after-the-</w:t>
      </w:r>
      <w:r w:rsidR="00217343" w:rsidRPr="00B94A44">
        <w:t>event</w:t>
      </w:r>
      <w:r w:rsidR="00217343">
        <w:t xml:space="preserve"> adverse costs insurance intended to be put in</w:t>
      </w:r>
      <w:r w:rsidR="002F79B0">
        <w:t xml:space="preserve"> place in respect of the Basil proceedings?</w:t>
      </w:r>
      <w:r w:rsidR="00217343">
        <w:t xml:space="preserve">  </w:t>
      </w:r>
      <w:r w:rsidR="002F79B0">
        <w:t>Moreover, each litigation funder may</w:t>
      </w:r>
      <w:r w:rsidR="00217343">
        <w:t xml:space="preserve"> require sufficient information to form a view as to the co-funder’s financial position and in particular its capacity to meet any order for adverse costs.  </w:t>
      </w:r>
      <w:r w:rsidR="002F79B0">
        <w:t>In the circumstance</w:t>
      </w:r>
      <w:r w:rsidR="00217343">
        <w:t xml:space="preserve"> where the liti</w:t>
      </w:r>
      <w:r w:rsidR="002F79B0">
        <w:t>gation funders may be</w:t>
      </w:r>
      <w:r w:rsidR="00217343">
        <w:t xml:space="preserve"> jointly and severa</w:t>
      </w:r>
      <w:r w:rsidR="00D4189E">
        <w:t>lly liable</w:t>
      </w:r>
      <w:r w:rsidR="002F79B0">
        <w:t xml:space="preserve"> (at least indirectly)</w:t>
      </w:r>
      <w:r w:rsidR="00D4189E">
        <w:t xml:space="preserve"> for such costs, it may</w:t>
      </w:r>
      <w:r w:rsidR="00217343">
        <w:t xml:space="preserve"> not</w:t>
      </w:r>
      <w:r w:rsidR="00D4189E">
        <w:t xml:space="preserve"> be</w:t>
      </w:r>
      <w:r w:rsidR="00217343">
        <w:t xml:space="preserve"> possible for consolidation to occur without assurance</w:t>
      </w:r>
      <w:r w:rsidR="002F79B0">
        <w:t>s</w:t>
      </w:r>
      <w:r w:rsidR="00217343">
        <w:t xml:space="preserve"> that each funder has adequate finances or insurance arrangements to meet any order which might be made in respect of the consolidated proceeding</w:t>
      </w:r>
      <w:r w:rsidR="002F79B0">
        <w:t>s</w:t>
      </w:r>
      <w:r w:rsidR="00217343">
        <w:t>.</w:t>
      </w:r>
      <w:r w:rsidR="002F79B0">
        <w:t xml:space="preserve">  It will be appreciated that these difficulties are not insignificant.</w:t>
      </w:r>
    </w:p>
    <w:p w:rsidR="00652911" w:rsidRDefault="00D4189E" w:rsidP="00652911">
      <w:pPr>
        <w:pStyle w:val="ParaNumbering"/>
      </w:pPr>
      <w:r>
        <w:t xml:space="preserve">Generally, consolidation orders are unusual, if only because of the complexity involved in implementing such a mechanism.  But in the present context, </w:t>
      </w:r>
      <w:r w:rsidR="002F79B0">
        <w:t>compounding</w:t>
      </w:r>
      <w:r>
        <w:t xml:space="preserve"> the usual difficulties are the dimensions of different solicitors, different funders, different funding models and</w:t>
      </w:r>
      <w:r w:rsidR="002F79B0">
        <w:t xml:space="preserve"> ultimately</w:t>
      </w:r>
      <w:r>
        <w:t xml:space="preserve"> the circumstance that there is no agreement to this option.  </w:t>
      </w:r>
      <w:r w:rsidR="00B52687">
        <w:t xml:space="preserve">I have considered whether if I </w:t>
      </w:r>
      <w:r w:rsidR="00E02B74">
        <w:t xml:space="preserve">nevertheless </w:t>
      </w:r>
      <w:r w:rsidR="00B1337A">
        <w:t>made a consolidation order</w:t>
      </w:r>
      <w:r w:rsidR="00E02B74">
        <w:t xml:space="preserve"> without first solving these difficulties,</w:t>
      </w:r>
      <w:r w:rsidR="00B52687">
        <w:t xml:space="preserve"> the parties would have the incentive</w:t>
      </w:r>
      <w:r w:rsidR="002F79B0">
        <w:t xml:space="preserve"> if not the necessity</w:t>
      </w:r>
      <w:r w:rsidR="00B52687">
        <w:t xml:space="preserve"> to work </w:t>
      </w:r>
      <w:r w:rsidR="00B1337A">
        <w:t>through</w:t>
      </w:r>
      <w:r w:rsidR="001D4873">
        <w:t xml:space="preserve"> these</w:t>
      </w:r>
      <w:r w:rsidR="00B52687">
        <w:t xml:space="preserve"> </w:t>
      </w:r>
      <w:r w:rsidR="002F79B0">
        <w:t>difficult</w:t>
      </w:r>
      <w:r w:rsidR="00B52687">
        <w:t xml:space="preserve"> logistics.  But I cannot rightly so assume.  In the circumstances,</w:t>
      </w:r>
      <w:r w:rsidR="00E02B74">
        <w:t xml:space="preserve"> the option of</w:t>
      </w:r>
      <w:r w:rsidR="00B52687">
        <w:t xml:space="preserve"> consolidation can be put to one side.</w:t>
      </w:r>
    </w:p>
    <w:p w:rsidR="0062656A" w:rsidRDefault="00E02B74" w:rsidP="00652911">
      <w:pPr>
        <w:pStyle w:val="ParaNumbering"/>
      </w:pPr>
      <w:r>
        <w:t>Second, as for</w:t>
      </w:r>
      <w:r w:rsidR="00B52687">
        <w:t xml:space="preserve"> the option of making a s 33N(1) order or “decla</w:t>
      </w:r>
      <w:r w:rsidR="00F71E38">
        <w:t>ss</w:t>
      </w:r>
      <w:r w:rsidR="00B52687">
        <w:t>ing” order in relation to one of the proceedings, I do not consider that this is an appropriate option either.</w:t>
      </w:r>
    </w:p>
    <w:p w:rsidR="00B52687" w:rsidRDefault="00B52687" w:rsidP="00652911">
      <w:pPr>
        <w:pStyle w:val="ParaNumbering"/>
      </w:pPr>
      <w:r>
        <w:t>Section 33N(1) of the Act relevantly provides as follows:</w:t>
      </w:r>
    </w:p>
    <w:p w:rsidR="00B52687" w:rsidRDefault="00B52687" w:rsidP="00B52687">
      <w:pPr>
        <w:pStyle w:val="Quote1"/>
      </w:pPr>
      <w:r>
        <w:t>(1)  The Court may, on application by the respondent or of its own motion, order that a proceeding no longer continue under this Part where it is satisfied that it is in the interests of justice to do so because:</w:t>
      </w:r>
    </w:p>
    <w:p w:rsidR="00B52687" w:rsidRDefault="00B52687" w:rsidP="00B52687">
      <w:pPr>
        <w:pStyle w:val="Quote2"/>
      </w:pPr>
      <w:bookmarkStart w:id="18" w:name="paragraph"/>
      <w:r>
        <w:t>(a)  the costs that would be incurred if the proceeding were to continue as a representative proceeding are likely to exceed the costs that would be incurred if each group member conducted a separate proceeding; or</w:t>
      </w:r>
    </w:p>
    <w:p w:rsidR="00B52687" w:rsidRDefault="00B52687" w:rsidP="00B52687">
      <w:pPr>
        <w:pStyle w:val="Quote2"/>
      </w:pPr>
      <w:r>
        <w:t>(b)  all the relief sought can be obtained by means of a proceeding other than a representative proceeding under this Part; or</w:t>
      </w:r>
    </w:p>
    <w:p w:rsidR="00B52687" w:rsidRDefault="00B52687" w:rsidP="00B52687">
      <w:pPr>
        <w:pStyle w:val="Quote2"/>
      </w:pPr>
      <w:r>
        <w:t xml:space="preserve">(c)  the representative proceeding will not provide an efficient and effective means of dealing with the claims of group members; </w:t>
      </w:r>
      <w:bookmarkEnd w:id="18"/>
      <w:r>
        <w:t>or</w:t>
      </w:r>
    </w:p>
    <w:p w:rsidR="00B52687" w:rsidRDefault="00B52687" w:rsidP="00B52687">
      <w:pPr>
        <w:pStyle w:val="Quote2"/>
      </w:pPr>
      <w:r>
        <w:lastRenderedPageBreak/>
        <w:t>(d)  it is otherwise inappropriate that the claims be pursued by means of a representative proceeding.</w:t>
      </w:r>
    </w:p>
    <w:p w:rsidR="00B52687" w:rsidRDefault="00B52687" w:rsidP="00652911">
      <w:pPr>
        <w:pStyle w:val="ParaNumbering"/>
      </w:pPr>
      <w:r>
        <w:t>Before</w:t>
      </w:r>
      <w:r w:rsidR="0012689B">
        <w:t xml:space="preserve"> </w:t>
      </w:r>
      <w:r w:rsidR="00B1337A">
        <w:t>a s 33N(1)</w:t>
      </w:r>
      <w:r w:rsidR="0012689B">
        <w:t xml:space="preserve"> order can be made,</w:t>
      </w:r>
      <w:r>
        <w:t xml:space="preserve"> it must be in the interests of justice to do so because one </w:t>
      </w:r>
      <w:r w:rsidR="0012689B">
        <w:t>or more of the conditions in</w:t>
      </w:r>
      <w:r>
        <w:t xml:space="preserve"> sub-s</w:t>
      </w:r>
      <w:r w:rsidR="00B1337A">
        <w:t>ections (a) to (d) is satisfied</w:t>
      </w:r>
      <w:r w:rsidR="0012689B">
        <w:t>.</w:t>
      </w:r>
    </w:p>
    <w:p w:rsidR="004B52C7" w:rsidRPr="004B52C7" w:rsidRDefault="00B1337A" w:rsidP="004B52C7">
      <w:pPr>
        <w:pStyle w:val="ParaNumbering"/>
        <w:tabs>
          <w:tab w:val="clear" w:pos="720"/>
        </w:tabs>
      </w:pPr>
      <w:r>
        <w:t>Generally speaking, s</w:t>
      </w:r>
      <w:r w:rsidR="00B52687">
        <w:t xml:space="preserve"> 33N(1)</w:t>
      </w:r>
      <w:r w:rsidR="00F85B04">
        <w:t xml:space="preserve"> </w:t>
      </w:r>
      <w:r w:rsidR="0012689B">
        <w:t>requires</w:t>
      </w:r>
      <w:r w:rsidR="00F85B04">
        <w:t xml:space="preserve"> consideration of</w:t>
      </w:r>
      <w:r w:rsidR="00D4189E">
        <w:t xml:space="preserve"> the comparator of</w:t>
      </w:r>
      <w:r w:rsidR="00F85B04">
        <w:t xml:space="preserve"> whether it is in the interests of justice that the proceeding be determined </w:t>
      </w:r>
      <w:r w:rsidR="00AD3B83">
        <w:t>in numerous non-representative proceedings</w:t>
      </w:r>
      <w:r w:rsidR="00F85B04">
        <w:t xml:space="preserve">.  </w:t>
      </w:r>
      <w:r w:rsidR="0012689B">
        <w:t>One</w:t>
      </w:r>
      <w:r w:rsidR="00F85B04">
        <w:t xml:space="preserve"> compares how the factors specified in </w:t>
      </w:r>
      <w:proofErr w:type="spellStart"/>
      <w:r>
        <w:t>ss</w:t>
      </w:r>
      <w:proofErr w:type="spellEnd"/>
      <w:r>
        <w:t xml:space="preserve"> 33N(1)</w:t>
      </w:r>
      <w:r w:rsidR="00F85B04">
        <w:t xml:space="preserve">(a) to </w:t>
      </w:r>
      <w:r>
        <w:t>33N(1)</w:t>
      </w:r>
      <w:r w:rsidR="00AD3B83">
        <w:t xml:space="preserve">(d) would apply to </w:t>
      </w:r>
      <w:r w:rsidR="00F85B04">
        <w:t>hypothetical</w:t>
      </w:r>
      <w:r w:rsidR="004B52C7">
        <w:t xml:space="preserve"> </w:t>
      </w:r>
      <w:r w:rsidR="004B52C7" w:rsidRPr="004B52C7">
        <w:t xml:space="preserve">non-representative </w:t>
      </w:r>
      <w:r w:rsidR="004B52C7">
        <w:t>proceeding</w:t>
      </w:r>
      <w:r>
        <w:t>s</w:t>
      </w:r>
      <w:r w:rsidR="004B52C7">
        <w:t xml:space="preserve">.  </w:t>
      </w:r>
      <w:r w:rsidR="00D4189E">
        <w:t>Such a comparison i</w:t>
      </w:r>
      <w:r w:rsidR="004B52C7">
        <w:t>s</w:t>
      </w:r>
      <w:r w:rsidR="0012689B">
        <w:t xml:space="preserve"> </w:t>
      </w:r>
      <w:r w:rsidR="004B52C7">
        <w:t>express</w:t>
      </w:r>
      <w:r>
        <w:t>ed</w:t>
      </w:r>
      <w:r w:rsidR="00AD3B83">
        <w:t xml:space="preserve"> in </w:t>
      </w:r>
      <w:proofErr w:type="spellStart"/>
      <w:r w:rsidR="00AD3B83">
        <w:t>ss</w:t>
      </w:r>
      <w:proofErr w:type="spellEnd"/>
      <w:r w:rsidR="00AD3B83">
        <w:t> </w:t>
      </w:r>
      <w:r>
        <w:t>33N(1)</w:t>
      </w:r>
      <w:r w:rsidR="004B52C7">
        <w:t xml:space="preserve">(a) and </w:t>
      </w:r>
      <w:r>
        <w:t>33N(1)</w:t>
      </w:r>
      <w:r w:rsidR="004B52C7">
        <w:t>(b) and</w:t>
      </w:r>
      <w:r w:rsidR="0012689B">
        <w:t xml:space="preserve"> </w:t>
      </w:r>
      <w:r w:rsidR="00D4189E">
        <w:t>implied by</w:t>
      </w:r>
      <w:r w:rsidR="0012689B">
        <w:t xml:space="preserve"> </w:t>
      </w:r>
      <w:proofErr w:type="spellStart"/>
      <w:r w:rsidR="00CF55C4">
        <w:t>ss</w:t>
      </w:r>
      <w:proofErr w:type="spellEnd"/>
      <w:r w:rsidR="00CF55C4">
        <w:t xml:space="preserve"> 33N(1)</w:t>
      </w:r>
      <w:r w:rsidR="0012689B">
        <w:t xml:space="preserve">(c) and </w:t>
      </w:r>
      <w:r w:rsidR="00CF55C4">
        <w:t>33N(1)</w:t>
      </w:r>
      <w:r w:rsidR="0012689B">
        <w:t xml:space="preserve">(d).  </w:t>
      </w:r>
      <w:r w:rsidR="004B52C7">
        <w:t>The</w:t>
      </w:r>
      <w:r w:rsidR="00D4189E">
        <w:t xml:space="preserve"> implicit</w:t>
      </w:r>
      <w:r w:rsidR="004B52C7">
        <w:t xml:space="preserve"> focus in </w:t>
      </w:r>
      <w:r w:rsidR="00CF55C4">
        <w:t>s 33N(1)</w:t>
      </w:r>
      <w:r w:rsidR="004B52C7">
        <w:t xml:space="preserve">(c) is on the commonality of issues and whether </w:t>
      </w:r>
      <w:r w:rsidR="004B52C7" w:rsidRPr="004B52C7">
        <w:t xml:space="preserve">the </w:t>
      </w:r>
      <w:r w:rsidR="004B52C7">
        <w:t>representative proceeding</w:t>
      </w:r>
      <w:r w:rsidR="00AD3B83">
        <w:t>s are</w:t>
      </w:r>
      <w:r w:rsidR="004B52C7">
        <w:t xml:space="preserve"> efficient and effective to resolve the common issues</w:t>
      </w:r>
      <w:r w:rsidR="00D4189E">
        <w:t xml:space="preserve">, </w:t>
      </w:r>
      <w:r w:rsidR="004B52C7">
        <w:t>rather than resolution b</w:t>
      </w:r>
      <w:r w:rsidR="00D4189E">
        <w:t>y way of individual proceedings</w:t>
      </w:r>
      <w:r w:rsidR="004B52C7">
        <w:t xml:space="preserve">.  </w:t>
      </w:r>
      <w:r w:rsidR="00CF55C4">
        <w:t>Section 33N(1)</w:t>
      </w:r>
      <w:r w:rsidR="00AD3B83">
        <w:t>(d) is concerned with whether representative proceedings are</w:t>
      </w:r>
      <w:r w:rsidR="004B52C7">
        <w:t xml:space="preserve"> an appropriate vehicle to pursue the claims.  </w:t>
      </w:r>
      <w:r w:rsidR="0012689B">
        <w:t>Generally,</w:t>
      </w:r>
      <w:r w:rsidR="004B52C7">
        <w:t xml:space="preserve"> the focus of </w:t>
      </w:r>
      <w:proofErr w:type="spellStart"/>
      <w:r w:rsidR="00D4189E">
        <w:t>ss</w:t>
      </w:r>
      <w:proofErr w:type="spellEnd"/>
      <w:r w:rsidR="00D4189E">
        <w:t> </w:t>
      </w:r>
      <w:r w:rsidR="00CF55C4">
        <w:t>33N(1)</w:t>
      </w:r>
      <w:r w:rsidR="004B52C7">
        <w:t xml:space="preserve">(c) and </w:t>
      </w:r>
      <w:r w:rsidR="00CF55C4">
        <w:t>33N(1)</w:t>
      </w:r>
      <w:r w:rsidR="004B52C7">
        <w:t xml:space="preserve">(d) is </w:t>
      </w:r>
      <w:r w:rsidR="00CF55C4">
        <w:t xml:space="preserve">on </w:t>
      </w:r>
      <w:r w:rsidR="004B52C7">
        <w:t xml:space="preserve">the efficiency or appropriateness of </w:t>
      </w:r>
      <w:r w:rsidR="00CF55C4">
        <w:t xml:space="preserve">the group members’ </w:t>
      </w:r>
      <w:r w:rsidR="004B52C7">
        <w:t>claims</w:t>
      </w:r>
      <w:r w:rsidR="0012689B">
        <w:t xml:space="preserve"> being pursued</w:t>
      </w:r>
      <w:r w:rsidR="00AD3B83">
        <w:t xml:space="preserve"> in </w:t>
      </w:r>
      <w:r w:rsidR="004B52C7">
        <w:t>representative proceeding</w:t>
      </w:r>
      <w:r w:rsidR="00AD3B83">
        <w:t>s</w:t>
      </w:r>
      <w:r w:rsidR="004B52C7">
        <w:t>.</w:t>
      </w:r>
    </w:p>
    <w:p w:rsidR="004B52C7" w:rsidRPr="004B52C7" w:rsidRDefault="004B52C7" w:rsidP="004B52C7">
      <w:pPr>
        <w:pStyle w:val="ParaNumbering"/>
        <w:tabs>
          <w:tab w:val="clear" w:pos="720"/>
        </w:tabs>
      </w:pPr>
      <w:r>
        <w:t xml:space="preserve">It </w:t>
      </w:r>
      <w:r w:rsidR="008D5A05">
        <w:t>seems to me that</w:t>
      </w:r>
      <w:r w:rsidR="004635C8">
        <w:t xml:space="preserve"> the requirements of s</w:t>
      </w:r>
      <w:r>
        <w:t xml:space="preserve"> 33N(1) are</w:t>
      </w:r>
      <w:r w:rsidR="008D5A05">
        <w:t xml:space="preserve"> not</w:t>
      </w:r>
      <w:r>
        <w:t xml:space="preserve"> satisfied in </w:t>
      </w:r>
      <w:r w:rsidR="00D4189E">
        <w:t>relation to</w:t>
      </w:r>
      <w:r>
        <w:t xml:space="preserve"> either </w:t>
      </w:r>
      <w:r w:rsidR="00CF55C4">
        <w:t>the McKay proceedings or the Basil proceedings</w:t>
      </w:r>
      <w:r>
        <w:t xml:space="preserve">.  </w:t>
      </w:r>
      <w:r w:rsidR="00CF55C4">
        <w:t>Sections 33N(1)</w:t>
      </w:r>
      <w:r w:rsidR="008D5A05">
        <w:t xml:space="preserve">(a) and </w:t>
      </w:r>
      <w:r w:rsidR="00CF55C4">
        <w:t>33N(1)</w:t>
      </w:r>
      <w:r w:rsidR="008D5A05">
        <w:t xml:space="preserve">(b) are not satisfied if </w:t>
      </w:r>
      <w:r w:rsidRPr="004B52C7">
        <w:t>each</w:t>
      </w:r>
      <w:r w:rsidR="00D4189E">
        <w:t xml:space="preserve"> of the</w:t>
      </w:r>
      <w:r w:rsidRPr="004B52C7">
        <w:t xml:space="preserve"> proceeding</w:t>
      </w:r>
      <w:r w:rsidR="00D4189E">
        <w:t>s</w:t>
      </w:r>
      <w:r w:rsidRPr="004B52C7">
        <w:t xml:space="preserve"> is compared to hypothetical non-representative proceedings and regard is had t</w:t>
      </w:r>
      <w:r>
        <w:t xml:space="preserve">o the interests of justice.  Similarly, </w:t>
      </w:r>
      <w:r w:rsidR="00CF55C4">
        <w:t>s 33N(1)</w:t>
      </w:r>
      <w:r>
        <w:t xml:space="preserve">(c) </w:t>
      </w:r>
      <w:r w:rsidR="008D5A05">
        <w:t>is not</w:t>
      </w:r>
      <w:r>
        <w:t xml:space="preserve"> satisfied.  </w:t>
      </w:r>
      <w:r w:rsidR="008D5A05">
        <w:t xml:space="preserve">Each </w:t>
      </w:r>
      <w:r w:rsidR="00D4189E">
        <w:t xml:space="preserve">of the </w:t>
      </w:r>
      <w:r>
        <w:t>proceeding</w:t>
      </w:r>
      <w:r w:rsidR="00D4189E">
        <w:t>s</w:t>
      </w:r>
      <w:r>
        <w:t xml:space="preserve">, by comparison to hypothetical </w:t>
      </w:r>
      <w:r w:rsidRPr="004B52C7">
        <w:rPr>
          <w:i/>
        </w:rPr>
        <w:t>individual</w:t>
      </w:r>
      <w:r w:rsidRPr="004B52C7">
        <w:t xml:space="preserve"> </w:t>
      </w:r>
      <w:r>
        <w:t xml:space="preserve">actions, is an efficient and effective process to resolve common issues.  </w:t>
      </w:r>
      <w:r w:rsidR="00CF55C4">
        <w:t>Section 33N(1)</w:t>
      </w:r>
      <w:r>
        <w:t>(c)</w:t>
      </w:r>
      <w:r w:rsidR="008D5A05">
        <w:t xml:space="preserve"> does not involve</w:t>
      </w:r>
      <w:r>
        <w:t xml:space="preserve"> a comparison between </w:t>
      </w:r>
      <w:r w:rsidRPr="00794F5C">
        <w:rPr>
          <w:i/>
        </w:rPr>
        <w:t>the</w:t>
      </w:r>
      <w:r w:rsidRPr="004B52C7">
        <w:t xml:space="preserve"> </w:t>
      </w:r>
      <w:r w:rsidR="00421172">
        <w:t>representative</w:t>
      </w:r>
      <w:r w:rsidR="00D4189E">
        <w:t xml:space="preserve"> proceedings</w:t>
      </w:r>
      <w:r>
        <w:t xml:space="preserve"> and another identical or hypothetical </w:t>
      </w:r>
      <w:r w:rsidR="00D4189E">
        <w:t>set of representative proceedings</w:t>
      </w:r>
      <w:r>
        <w:t>.</w:t>
      </w:r>
      <w:r w:rsidRPr="004B52C7">
        <w:t xml:space="preserve">  The efficiencies referred to in s 33N(1)(c) are focu</w:t>
      </w:r>
      <w:r w:rsidR="00780498">
        <w:t>s</w:t>
      </w:r>
      <w:r w:rsidRPr="004B52C7">
        <w:t xml:space="preserve">sed </w:t>
      </w:r>
      <w:r w:rsidR="008D5A05">
        <w:t>up</w:t>
      </w:r>
      <w:r w:rsidRPr="004B52C7">
        <w:t>on whether the representative proceeding</w:t>
      </w:r>
      <w:r w:rsidR="00D4189E">
        <w:t>s are</w:t>
      </w:r>
      <w:r w:rsidRPr="004B52C7">
        <w:t xml:space="preserve"> an efficient mechanism to resolve the claims a</w:t>
      </w:r>
      <w:r w:rsidR="00CF55C4">
        <w:t>nd common issues, which require</w:t>
      </w:r>
      <w:r w:rsidR="00801268">
        <w:t>s</w:t>
      </w:r>
      <w:r w:rsidRPr="004B52C7">
        <w:t xml:space="preserve"> </w:t>
      </w:r>
      <w:r w:rsidR="00CF55C4">
        <w:t>considering</w:t>
      </w:r>
      <w:r w:rsidRPr="004B52C7">
        <w:t xml:space="preserve"> the representative </w:t>
      </w:r>
      <w:r w:rsidR="008D5A05">
        <w:t>applicant’s</w:t>
      </w:r>
      <w:r w:rsidRPr="004B52C7">
        <w:t xml:space="preserve"> case </w:t>
      </w:r>
      <w:r w:rsidR="008D5A05">
        <w:t>and a comparison between the representative proceedings and the hypothetical non-representative proceedings.  T</w:t>
      </w:r>
      <w:r w:rsidRPr="004B52C7">
        <w:t xml:space="preserve">he inquiry is not whether the common issues might be more efficiently resolved by way of some other </w:t>
      </w:r>
      <w:r w:rsidRPr="008D5A05">
        <w:rPr>
          <w:i/>
        </w:rPr>
        <w:t>representative</w:t>
      </w:r>
      <w:r w:rsidRPr="004B52C7">
        <w:t xml:space="preserve"> proceeding</w:t>
      </w:r>
      <w:r w:rsidR="00801268">
        <w:t>s</w:t>
      </w:r>
      <w:r w:rsidRPr="004B52C7">
        <w:t xml:space="preserve">.  </w:t>
      </w:r>
      <w:r w:rsidR="008431C8">
        <w:t>But I accept that the matter is not free from doubt.  Section 33N(1)(c) uses the definite article “</w:t>
      </w:r>
      <w:r w:rsidR="008431C8" w:rsidRPr="006D2298">
        <w:rPr>
          <w:i/>
        </w:rPr>
        <w:t>the</w:t>
      </w:r>
      <w:r w:rsidR="008431C8">
        <w:t xml:space="preserve"> representive proceeding</w:t>
      </w:r>
      <w:r w:rsidR="00AD3B83">
        <w:t>[s]</w:t>
      </w:r>
      <w:r w:rsidR="008431C8">
        <w:t>” rather than the indefinite article</w:t>
      </w:r>
      <w:r w:rsidR="00AA227F">
        <w:t xml:space="preserve"> (</w:t>
      </w:r>
      <w:proofErr w:type="spellStart"/>
      <w:r w:rsidR="00AA227F">
        <w:t>cf</w:t>
      </w:r>
      <w:proofErr w:type="spellEnd"/>
      <w:r w:rsidR="00AA227F">
        <w:t xml:space="preserve"> </w:t>
      </w:r>
      <w:proofErr w:type="spellStart"/>
      <w:r w:rsidR="00AA227F">
        <w:t>ss</w:t>
      </w:r>
      <w:proofErr w:type="spellEnd"/>
      <w:r w:rsidR="00AA227F">
        <w:t xml:space="preserve"> 33N(1)(a) 33N(1)(b) and 33N(1)(d))</w:t>
      </w:r>
      <w:r w:rsidR="008431C8">
        <w:t xml:space="preserve">, so that it is open to argue that it could </w:t>
      </w:r>
      <w:r w:rsidR="00801268">
        <w:t>be satisfied</w:t>
      </w:r>
      <w:r w:rsidR="008431C8">
        <w:t xml:space="preserve"> if another </w:t>
      </w:r>
      <w:r w:rsidR="00801268">
        <w:t xml:space="preserve">set of </w:t>
      </w:r>
      <w:r w:rsidR="008431C8">
        <w:t>representative proceeding</w:t>
      </w:r>
      <w:r w:rsidR="00801268">
        <w:t>s</w:t>
      </w:r>
      <w:r w:rsidR="008431C8">
        <w:t xml:space="preserve"> </w:t>
      </w:r>
      <w:r w:rsidR="00801268">
        <w:t>were</w:t>
      </w:r>
      <w:r w:rsidR="008431C8">
        <w:t xml:space="preserve"> available and could efficiently deal with group members’ claims</w:t>
      </w:r>
      <w:r w:rsidR="00AD3B83">
        <w:t xml:space="preserve"> made</w:t>
      </w:r>
      <w:r w:rsidR="00801268">
        <w:t xml:space="preserve"> in the </w:t>
      </w:r>
      <w:r w:rsidR="00AD3B83">
        <w:t xml:space="preserve">hypothesised </w:t>
      </w:r>
      <w:r w:rsidR="00801268">
        <w:t>to be “declassed” proceedings</w:t>
      </w:r>
      <w:r w:rsidR="008431C8">
        <w:t xml:space="preserve">.  </w:t>
      </w:r>
      <w:r w:rsidR="00801268">
        <w:t xml:space="preserve">In other words, another available representative proceedings may </w:t>
      </w:r>
      <w:r w:rsidR="00801268">
        <w:lastRenderedPageBreak/>
        <w:t xml:space="preserve">make it </w:t>
      </w:r>
      <w:r w:rsidR="00801268" w:rsidRPr="00AD3B83">
        <w:rPr>
          <w:i/>
        </w:rPr>
        <w:t>less</w:t>
      </w:r>
      <w:r w:rsidR="00801268">
        <w:t xml:space="preserve"> efficient and </w:t>
      </w:r>
      <w:r w:rsidR="00801268" w:rsidRPr="00AD3B83">
        <w:rPr>
          <w:i/>
        </w:rPr>
        <w:t>less</w:t>
      </w:r>
      <w:r w:rsidR="00801268">
        <w:t xml:space="preserve"> effective to pursue the proposed to be “declassed” proceedings.  But I would note that s 33N(1)(c) is not focussed on </w:t>
      </w:r>
      <w:r w:rsidR="00801268" w:rsidRPr="00801268">
        <w:rPr>
          <w:i/>
        </w:rPr>
        <w:t>relative</w:t>
      </w:r>
      <w:r w:rsidR="00801268">
        <w:t xml:space="preserve"> efficiency and effectiveness but rather </w:t>
      </w:r>
      <w:r w:rsidR="00AD3B83">
        <w:t>is expressed in more</w:t>
      </w:r>
      <w:r w:rsidR="00801268">
        <w:t xml:space="preserve"> absolute </w:t>
      </w:r>
      <w:r w:rsidR="00AD3B83">
        <w:t xml:space="preserve">terms.  Generally, </w:t>
      </w:r>
      <w:r w:rsidR="00AA227F">
        <w:t>the better construction of s 33N(1)(c) is as I have indicated.  Conceptual cohere</w:t>
      </w:r>
      <w:r w:rsidR="00AD3B83">
        <w:t xml:space="preserve">nce </w:t>
      </w:r>
      <w:r w:rsidR="00421172">
        <w:t>dictate</w:t>
      </w:r>
      <w:r w:rsidR="00AD3B83">
        <w:t>s</w:t>
      </w:r>
      <w:r w:rsidR="00421172">
        <w:t xml:space="preserve"> that I read s </w:t>
      </w:r>
      <w:r w:rsidR="00AA227F">
        <w:t xml:space="preserve">33N(1)(c) through the </w:t>
      </w:r>
      <w:r w:rsidR="00AD3B83">
        <w:t xml:space="preserve">general </w:t>
      </w:r>
      <w:r w:rsidR="00AA227F">
        <w:t>lens of</w:t>
      </w:r>
      <w:r w:rsidR="00AD3B83">
        <w:t xml:space="preserve"> s 33N(1) by</w:t>
      </w:r>
      <w:r w:rsidR="00AA227F">
        <w:t xml:space="preserve"> comparing representative proceedings with non-representative proceedings.  </w:t>
      </w:r>
      <w:r w:rsidR="00AD3B83">
        <w:t>Moreover,</w:t>
      </w:r>
      <w:r w:rsidR="00AA227F">
        <w:t xml:space="preserve"> s</w:t>
      </w:r>
      <w:r w:rsidR="008431C8">
        <w:t xml:space="preserve"> 33N(1)</w:t>
      </w:r>
      <w:r>
        <w:t xml:space="preserve">(d) is also not satisfied. </w:t>
      </w:r>
      <w:r w:rsidR="00475714">
        <w:t xml:space="preserve"> </w:t>
      </w:r>
      <w:r>
        <w:t xml:space="preserve">The claims of the group members </w:t>
      </w:r>
      <w:r w:rsidR="008D5A05" w:rsidRPr="00780498">
        <w:t>in either</w:t>
      </w:r>
      <w:r w:rsidR="00421172" w:rsidRPr="00780498">
        <w:t xml:space="preserve"> of the</w:t>
      </w:r>
      <w:r w:rsidR="008D5A05" w:rsidRPr="00780498">
        <w:t xml:space="preserve"> proceeding</w:t>
      </w:r>
      <w:r w:rsidR="00AA227F" w:rsidRPr="00780498">
        <w:t>s</w:t>
      </w:r>
      <w:r w:rsidR="008D5A05">
        <w:t xml:space="preserve"> </w:t>
      </w:r>
      <w:r w:rsidR="008D5A05" w:rsidRPr="00742374">
        <w:t>ought</w:t>
      </w:r>
      <w:r w:rsidR="00742374" w:rsidRPr="00742374">
        <w:t xml:space="preserve"> </w:t>
      </w:r>
      <w:r w:rsidR="00F05695" w:rsidRPr="00742374">
        <w:t>to</w:t>
      </w:r>
      <w:r>
        <w:t xml:space="preserve"> be resolved by </w:t>
      </w:r>
      <w:r w:rsidR="008D5A05">
        <w:t>representative proceeding</w:t>
      </w:r>
      <w:r w:rsidR="00AA227F">
        <w:t>s</w:t>
      </w:r>
      <w:r w:rsidR="008D5A05">
        <w:t xml:space="preserve">; it cannot be said that it is </w:t>
      </w:r>
      <w:r w:rsidR="00AA227F">
        <w:t>otherwise inappropriate that such</w:t>
      </w:r>
      <w:r w:rsidR="008D5A05">
        <w:t xml:space="preserve"> claims be pursued by means of </w:t>
      </w:r>
      <w:r w:rsidR="008D5A05" w:rsidRPr="00F05695">
        <w:rPr>
          <w:i/>
        </w:rPr>
        <w:t>a</w:t>
      </w:r>
      <w:r w:rsidR="008D5A05">
        <w:t xml:space="preserve"> </w:t>
      </w:r>
      <w:r w:rsidR="00AA227F">
        <w:t xml:space="preserve">set of </w:t>
      </w:r>
      <w:r w:rsidR="008D5A05">
        <w:t>representative proceeding</w:t>
      </w:r>
      <w:r w:rsidR="00AA227F">
        <w:t>s</w:t>
      </w:r>
      <w:r w:rsidR="008D5A05">
        <w:t>.</w:t>
      </w:r>
    </w:p>
    <w:p w:rsidR="004635C8" w:rsidRDefault="008D5A05" w:rsidP="004635C8">
      <w:pPr>
        <w:pStyle w:val="ParaNumbering"/>
        <w:tabs>
          <w:tab w:val="clear" w:pos="720"/>
        </w:tabs>
      </w:pPr>
      <w:r>
        <w:t xml:space="preserve">But even if one of the s 33N(1)(a) to (d) conditions were </w:t>
      </w:r>
      <w:r w:rsidR="00AA227F">
        <w:t xml:space="preserve">to have been </w:t>
      </w:r>
      <w:r>
        <w:t xml:space="preserve">satisfied, I would still not make such an order.  </w:t>
      </w:r>
      <w:r w:rsidR="004B52C7">
        <w:t xml:space="preserve">A declassing order does not stop an action </w:t>
      </w:r>
      <w:r w:rsidR="00AA227F">
        <w:t>as such</w:t>
      </w:r>
      <w:r w:rsidR="00475714">
        <w:t>, but rather results in the de</w:t>
      </w:r>
      <w:r w:rsidR="004B52C7">
        <w:t xml:space="preserve">classed </w:t>
      </w:r>
      <w:r w:rsidR="00AA227F">
        <w:t xml:space="preserve">proceedings becoming </w:t>
      </w:r>
      <w:r w:rsidR="004B52C7">
        <w:t xml:space="preserve">individual </w:t>
      </w:r>
      <w:r w:rsidR="00AA227F">
        <w:t>proceedings</w:t>
      </w:r>
      <w:r w:rsidR="004B52C7">
        <w:t xml:space="preserve"> brought only by the named </w:t>
      </w:r>
      <w:r w:rsidR="00D84CE9">
        <w:t>applicant</w:t>
      </w:r>
      <w:r w:rsidR="004B52C7">
        <w:t>.</w:t>
      </w:r>
      <w:r w:rsidR="00475714">
        <w:t xml:space="preserve">  </w:t>
      </w:r>
      <w:r w:rsidR="004B52C7">
        <w:t xml:space="preserve">So, </w:t>
      </w:r>
      <w:r w:rsidR="004635C8" w:rsidRPr="00217343">
        <w:t>if the Basil p</w:t>
      </w:r>
      <w:r w:rsidR="004B52C7" w:rsidRPr="00217343">
        <w:t>roce</w:t>
      </w:r>
      <w:r w:rsidR="004635C8" w:rsidRPr="00217343">
        <w:t>eding</w:t>
      </w:r>
      <w:r w:rsidR="008D1C40" w:rsidRPr="00217343">
        <w:t>s</w:t>
      </w:r>
      <w:r w:rsidR="004635C8" w:rsidRPr="00217343">
        <w:t xml:space="preserve"> </w:t>
      </w:r>
      <w:r w:rsidR="00217343" w:rsidRPr="00217343">
        <w:t>were</w:t>
      </w:r>
      <w:r w:rsidR="004635C8" w:rsidRPr="00217343">
        <w:t xml:space="preserve"> declassed</w:t>
      </w:r>
      <w:r w:rsidR="004635C8">
        <w:t xml:space="preserve"> by a s</w:t>
      </w:r>
      <w:r w:rsidR="004B52C7">
        <w:t xml:space="preserve"> 33N(1) order</w:t>
      </w:r>
      <w:r w:rsidR="004635C8">
        <w:t xml:space="preserve">, it would </w:t>
      </w:r>
      <w:r w:rsidR="00AA227F">
        <w:t xml:space="preserve">still </w:t>
      </w:r>
      <w:r w:rsidR="004635C8">
        <w:t xml:space="preserve">continue as an individual action brought by the Basil applicant.  </w:t>
      </w:r>
      <w:r w:rsidR="00D84CE9">
        <w:t>But t</w:t>
      </w:r>
      <w:r w:rsidR="004635C8">
        <w:t xml:space="preserve">hat might lead to a number of outcomes.  For example, it might lead to other funded group members in the Basil proceedings opting out of the McKay proceedings and commencing their own individual proceedings, with each </w:t>
      </w:r>
      <w:r w:rsidR="00AA227F">
        <w:t>such</w:t>
      </w:r>
      <w:r w:rsidR="004635C8">
        <w:t xml:space="preserve"> individual proceedings being funded by ICP Capital</w:t>
      </w:r>
      <w:r w:rsidR="00AA227F">
        <w:t xml:space="preserve">.  Perhaps </w:t>
      </w:r>
      <w:r w:rsidR="004635C8">
        <w:t xml:space="preserve">a new closed class </w:t>
      </w:r>
      <w:r w:rsidR="00AA227F">
        <w:t xml:space="preserve">set of representative </w:t>
      </w:r>
      <w:r w:rsidR="00AA227F" w:rsidRPr="00FD45E8">
        <w:t>proceedings</w:t>
      </w:r>
      <w:r w:rsidR="004635C8" w:rsidRPr="00FD45E8">
        <w:t xml:space="preserve"> </w:t>
      </w:r>
      <w:r w:rsidR="00453B87" w:rsidRPr="00FD45E8">
        <w:t xml:space="preserve">may even be commenced </w:t>
      </w:r>
      <w:r w:rsidR="004635C8" w:rsidRPr="00FD45E8">
        <w:t xml:space="preserve">against </w:t>
      </w:r>
      <w:r w:rsidR="00D84CE9" w:rsidRPr="00FD45E8">
        <w:t>the respondent</w:t>
      </w:r>
      <w:r w:rsidR="00EC1F36" w:rsidRPr="00FD45E8">
        <w:t xml:space="preserve"> by such Basil opting out members</w:t>
      </w:r>
      <w:r w:rsidR="004635C8" w:rsidRPr="00FD45E8">
        <w:t xml:space="preserve">, </w:t>
      </w:r>
      <w:r w:rsidR="00453B87" w:rsidRPr="00FD45E8">
        <w:t xml:space="preserve">and </w:t>
      </w:r>
      <w:r w:rsidR="008431C8" w:rsidRPr="00FD45E8">
        <w:t xml:space="preserve">still </w:t>
      </w:r>
      <w:r w:rsidR="004635C8" w:rsidRPr="00FD45E8">
        <w:t>funded</w:t>
      </w:r>
      <w:r w:rsidR="004635C8">
        <w:t xml:space="preserve"> by ICP Capital.  </w:t>
      </w:r>
      <w:r w:rsidR="00AA227F">
        <w:t>In other words, a s 33N(1) order may provoke</w:t>
      </w:r>
      <w:r w:rsidR="004635C8">
        <w:t xml:space="preserve"> a multiplicity of proceedings against </w:t>
      </w:r>
      <w:r w:rsidR="00AA227F">
        <w:t>the respondent</w:t>
      </w:r>
      <w:r w:rsidR="00EC1F36">
        <w:t>, negating the foundation for making the s 33N(1) order in the first place</w:t>
      </w:r>
      <w:r w:rsidR="00D84CE9">
        <w:t xml:space="preserve">.  </w:t>
      </w:r>
      <w:r w:rsidR="004635C8">
        <w:t xml:space="preserve">Another possibility is that the declassing order may cause </w:t>
      </w:r>
      <w:r w:rsidR="00057D46">
        <w:t>ICP Capital</w:t>
      </w:r>
      <w:r w:rsidR="004635C8">
        <w:t xml:space="preserve"> to terminate its funding agreements, which </w:t>
      </w:r>
      <w:r w:rsidR="00057D46">
        <w:t>might</w:t>
      </w:r>
      <w:r w:rsidR="004635C8">
        <w:t xml:space="preserve"> have the practical effect of a stay</w:t>
      </w:r>
      <w:r w:rsidR="00057D46">
        <w:t>.  I</w:t>
      </w:r>
      <w:r w:rsidR="004635C8">
        <w:t>t is unlikely</w:t>
      </w:r>
      <w:r w:rsidR="00D84CE9">
        <w:t xml:space="preserve"> that</w:t>
      </w:r>
      <w:r w:rsidR="004635C8">
        <w:t xml:space="preserve"> any one</w:t>
      </w:r>
      <w:r w:rsidR="00306FF1">
        <w:t xml:space="preserve"> Basil</w:t>
      </w:r>
      <w:r w:rsidR="004635C8">
        <w:t xml:space="preserve"> group memb</w:t>
      </w:r>
      <w:r w:rsidR="00D84CE9">
        <w:t>er would fund their own action.</w:t>
      </w:r>
      <w:r w:rsidR="004635C8">
        <w:t xml:space="preserve">  </w:t>
      </w:r>
      <w:r w:rsidR="00EC1F36">
        <w:t>But Basil group members who have already signed funding agreements</w:t>
      </w:r>
      <w:r w:rsidR="00057D46">
        <w:t xml:space="preserve"> should not be coerced into having to accept another funder in another set of representative proceedings absent very compelling reasons.  A</w:t>
      </w:r>
      <w:r w:rsidR="004635C8">
        <w:t xml:space="preserve"> declassing order shou</w:t>
      </w:r>
      <w:r w:rsidR="008431C8">
        <w:t>ld</w:t>
      </w:r>
      <w:r w:rsidR="00057D46">
        <w:t xml:space="preserve"> </w:t>
      </w:r>
      <w:r w:rsidR="008431C8">
        <w:t xml:space="preserve">not be made for </w:t>
      </w:r>
      <w:r w:rsidR="00EC1F36">
        <w:t xml:space="preserve">the </w:t>
      </w:r>
      <w:r w:rsidR="00057D46">
        <w:t xml:space="preserve">purposes of producing a stay or having an inappropriate coercive effect.  In summary, there is no attraction to or advantage in making a s 33N(1) order </w:t>
      </w:r>
      <w:r w:rsidR="00EC1F36">
        <w:t xml:space="preserve">in either of the proceedings </w:t>
      </w:r>
      <w:r w:rsidR="00057D46">
        <w:t>and it would not be in the interests of justice to do so, whether from the perspective of group members, the respondent or both.</w:t>
      </w:r>
    </w:p>
    <w:p w:rsidR="004B52C7" w:rsidRDefault="00D84CE9" w:rsidP="004B52C7">
      <w:pPr>
        <w:pStyle w:val="ParaNumbering"/>
        <w:tabs>
          <w:tab w:val="clear" w:pos="720"/>
        </w:tabs>
      </w:pPr>
      <w:r>
        <w:t>Third, as for</w:t>
      </w:r>
      <w:r w:rsidR="004635C8">
        <w:t xml:space="preserve"> the “do nothing” scenario, the Basil applicant made </w:t>
      </w:r>
      <w:r>
        <w:t>an</w:t>
      </w:r>
      <w:r w:rsidR="004635C8">
        <w:t xml:space="preserve"> alluring submission in the following terms (at [46]):</w:t>
      </w:r>
    </w:p>
    <w:p w:rsidR="004635C8" w:rsidRDefault="004635C8" w:rsidP="004635C8">
      <w:pPr>
        <w:pStyle w:val="Quote1"/>
      </w:pPr>
      <w:r>
        <w:lastRenderedPageBreak/>
        <w:t>The recent practice of the Court, however, has been to use case management powers to manage the proceedings pending resolution of the overlap prior to ultimate resolution of the matter, as discussed above. In the Volkswagen class action proceedings for which</w:t>
      </w:r>
      <w:r w:rsidR="00D53109">
        <w:t xml:space="preserve"> Foster J is the docket judge,</w:t>
      </w:r>
      <w:r>
        <w:t xml:space="preserve"> two overlapping representative proceedings are proceeding for the time being with a trial on certain separate questions fixed for later this year, but on the basis that the overlap will be resolved by one means or another in the meantime. </w:t>
      </w:r>
      <w:r w:rsidR="00D53109">
        <w:t xml:space="preserve"> </w:t>
      </w:r>
      <w:r>
        <w:t>Similarly, in the CIMIC class action, Jagot J recently declined to deal with an application by the respondent to stay the second open class action (which included a significant registered group), preferring to defer consideration of that issue until a later point in time, in circumstances where the first class action had been commenced in the Supreme Court of Victoria (by serial litigant, Melbourne City Investments Ltd) significantly earlier than the second.</w:t>
      </w:r>
      <w:r w:rsidR="00D53109">
        <w:t xml:space="preserve">  </w:t>
      </w:r>
      <w:r>
        <w:t>Should the Court wish to take this approach, an opportunity for Unknown Group Members to select whether they wish to be part of the Basil Proceeding or the McKay Proceeding can be afforded to them during the opt-out phase, and to manage the proceedings together in the meantime.</w:t>
      </w:r>
      <w:r w:rsidR="00D53109">
        <w:t xml:space="preserve">  (footnotes omitted)</w:t>
      </w:r>
    </w:p>
    <w:p w:rsidR="004A39DA" w:rsidRDefault="00D84CE9" w:rsidP="004B52C7">
      <w:pPr>
        <w:pStyle w:val="ParaNumbering"/>
        <w:tabs>
          <w:tab w:val="clear" w:pos="720"/>
        </w:tabs>
      </w:pPr>
      <w:r>
        <w:t>Now t</w:t>
      </w:r>
      <w:r w:rsidR="00D53109">
        <w:t xml:space="preserve">here is </w:t>
      </w:r>
      <w:r w:rsidR="00C1790D">
        <w:t>considerable</w:t>
      </w:r>
      <w:r w:rsidR="00D53109">
        <w:t xml:space="preserve"> </w:t>
      </w:r>
      <w:r w:rsidR="00794F5C">
        <w:t>wisdom</w:t>
      </w:r>
      <w:r w:rsidR="00EC1F36">
        <w:t xml:space="preserve"> in a </w:t>
      </w:r>
      <w:r w:rsidR="00D53109">
        <w:t xml:space="preserve">wait and see approach in some contexts.  And I do not doubt that such </w:t>
      </w:r>
      <w:r>
        <w:t>an approach</w:t>
      </w:r>
      <w:r w:rsidR="00D53109">
        <w:t xml:space="preserve"> has been warranted by other docket judges in other </w:t>
      </w:r>
      <w:r>
        <w:t>cases</w:t>
      </w:r>
      <w:r w:rsidR="00D53109">
        <w:t xml:space="preserve">.  But </w:t>
      </w:r>
      <w:r w:rsidR="003E40F8">
        <w:t>in my</w:t>
      </w:r>
      <w:r w:rsidR="00D53109">
        <w:t xml:space="preserve"> context where there are two open class proceedings, numerous group members signed up in each </w:t>
      </w:r>
      <w:r w:rsidR="00057D46">
        <w:t xml:space="preserve">of the </w:t>
      </w:r>
      <w:r w:rsidR="00D53109">
        <w:t>proceeding</w:t>
      </w:r>
      <w:r w:rsidR="00057D46">
        <w:t>s</w:t>
      </w:r>
      <w:r w:rsidR="00D53109">
        <w:t xml:space="preserve"> to different</w:t>
      </w:r>
      <w:r>
        <w:t xml:space="preserve"> funding arrangements, and</w:t>
      </w:r>
      <w:r w:rsidR="00D53109">
        <w:t xml:space="preserve"> the prospect of a common fund application being made in each</w:t>
      </w:r>
      <w:r w:rsidR="00057D46">
        <w:t xml:space="preserve"> of the</w:t>
      </w:r>
      <w:r w:rsidR="00D53109">
        <w:t xml:space="preserve"> proceeding</w:t>
      </w:r>
      <w:r w:rsidR="00057D46">
        <w:t>s</w:t>
      </w:r>
      <w:r w:rsidR="00D53109">
        <w:t xml:space="preserve">, it is desirable that clarity be injected sooner rather than later as to </w:t>
      </w:r>
      <w:r>
        <w:t xml:space="preserve">the </w:t>
      </w:r>
      <w:r w:rsidR="00D53109">
        <w:t xml:space="preserve">proceedings </w:t>
      </w:r>
      <w:r>
        <w:t>to go forward</w:t>
      </w:r>
      <w:r w:rsidR="00057D46">
        <w:t xml:space="preserve"> and their constitution</w:t>
      </w:r>
      <w:r w:rsidR="00D53109">
        <w:t>.  This is not only in the best interests of group members in each</w:t>
      </w:r>
      <w:r w:rsidR="00057D46">
        <w:t xml:space="preserve"> of the</w:t>
      </w:r>
      <w:r w:rsidR="00D53109">
        <w:t xml:space="preserve"> proceeding</w:t>
      </w:r>
      <w:r w:rsidR="00057D46">
        <w:t>s</w:t>
      </w:r>
      <w:r w:rsidR="00D53109">
        <w:t>, whether signed up or otherwise, but also in the interests of the respondent, who should not be vexed or oppressed by duplicate classes prosecuting duplicate claims.</w:t>
      </w:r>
      <w:r w:rsidR="00057D46">
        <w:t xml:space="preserve">  Let me elaborate on one aspect</w:t>
      </w:r>
      <w:r w:rsidR="00EC1F36">
        <w:t xml:space="preserve"> justifying the need to resolve these issues sooner rather than later</w:t>
      </w:r>
      <w:r w:rsidR="00057D46">
        <w:t>.  T</w:t>
      </w:r>
      <w:r w:rsidR="004A39DA">
        <w:t>he applicant in each</w:t>
      </w:r>
      <w:r w:rsidR="00057D46">
        <w:t xml:space="preserve"> of the</w:t>
      </w:r>
      <w:r w:rsidR="004A39DA">
        <w:t xml:space="preserve"> proceeding</w:t>
      </w:r>
      <w:r w:rsidR="00057D46">
        <w:t>s</w:t>
      </w:r>
      <w:r w:rsidR="004A39DA">
        <w:t xml:space="preserve"> is proposing to seek a common fund order.  Whether I grant such an order and its terms</w:t>
      </w:r>
      <w:r w:rsidR="00057D46">
        <w:t xml:space="preserve"> </w:t>
      </w:r>
      <w:r w:rsidR="00EC1F36">
        <w:t>will</w:t>
      </w:r>
      <w:r w:rsidR="004A39DA">
        <w:t xml:space="preserve"> need to be dealt with at an early point.  In those circumstances, it is necessary to resolve the appropriate constitution of each</w:t>
      </w:r>
      <w:r w:rsidR="00057D46">
        <w:t xml:space="preserve"> of the</w:t>
      </w:r>
      <w:r w:rsidR="004A39DA">
        <w:t xml:space="preserve"> proceeding</w:t>
      </w:r>
      <w:r w:rsidR="00057D46">
        <w:t>s</w:t>
      </w:r>
      <w:r w:rsidR="004A39DA">
        <w:t xml:space="preserve"> first before dealing with common fund questions.  It is undesirable that a common fund order be made in </w:t>
      </w:r>
      <w:r w:rsidR="004A39DA" w:rsidRPr="00057D46">
        <w:rPr>
          <w:i/>
        </w:rPr>
        <w:t>both</w:t>
      </w:r>
      <w:r w:rsidR="004A39DA">
        <w:t xml:space="preserve"> proceedings.  That would create considerable uncertainty for group members.</w:t>
      </w:r>
      <w:r w:rsidR="00DA124B">
        <w:t xml:space="preserve">  Moreover, the economic</w:t>
      </w:r>
      <w:r w:rsidR="008F0036">
        <w:t>s of determining whether such an order and its terms are appropriate</w:t>
      </w:r>
      <w:r w:rsidR="00EC1F36">
        <w:t xml:space="preserve"> and in which proceedings</w:t>
      </w:r>
      <w:r w:rsidR="008F0036">
        <w:t xml:space="preserve"> would be considerably complicated if I was to endeavour to address th</w:t>
      </w:r>
      <w:r w:rsidR="00EC1F36">
        <w:t>e question at the same time in both</w:t>
      </w:r>
      <w:r w:rsidR="008F0036">
        <w:t xml:space="preserve"> proceedings</w:t>
      </w:r>
      <w:r w:rsidR="00EC1F36">
        <w:t xml:space="preserve"> as presently constituted</w:t>
      </w:r>
      <w:r w:rsidR="008F0036">
        <w:t>.</w:t>
      </w:r>
      <w:r w:rsidR="00057D46">
        <w:t xml:space="preserve">  In summary, I d</w:t>
      </w:r>
      <w:r w:rsidR="00EC1F36">
        <w:t xml:space="preserve">o not consider that I can just </w:t>
      </w:r>
      <w:r w:rsidR="00057D46">
        <w:t>wait and see what happens.</w:t>
      </w:r>
    </w:p>
    <w:p w:rsidR="00B65F07" w:rsidRPr="00B167D8" w:rsidRDefault="00057D46" w:rsidP="004B52C7">
      <w:pPr>
        <w:pStyle w:val="ParaNumbering"/>
        <w:tabs>
          <w:tab w:val="clear" w:pos="720"/>
        </w:tabs>
      </w:pPr>
      <w:r>
        <w:t xml:space="preserve">Now before proceeding further to discuss the realistic options, there is one other matter that </w:t>
      </w:r>
      <w:r w:rsidR="00EC1F36">
        <w:t>can conveniently be dealt with at this point</w:t>
      </w:r>
      <w:r>
        <w:t xml:space="preserve">.  I have considered </w:t>
      </w:r>
      <w:r w:rsidR="00B65F07">
        <w:t xml:space="preserve">the approach of US-style litigation committees and sealed bid auctions.  </w:t>
      </w:r>
      <w:r w:rsidR="0010278C">
        <w:t>But s</w:t>
      </w:r>
      <w:r w:rsidR="003E40F8">
        <w:t>uch</w:t>
      </w:r>
      <w:r w:rsidR="00FF6DCF">
        <w:t xml:space="preserve"> </w:t>
      </w:r>
      <w:r w:rsidR="0010278C">
        <w:t>mechanisms</w:t>
      </w:r>
      <w:r w:rsidR="000F6114">
        <w:t xml:space="preserve"> have not gained</w:t>
      </w:r>
      <w:r w:rsidR="003E40F8">
        <w:t xml:space="preserve"> </w:t>
      </w:r>
      <w:r w:rsidR="000F6114">
        <w:t>traction</w:t>
      </w:r>
      <w:r w:rsidR="00FF6DCF">
        <w:t xml:space="preserve"> in any competing class actions scenario of which I am aware</w:t>
      </w:r>
      <w:r w:rsidR="003E40F8">
        <w:t xml:space="preserve">, save for being </w:t>
      </w:r>
      <w:r w:rsidR="0010278C">
        <w:t xml:space="preserve">innovatively </w:t>
      </w:r>
      <w:r w:rsidR="0010278C">
        <w:lastRenderedPageBreak/>
        <w:t>suggested by Finkelstein J in</w:t>
      </w:r>
      <w:r w:rsidR="003E40F8">
        <w:t xml:space="preserve"> the Centro litigation (</w:t>
      </w:r>
      <w:r w:rsidR="003E40F8" w:rsidRPr="003E40F8">
        <w:rPr>
          <w:i/>
        </w:rPr>
        <w:t>Kirby v Centro Properties Ltd</w:t>
      </w:r>
      <w:r w:rsidR="003E40F8">
        <w:t xml:space="preserve"> (2008) 253 ALR 65; [2008] FCA 1505)</w:t>
      </w:r>
      <w:r w:rsidR="00FF6DCF">
        <w:t xml:space="preserve">.  </w:t>
      </w:r>
      <w:r w:rsidR="0010278C">
        <w:t>It</w:t>
      </w:r>
      <w:r w:rsidR="00FF6DCF">
        <w:t xml:space="preserve"> is difficult </w:t>
      </w:r>
      <w:r w:rsidR="00EC1F36">
        <w:t>for</w:t>
      </w:r>
      <w:r w:rsidR="00EB768D">
        <w:t xml:space="preserve"> US mechanisms to</w:t>
      </w:r>
      <w:r w:rsidR="00FF6DCF">
        <w:t xml:space="preserve"> be carried across.  First, in the US, choosing the representative applicant or what has been described as the class representative takes place in the context of a certification regime</w:t>
      </w:r>
      <w:r w:rsidR="0015723A">
        <w:t xml:space="preserve"> where permission to procee</w:t>
      </w:r>
      <w:r w:rsidR="00EB768D">
        <w:t xml:space="preserve">d is necessary, </w:t>
      </w:r>
      <w:r w:rsidR="0015723A" w:rsidRPr="00EB768D">
        <w:t>which is not</w:t>
      </w:r>
      <w:r w:rsidR="0015723A">
        <w:t xml:space="preserve"> the Part IVA context</w:t>
      </w:r>
      <w:r w:rsidR="00FF6DCF">
        <w:t xml:space="preserve">.  </w:t>
      </w:r>
      <w:r w:rsidR="00E833BE">
        <w:t xml:space="preserve">Competition for the right to proceed is not </w:t>
      </w:r>
      <w:r w:rsidR="0010278C">
        <w:t xml:space="preserve">directly </w:t>
      </w:r>
      <w:r w:rsidR="00E833BE">
        <w:t xml:space="preserve">comparable to the scenario where there is a prima facie right to proceed.  </w:t>
      </w:r>
      <w:r w:rsidR="00FF6DCF">
        <w:t>Second, in the US, generally there is no adverse costs exposure</w:t>
      </w:r>
      <w:r w:rsidR="0015723A">
        <w:t xml:space="preserve">; </w:t>
      </w:r>
      <w:r w:rsidR="0010278C">
        <w:t>contrastingly, in Australia</w:t>
      </w:r>
      <w:r w:rsidR="0015723A">
        <w:t xml:space="preserve"> any</w:t>
      </w:r>
      <w:r w:rsidR="00FD45E8">
        <w:t xml:space="preserve"> </w:t>
      </w:r>
      <w:r w:rsidR="0015723A">
        <w:t>competition</w:t>
      </w:r>
      <w:r w:rsidR="00EB768D">
        <w:t xml:space="preserve"> for the class action</w:t>
      </w:r>
      <w:r w:rsidR="0015723A">
        <w:t xml:space="preserve"> and</w:t>
      </w:r>
      <w:r w:rsidR="00EB768D">
        <w:t xml:space="preserve"> the</w:t>
      </w:r>
      <w:r w:rsidR="00E833BE">
        <w:t xml:space="preserve"> associated</w:t>
      </w:r>
      <w:r w:rsidR="0015723A">
        <w:t xml:space="preserve"> bid economics </w:t>
      </w:r>
      <w:r w:rsidR="00D82246">
        <w:t>will be</w:t>
      </w:r>
      <w:r w:rsidR="0015723A">
        <w:t xml:space="preserve"> </w:t>
      </w:r>
      <w:r w:rsidR="0010278C">
        <w:t>affected by</w:t>
      </w:r>
      <w:r w:rsidR="00E833BE">
        <w:t xml:space="preserve"> different risk </w:t>
      </w:r>
      <w:r w:rsidR="00D82246">
        <w:t>pricing reflecting different risk perceptions</w:t>
      </w:r>
      <w:r w:rsidR="00FF6DCF">
        <w:t xml:space="preserve">.  </w:t>
      </w:r>
      <w:r>
        <w:t>Third, inst</w:t>
      </w:r>
      <w:r w:rsidR="00EB768D">
        <w:t>itutional investors play a</w:t>
      </w:r>
      <w:r>
        <w:t xml:space="preserve"> different role in class actions in the US than they do in Australia</w:t>
      </w:r>
      <w:r w:rsidR="0015723A">
        <w:t>; the utility and dynamics o</w:t>
      </w:r>
      <w:r w:rsidR="00062DE4">
        <w:t xml:space="preserve">f </w:t>
      </w:r>
      <w:r w:rsidR="0010278C">
        <w:t xml:space="preserve">US </w:t>
      </w:r>
      <w:r w:rsidR="00062DE4">
        <w:t xml:space="preserve">committees </w:t>
      </w:r>
      <w:r w:rsidR="0010278C">
        <w:t>may</w:t>
      </w:r>
      <w:r w:rsidR="00062DE4">
        <w:t xml:space="preserve"> not </w:t>
      </w:r>
      <w:r w:rsidR="0010278C">
        <w:t xml:space="preserve">be </w:t>
      </w:r>
      <w:r w:rsidR="00062DE4">
        <w:t>comparable</w:t>
      </w:r>
      <w:r>
        <w:t>.  Fourth</w:t>
      </w:r>
      <w:r w:rsidR="00FF6DCF">
        <w:t xml:space="preserve">, I am faced with substantial numbers of group members in each </w:t>
      </w:r>
      <w:r w:rsidR="00EB768D">
        <w:t xml:space="preserve">of the </w:t>
      </w:r>
      <w:r w:rsidR="00FF6DCF">
        <w:t>proceeding</w:t>
      </w:r>
      <w:r w:rsidR="00EB768D">
        <w:t>s</w:t>
      </w:r>
      <w:r w:rsidR="00FF6DCF">
        <w:t xml:space="preserve"> </w:t>
      </w:r>
      <w:r w:rsidR="00D84CE9">
        <w:t>who are</w:t>
      </w:r>
      <w:r w:rsidR="00FF6DCF">
        <w:t xml:space="preserve"> the subject of litigation funding agreements</w:t>
      </w:r>
      <w:r w:rsidR="00EB768D">
        <w:t xml:space="preserve"> with </w:t>
      </w:r>
      <w:r w:rsidR="00EB768D" w:rsidRPr="00E833BE">
        <w:rPr>
          <w:i/>
        </w:rPr>
        <w:t>separate</w:t>
      </w:r>
      <w:r w:rsidR="00EB768D">
        <w:t xml:space="preserve"> </w:t>
      </w:r>
      <w:r w:rsidR="0010278C">
        <w:t xml:space="preserve">external </w:t>
      </w:r>
      <w:r w:rsidR="00EB768D">
        <w:t>funders</w:t>
      </w:r>
      <w:r w:rsidR="00FF6DCF">
        <w:t xml:space="preserve">.  </w:t>
      </w:r>
      <w:r w:rsidR="0015723A">
        <w:t xml:space="preserve">No similar context operates in the US.  Moreover, any sealed bid process could </w:t>
      </w:r>
      <w:r w:rsidR="00E833BE">
        <w:t xml:space="preserve">now </w:t>
      </w:r>
      <w:r w:rsidR="0015723A">
        <w:t>have no meaningful utility</w:t>
      </w:r>
      <w:r w:rsidR="00EB768D">
        <w:t xml:space="preserve"> given the existence, magnitude and exposure of </w:t>
      </w:r>
      <w:r w:rsidR="0010278C">
        <w:t>such</w:t>
      </w:r>
      <w:r w:rsidR="00EB768D">
        <w:t xml:space="preserve"> contractual arrangements</w:t>
      </w:r>
      <w:r w:rsidR="0015723A">
        <w:t xml:space="preserve">.  </w:t>
      </w:r>
      <w:r w:rsidR="0010278C">
        <w:t xml:space="preserve">Fifth, </w:t>
      </w:r>
      <w:r w:rsidR="00452E1E">
        <w:t>US-</w:t>
      </w:r>
      <w:r>
        <w:t>style mechanisms proceed on the assumption that representative app</w:t>
      </w:r>
      <w:r w:rsidR="0010278C">
        <w:t>licants are mere figureheads, a doubtful</w:t>
      </w:r>
      <w:r>
        <w:t xml:space="preserve"> assumption </w:t>
      </w:r>
      <w:r w:rsidR="0015723A">
        <w:t>on the evidence</w:t>
      </w:r>
      <w:r w:rsidR="0010278C">
        <w:t xml:space="preserve"> before me</w:t>
      </w:r>
      <w:r>
        <w:t xml:space="preserve">.  </w:t>
      </w:r>
      <w:r w:rsidR="00E833BE">
        <w:t xml:space="preserve">Each </w:t>
      </w:r>
      <w:r w:rsidR="00FF6DCF">
        <w:t>of th</w:t>
      </w:r>
      <w:r w:rsidR="00EB768D">
        <w:t>e</w:t>
      </w:r>
      <w:r w:rsidR="00FF6DCF">
        <w:t xml:space="preserve">se matters demonstrates the </w:t>
      </w:r>
      <w:r w:rsidR="0010278C">
        <w:t>difficulty of applying</w:t>
      </w:r>
      <w:r w:rsidR="00FF6DCF">
        <w:t xml:space="preserve"> US mechanisms</w:t>
      </w:r>
      <w:r w:rsidR="00D84CE9">
        <w:t xml:space="preserve"> to the </w:t>
      </w:r>
      <w:r w:rsidR="00EB768D">
        <w:t xml:space="preserve">present </w:t>
      </w:r>
      <w:r w:rsidR="00D84CE9">
        <w:t>problem</w:t>
      </w:r>
      <w:r w:rsidR="00FF6DCF">
        <w:t xml:space="preserve">.  </w:t>
      </w:r>
      <w:r w:rsidR="00EB768D">
        <w:t>Finally,</w:t>
      </w:r>
      <w:r w:rsidR="00FF6DCF">
        <w:t xml:space="preserve"> as Professor Vince </w:t>
      </w:r>
      <w:proofErr w:type="spellStart"/>
      <w:r w:rsidR="00FF6DCF">
        <w:t>Morabito</w:t>
      </w:r>
      <w:proofErr w:type="spellEnd"/>
      <w:r w:rsidR="00FF6DCF">
        <w:t xml:space="preserve"> has explained</w:t>
      </w:r>
      <w:r>
        <w:t xml:space="preserve"> with his </w:t>
      </w:r>
      <w:r w:rsidR="00780498">
        <w:t>usual</w:t>
      </w:r>
      <w:r>
        <w:t xml:space="preserve"> cogency</w:t>
      </w:r>
      <w:r w:rsidR="00FF6DCF">
        <w:t xml:space="preserve"> in “Clashing Classes Down Under – Evaluating Australia’</w:t>
      </w:r>
      <w:r w:rsidR="00003FEC">
        <w:t>s Competing Class Actions T</w:t>
      </w:r>
      <w:r w:rsidR="00FF6DCF">
        <w:t xml:space="preserve">hrough Empirical and Comparative Perspectives” (2012) 27 </w:t>
      </w:r>
      <w:r w:rsidR="00FF6DCF" w:rsidRPr="00FF6DCF">
        <w:rPr>
          <w:i/>
        </w:rPr>
        <w:t>Connecticut Journal of International Law</w:t>
      </w:r>
      <w:r w:rsidR="00FF6DCF">
        <w:t xml:space="preserve"> 245 at 301, even in the US it has been perceived that sealed bid auctions do not </w:t>
      </w:r>
      <w:r w:rsidR="0010278C">
        <w:t xml:space="preserve">necessarily </w:t>
      </w:r>
      <w:r w:rsidR="00FF6DCF">
        <w:t>hold the answer to</w:t>
      </w:r>
      <w:r w:rsidR="00D84CE9">
        <w:t xml:space="preserve"> solving</w:t>
      </w:r>
      <w:r w:rsidR="00FF6DCF">
        <w:t xml:space="preserve"> the pr</w:t>
      </w:r>
      <w:r w:rsidR="003E40F8">
        <w:t>oblem of competing class actions.</w:t>
      </w:r>
    </w:p>
    <w:p w:rsidR="00D53109" w:rsidRDefault="00D53109" w:rsidP="00D53109">
      <w:pPr>
        <w:pStyle w:val="Heading2"/>
      </w:pPr>
      <w:r>
        <w:t>(b)</w:t>
      </w:r>
      <w:r>
        <w:tab/>
      </w:r>
      <w:r w:rsidR="00B552C3">
        <w:t>Realistic o</w:t>
      </w:r>
      <w:r>
        <w:t>ptions left in the frame</w:t>
      </w:r>
    </w:p>
    <w:p w:rsidR="00D53109" w:rsidRDefault="00FF6DCF" w:rsidP="004B52C7">
      <w:pPr>
        <w:pStyle w:val="ParaNumbering"/>
        <w:tabs>
          <w:tab w:val="clear" w:pos="720"/>
        </w:tabs>
      </w:pPr>
      <w:r>
        <w:t xml:space="preserve">In my view, the two realistic options </w:t>
      </w:r>
      <w:r w:rsidR="00B552C3">
        <w:t xml:space="preserve">to </w:t>
      </w:r>
      <w:r w:rsidR="003E40F8">
        <w:t>consider</w:t>
      </w:r>
      <w:r w:rsidR="00B552C3">
        <w:t xml:space="preserve"> are</w:t>
      </w:r>
      <w:r>
        <w:t>:</w:t>
      </w:r>
    </w:p>
    <w:p w:rsidR="00FF6DCF" w:rsidRDefault="00957D05" w:rsidP="00CD1724">
      <w:pPr>
        <w:pStyle w:val="ListNo2"/>
        <w:numPr>
          <w:ilvl w:val="1"/>
          <w:numId w:val="25"/>
        </w:numPr>
      </w:pPr>
      <w:r>
        <w:t>a permanent stay of one of the proceedings;</w:t>
      </w:r>
    </w:p>
    <w:p w:rsidR="00957D05" w:rsidRDefault="00957D05" w:rsidP="00CD1724">
      <w:pPr>
        <w:pStyle w:val="ListNo2"/>
        <w:numPr>
          <w:ilvl w:val="1"/>
          <w:numId w:val="25"/>
        </w:numPr>
      </w:pPr>
      <w:r>
        <w:t>closing the class in one of the proceedings, leaving the other class open and having a joint trial of both proceedings.</w:t>
      </w:r>
    </w:p>
    <w:p w:rsidR="00E338F4" w:rsidRDefault="00351C8D" w:rsidP="00B552C3">
      <w:pPr>
        <w:pStyle w:val="ParaNumbering"/>
      </w:pPr>
      <w:r>
        <w:t>As</w:t>
      </w:r>
      <w:r w:rsidR="00E338F4">
        <w:t xml:space="preserve"> to the </w:t>
      </w:r>
      <w:r>
        <w:t xml:space="preserve">first </w:t>
      </w:r>
      <w:r w:rsidR="00E338F4">
        <w:t>option, it will be appreciated that such an option has an ana</w:t>
      </w:r>
      <w:r w:rsidR="00B552C3">
        <w:t>logy with the Canadian form of carriage motion</w:t>
      </w:r>
      <w:r w:rsidR="00E338F4">
        <w:t xml:space="preserve"> approach.</w:t>
      </w:r>
      <w:r w:rsidR="00B552C3">
        <w:t xml:space="preserve">  </w:t>
      </w:r>
      <w:r>
        <w:t xml:space="preserve">And as to the second option, the question arises as to which proceedings’ class should remain open and which should be closed.  </w:t>
      </w:r>
      <w:r w:rsidR="00E338F4">
        <w:t xml:space="preserve">It is </w:t>
      </w:r>
      <w:r w:rsidR="00E338F4">
        <w:lastRenderedPageBreak/>
        <w:t>appropriate to discuss each option in turn</w:t>
      </w:r>
      <w:r w:rsidR="00502461">
        <w:t>,</w:t>
      </w:r>
      <w:r w:rsidR="00E338F4">
        <w:t xml:space="preserve"> although they involve </w:t>
      </w:r>
      <w:r w:rsidR="00EB768D">
        <w:t>overlapping considerations and analysis</w:t>
      </w:r>
      <w:r w:rsidR="00E338F4">
        <w:t>.</w:t>
      </w:r>
    </w:p>
    <w:p w:rsidR="007D0DCD" w:rsidRDefault="007D0DCD" w:rsidP="007D0DCD">
      <w:pPr>
        <w:pStyle w:val="Heading1"/>
      </w:pPr>
      <w:r>
        <w:t>A PERMANENT STAY?</w:t>
      </w:r>
    </w:p>
    <w:p w:rsidR="001311D0" w:rsidRDefault="00D83790" w:rsidP="007D0DCD">
      <w:pPr>
        <w:pStyle w:val="ParaNumbering"/>
      </w:pPr>
      <w:r>
        <w:t xml:space="preserve">The respondent has contended that it is vexatious, oppressive and an abuse of process for the same applicant to bring two actions seeking the same relief against the same respondent with respect to the same subject matter.  Similarly, it is said that it is vexatious, oppressive, an abuse of process and otherwise not </w:t>
      </w:r>
      <w:r w:rsidR="001311D0">
        <w:t>in the interests of justice for two or more representative proceedings, with overlapping group members, to be brought against the same respondent in respect of the same subject matter.  It is said that in such circumstances it is incumbent upon the Court to determine which proceeding</w:t>
      </w:r>
      <w:r w:rsidR="00842AEB">
        <w:t>s</w:t>
      </w:r>
      <w:r w:rsidR="001311D0">
        <w:t xml:space="preserve"> </w:t>
      </w:r>
      <w:r w:rsidR="00B552C3">
        <w:t>should</w:t>
      </w:r>
      <w:r w:rsidR="001311D0">
        <w:t xml:space="preserve"> be permitted to proceed a</w:t>
      </w:r>
      <w:r w:rsidR="00842AEB">
        <w:t xml:space="preserve">s </w:t>
      </w:r>
      <w:r w:rsidR="00351C8D">
        <w:t>representative proceeding</w:t>
      </w:r>
      <w:r w:rsidR="00842AEB">
        <w:t>s</w:t>
      </w:r>
      <w:r w:rsidR="00351C8D">
        <w:t xml:space="preserve">.  </w:t>
      </w:r>
      <w:r w:rsidR="001311D0">
        <w:t>The respondent submits that a per</w:t>
      </w:r>
      <w:r w:rsidR="00B66DB4">
        <w:t>manent stay should be ordered</w:t>
      </w:r>
      <w:r w:rsidR="00B552C3">
        <w:t xml:space="preserve"> of one of the proceedings</w:t>
      </w:r>
      <w:r w:rsidR="00B66DB4">
        <w:t xml:space="preserve"> and </w:t>
      </w:r>
      <w:r w:rsidR="0057508A">
        <w:t xml:space="preserve">relies upon the </w:t>
      </w:r>
      <w:r w:rsidR="001311D0">
        <w:t>following matters.</w:t>
      </w:r>
    </w:p>
    <w:p w:rsidR="001311D0" w:rsidRDefault="001311D0" w:rsidP="009B7A9C">
      <w:pPr>
        <w:pStyle w:val="ParaNumbering"/>
      </w:pPr>
      <w:r>
        <w:t xml:space="preserve">First, </w:t>
      </w:r>
      <w:r w:rsidR="00B66DB4">
        <w:t>it s</w:t>
      </w:r>
      <w:r w:rsidR="00B552C3">
        <w:t>ays</w:t>
      </w:r>
      <w:r w:rsidR="00B66DB4">
        <w:t xml:space="preserve"> that </w:t>
      </w:r>
      <w:r>
        <w:t>a stay</w:t>
      </w:r>
      <w:r w:rsidR="00B552C3">
        <w:t xml:space="preserve"> of one of the proceedings</w:t>
      </w:r>
      <w:r>
        <w:t xml:space="preserve"> is in the interests of group members</w:t>
      </w:r>
      <w:r w:rsidR="00B552C3">
        <w:t xml:space="preserve"> of all proceedings.</w:t>
      </w:r>
      <w:r>
        <w:t xml:space="preserve"> </w:t>
      </w:r>
      <w:r w:rsidR="00B66DB4">
        <w:t xml:space="preserve"> </w:t>
      </w:r>
      <w:r w:rsidR="00B552C3">
        <w:t>It says that I should</w:t>
      </w:r>
      <w:r>
        <w:t xml:space="preserve"> permit the </w:t>
      </w:r>
      <w:r w:rsidR="00E10304">
        <w:t>proceedings</w:t>
      </w:r>
      <w:r>
        <w:t xml:space="preserve"> with the lowest legal costs and most attractive funding commissions to continue. </w:t>
      </w:r>
      <w:r w:rsidR="00B66DB4">
        <w:t xml:space="preserve"> </w:t>
      </w:r>
      <w:r w:rsidR="00B552C3">
        <w:t>It is said that this</w:t>
      </w:r>
      <w:r>
        <w:t xml:space="preserve"> ensures </w:t>
      </w:r>
      <w:r w:rsidR="00EB768D">
        <w:t xml:space="preserve">that </w:t>
      </w:r>
      <w:r>
        <w:t>group members are afforded an opportunity to ach</w:t>
      </w:r>
      <w:r w:rsidR="00B66DB4">
        <w:t xml:space="preserve">ieve the best financial return.  </w:t>
      </w:r>
      <w:r>
        <w:t>Further,</w:t>
      </w:r>
      <w:r w:rsidR="00B552C3">
        <w:t xml:space="preserve"> it is said that</w:t>
      </w:r>
      <w:r>
        <w:t xml:space="preserve"> a permanent stay</w:t>
      </w:r>
      <w:r w:rsidR="00E10304">
        <w:t xml:space="preserve"> of one of the proceedings</w:t>
      </w:r>
      <w:r>
        <w:t xml:space="preserve"> </w:t>
      </w:r>
      <w:r w:rsidR="00B552C3">
        <w:t>would</w:t>
      </w:r>
      <w:r>
        <w:t xml:space="preserve"> ensure group members are n</w:t>
      </w:r>
      <w:r w:rsidR="00E10304">
        <w:t>ot subjected to the additional and significant</w:t>
      </w:r>
      <w:r>
        <w:t xml:space="preserve"> legal costs of prosecuting </w:t>
      </w:r>
      <w:r w:rsidR="00B552C3">
        <w:t>two representative proceedings</w:t>
      </w:r>
      <w:r w:rsidR="00B66DB4">
        <w:t>.</w:t>
      </w:r>
      <w:r w:rsidR="009B7A9C">
        <w:t xml:space="preserve">  </w:t>
      </w:r>
      <w:r w:rsidR="00B552C3">
        <w:t>It is also said that a</w:t>
      </w:r>
      <w:r>
        <w:t xml:space="preserve"> permanent stay</w:t>
      </w:r>
      <w:r w:rsidR="00E10304">
        <w:t xml:space="preserve"> of one of the proceedings</w:t>
      </w:r>
      <w:r>
        <w:t xml:space="preserve"> will ensure </w:t>
      </w:r>
      <w:r w:rsidR="00351C8D">
        <w:t xml:space="preserve">that </w:t>
      </w:r>
      <w:r>
        <w:t>group members are not confused by</w:t>
      </w:r>
      <w:r w:rsidR="009B7A9C">
        <w:t xml:space="preserve"> </w:t>
      </w:r>
      <w:r>
        <w:t>multiple sources of information</w:t>
      </w:r>
      <w:r w:rsidR="009B7A9C">
        <w:t>.</w:t>
      </w:r>
    </w:p>
    <w:p w:rsidR="001311D0" w:rsidRDefault="009B7A9C" w:rsidP="007D0DCD">
      <w:pPr>
        <w:pStyle w:val="ParaNumbering"/>
      </w:pPr>
      <w:r>
        <w:t>Second, it is said that</w:t>
      </w:r>
      <w:r w:rsidR="001311D0">
        <w:t xml:space="preserve"> a permanent stay will ensure that </w:t>
      </w:r>
      <w:r>
        <w:t xml:space="preserve">the respondent is not subjected to a manifest injustice, </w:t>
      </w:r>
      <w:r w:rsidR="001311D0">
        <w:t xml:space="preserve">namely meeting </w:t>
      </w:r>
      <w:r w:rsidR="00351C8D">
        <w:t>multiple</w:t>
      </w:r>
      <w:r w:rsidR="001311D0">
        <w:t xml:space="preserve"> representative proceedings with overlapping group members in respect of the same factual matters, causes of action and loss</w:t>
      </w:r>
      <w:r w:rsidR="00351C8D">
        <w:t>es</w:t>
      </w:r>
      <w:r w:rsidR="001311D0">
        <w:t xml:space="preserve">. </w:t>
      </w:r>
      <w:r>
        <w:t xml:space="preserve"> </w:t>
      </w:r>
      <w:r w:rsidR="001311D0">
        <w:t>It</w:t>
      </w:r>
      <w:r w:rsidR="00B552C3">
        <w:t xml:space="preserve"> is said that it</w:t>
      </w:r>
      <w:r w:rsidR="001311D0">
        <w:t xml:space="preserve"> will also ensure that </w:t>
      </w:r>
      <w:r>
        <w:t>the respondent</w:t>
      </w:r>
      <w:r w:rsidR="001311D0">
        <w:t xml:space="preserve"> is not exposed to two sets of adverse costs orders.</w:t>
      </w:r>
    </w:p>
    <w:p w:rsidR="001311D0" w:rsidRDefault="009B7A9C" w:rsidP="007D0DCD">
      <w:pPr>
        <w:pStyle w:val="ParaNumbering"/>
      </w:pPr>
      <w:r>
        <w:t>Third</w:t>
      </w:r>
      <w:r w:rsidR="001311D0">
        <w:t>,</w:t>
      </w:r>
      <w:r>
        <w:t xml:space="preserve"> it is said that</w:t>
      </w:r>
      <w:r w:rsidR="001311D0">
        <w:t xml:space="preserve"> a permanent stay</w:t>
      </w:r>
      <w:r w:rsidR="00751D47">
        <w:t xml:space="preserve"> of one of the proceedings will</w:t>
      </w:r>
      <w:r w:rsidR="001311D0">
        <w:t xml:space="preserve"> create efficiencies in terms of </w:t>
      </w:r>
      <w:r w:rsidR="00351C8D">
        <w:t xml:space="preserve">the </w:t>
      </w:r>
      <w:r w:rsidR="001311D0">
        <w:t>Court</w:t>
      </w:r>
      <w:r w:rsidR="00351C8D">
        <w:t>’s and</w:t>
      </w:r>
      <w:r w:rsidR="00751D47">
        <w:t xml:space="preserve"> the</w:t>
      </w:r>
      <w:r w:rsidR="00351C8D">
        <w:t xml:space="preserve"> parties’ time and</w:t>
      </w:r>
      <w:r w:rsidR="001311D0">
        <w:t xml:space="preserve"> resources.</w:t>
      </w:r>
    </w:p>
    <w:p w:rsidR="001311D0" w:rsidRDefault="009B7A9C" w:rsidP="007D0DCD">
      <w:pPr>
        <w:pStyle w:val="ParaNumbering"/>
      </w:pPr>
      <w:r>
        <w:t>Fourth, it is said that</w:t>
      </w:r>
      <w:r w:rsidR="001311D0">
        <w:t xml:space="preserve"> the only p</w:t>
      </w:r>
      <w:r w:rsidR="00351C8D">
        <w:t>ersons</w:t>
      </w:r>
      <w:r w:rsidR="001311D0">
        <w:t xml:space="preserve"> who will not benefit from a permanent stay are the solicitors and litigation funder in the proceeding</w:t>
      </w:r>
      <w:r w:rsidR="00B552C3">
        <w:t>s which are to be</w:t>
      </w:r>
      <w:r w:rsidR="001311D0">
        <w:t xml:space="preserve"> s</w:t>
      </w:r>
      <w:r w:rsidR="00B552C3">
        <w:t xml:space="preserve">tayed, who will not obtain the </w:t>
      </w:r>
      <w:r w:rsidR="001311D0">
        <w:t>potent</w:t>
      </w:r>
      <w:r w:rsidR="00B552C3">
        <w:t>ial</w:t>
      </w:r>
      <w:r w:rsidR="001311D0">
        <w:t xml:space="preserve"> financial reward of</w:t>
      </w:r>
      <w:r w:rsidR="00B552C3">
        <w:t xml:space="preserve"> </w:t>
      </w:r>
      <w:r w:rsidR="001F7B69">
        <w:t xml:space="preserve">prosecuting </w:t>
      </w:r>
      <w:r w:rsidR="00351C8D">
        <w:t>what the respondent has described</w:t>
      </w:r>
      <w:r w:rsidR="00B552C3">
        <w:t xml:space="preserve"> as</w:t>
      </w:r>
      <w:r w:rsidR="00351C8D">
        <w:t xml:space="preserve"> lawyer-driven litigation.</w:t>
      </w:r>
    </w:p>
    <w:p w:rsidR="00351C8D" w:rsidRDefault="00351C8D" w:rsidP="007D0DCD">
      <w:pPr>
        <w:pStyle w:val="ParaNumbering"/>
      </w:pPr>
      <w:r>
        <w:lastRenderedPageBreak/>
        <w:t>Fifth, it is said that if the two proceedings are allowed to go forward that the difficulty of potentially settling the actions will be exacerbated.</w:t>
      </w:r>
      <w:r w:rsidR="000E7F0A">
        <w:t xml:space="preserve">  I agree that this is a difficulty, but it is not insurmountable as the settlement of the Centro litigation demonstrates.</w:t>
      </w:r>
    </w:p>
    <w:p w:rsidR="001311D0" w:rsidRDefault="001311D0" w:rsidP="007D0DCD">
      <w:pPr>
        <w:pStyle w:val="ParaNumbering"/>
      </w:pPr>
      <w:r>
        <w:t xml:space="preserve">Finally, </w:t>
      </w:r>
      <w:r w:rsidR="009B7A9C">
        <w:t xml:space="preserve">it is said that </w:t>
      </w:r>
      <w:r>
        <w:t>a permanent stay of one of the competing open class</w:t>
      </w:r>
      <w:r w:rsidR="0015723A">
        <w:t xml:space="preserve"> proceedings</w:t>
      </w:r>
      <w:r>
        <w:t xml:space="preserve"> does not deny group members of </w:t>
      </w:r>
      <w:r w:rsidR="0015723A">
        <w:t>those proceedings</w:t>
      </w:r>
      <w:r>
        <w:t xml:space="preserve"> the right to select their legal representatives. </w:t>
      </w:r>
      <w:r w:rsidR="009B7A9C">
        <w:t xml:space="preserve"> </w:t>
      </w:r>
      <w:r>
        <w:t xml:space="preserve">Those group members can opt out of the </w:t>
      </w:r>
      <w:r w:rsidR="0015723A">
        <w:t>proceedings</w:t>
      </w:r>
      <w:r>
        <w:t xml:space="preserve"> that </w:t>
      </w:r>
      <w:r w:rsidR="0015723A">
        <w:t xml:space="preserve">continue </w:t>
      </w:r>
      <w:r>
        <w:t xml:space="preserve">and engage any lawyer they want to prosecute their </w:t>
      </w:r>
      <w:r w:rsidR="00351C8D">
        <w:t xml:space="preserve">own </w:t>
      </w:r>
      <w:r>
        <w:t>case.</w:t>
      </w:r>
    </w:p>
    <w:p w:rsidR="007D0DCD" w:rsidRDefault="00EB768D" w:rsidP="007D0DCD">
      <w:pPr>
        <w:pStyle w:val="ParaNumbering"/>
      </w:pPr>
      <w:r>
        <w:t xml:space="preserve">Let me begin with some general themes.  </w:t>
      </w:r>
      <w:r w:rsidR="000E7F0A">
        <w:t>There is no doubt that I have power to order a permanent stay, whether in the exercise of my inherent power or under the Rules of Court, including in furtherance of the objective</w:t>
      </w:r>
      <w:r>
        <w:t>s</w:t>
      </w:r>
      <w:r w:rsidR="000E7F0A">
        <w:t xml:space="preserve"> of s 22 of the Act.  </w:t>
      </w:r>
      <w:r w:rsidR="0001276D">
        <w:t>But it may be doubted whether s </w:t>
      </w:r>
      <w:r w:rsidR="000E7F0A">
        <w:t xml:space="preserve">33ZF(1) could be so utilised.  It may be said to be antithetical to “… </w:t>
      </w:r>
      <w:proofErr w:type="spellStart"/>
      <w:r w:rsidR="000E7F0A">
        <w:t>ensur</w:t>
      </w:r>
      <w:proofErr w:type="spellEnd"/>
      <w:r w:rsidR="000E7F0A">
        <w:t>[</w:t>
      </w:r>
      <w:proofErr w:type="spellStart"/>
      <w:r w:rsidR="000E7F0A">
        <w:t>ing</w:t>
      </w:r>
      <w:proofErr w:type="spellEnd"/>
      <w:r w:rsidR="000E7F0A">
        <w:t xml:space="preserve">] that justice is done in </w:t>
      </w:r>
      <w:r w:rsidR="000E7F0A" w:rsidRPr="000E7F0A">
        <w:rPr>
          <w:i/>
        </w:rPr>
        <w:t>the proceeding</w:t>
      </w:r>
      <w:r w:rsidR="000E7F0A">
        <w:t xml:space="preserve">” (my emphasis) to in fact permanently stay it.  I do not need to </w:t>
      </w:r>
      <w:r>
        <w:t>dwell</w:t>
      </w:r>
      <w:r w:rsidR="000E7F0A">
        <w:t xml:space="preserve"> on such </w:t>
      </w:r>
      <w:r>
        <w:t>questions</w:t>
      </w:r>
      <w:r w:rsidR="000E7F0A">
        <w:t xml:space="preserve">.  </w:t>
      </w:r>
      <w:r w:rsidR="00351C8D">
        <w:t>I do not propose to order a permanent stay of one of the proceedings.  Let me</w:t>
      </w:r>
      <w:r w:rsidR="007D0DCD">
        <w:t xml:space="preserve"> </w:t>
      </w:r>
      <w:r>
        <w:t>explain why</w:t>
      </w:r>
      <w:r w:rsidR="007D0DCD">
        <w:t>.</w:t>
      </w:r>
    </w:p>
    <w:p w:rsidR="007D0DCD" w:rsidRDefault="007D0DCD" w:rsidP="007D0DCD">
      <w:pPr>
        <w:pStyle w:val="ParaNumbering"/>
      </w:pPr>
      <w:r>
        <w:t>First, Part IVA contemplates that there may be more than one proceeding against the same respondent in respect of the same subject matter and the same cause(s) of action.  A claimant</w:t>
      </w:r>
      <w:r w:rsidR="000E7F0A">
        <w:t xml:space="preserve"> has a choice whether to bring </w:t>
      </w:r>
      <w:r w:rsidR="00272505">
        <w:t>representative</w:t>
      </w:r>
      <w:r>
        <w:t xml:space="preserve"> proceeding</w:t>
      </w:r>
      <w:r w:rsidR="000E7F0A">
        <w:t>s</w:t>
      </w:r>
      <w:r>
        <w:t xml:space="preserve"> on behalf of “some or all” persons.  If that choice is not made, one or more claimants may bring separate proceedings against the one respondent in respect of the same claims.  </w:t>
      </w:r>
      <w:r w:rsidR="00272505">
        <w:t xml:space="preserve">Hence a multiplicity of proceedings.  </w:t>
      </w:r>
      <w:r>
        <w:t>Moreover,</w:t>
      </w:r>
      <w:r w:rsidR="00EE413B">
        <w:t xml:space="preserve"> even if group proceedings are brought, one or more group members may opt out and bring their own proceedings, resulting in multiple proceedings against the same respondent.</w:t>
      </w:r>
      <w:r w:rsidR="00B552C3">
        <w:t xml:space="preserve">  Indeed, such group members who have opted out may bring their own</w:t>
      </w:r>
      <w:r w:rsidR="00272505">
        <w:t xml:space="preserve"> separate</w:t>
      </w:r>
      <w:r w:rsidR="00B552C3">
        <w:t xml:space="preserve"> representative proceedings.  Nothing in Part IVA precludes such an option.</w:t>
      </w:r>
      <w:r w:rsidR="00272505">
        <w:t xml:space="preserve">  </w:t>
      </w:r>
      <w:r w:rsidR="000E7F0A">
        <w:t xml:space="preserve">And to do so would neither be invalid (the US’ apparently contrary position notwithstanding) nor an abuse of process.  </w:t>
      </w:r>
      <w:r w:rsidR="00EB768D">
        <w:t>In other words, the structure of Part IVA permits of multiple proceedings including multiple representative proceedings.</w:t>
      </w:r>
    </w:p>
    <w:p w:rsidR="00DD25C7" w:rsidRPr="00780498" w:rsidRDefault="00EE413B" w:rsidP="00DD25C7">
      <w:pPr>
        <w:pStyle w:val="ParaNumbering"/>
      </w:pPr>
      <w:r>
        <w:t xml:space="preserve">Second, although it is no doubt vexatious, oppressive and an abuse of process for the </w:t>
      </w:r>
      <w:r w:rsidRPr="00502461">
        <w:rPr>
          <w:i/>
        </w:rPr>
        <w:t>same</w:t>
      </w:r>
      <w:r>
        <w:t xml:space="preserve"> applicant to bring multiple proceedings in respect of the same or similar claims against the same respondent,</w:t>
      </w:r>
      <w:r w:rsidR="00B552C3">
        <w:t xml:space="preserve"> in form</w:t>
      </w:r>
      <w:r>
        <w:t xml:space="preserve"> that is not the situation with which I am faced.  The McKay applicant has brought its proceeding</w:t>
      </w:r>
      <w:r w:rsidR="000E7F0A">
        <w:t>s</w:t>
      </w:r>
      <w:r>
        <w:t xml:space="preserve"> on behalf of its class using Slater &amp; Gordon and IMF.  The Basil applicant has brought his proceeding</w:t>
      </w:r>
      <w:r w:rsidR="000E7F0A">
        <w:t>s</w:t>
      </w:r>
      <w:r>
        <w:t xml:space="preserve"> on behalf of</w:t>
      </w:r>
      <w:r w:rsidR="00AB484D">
        <w:t xml:space="preserve"> hi</w:t>
      </w:r>
      <w:r w:rsidR="00B552C3">
        <w:t xml:space="preserve">s class using Maurice </w:t>
      </w:r>
      <w:r w:rsidR="00B552C3">
        <w:lastRenderedPageBreak/>
        <w:t xml:space="preserve">Blackburn, </w:t>
      </w:r>
      <w:r w:rsidR="00AB484D">
        <w:t>ICP</w:t>
      </w:r>
      <w:r w:rsidR="00B552C3">
        <w:t xml:space="preserve"> Capital and ICP.</w:t>
      </w:r>
      <w:r w:rsidR="00272505">
        <w:t xml:space="preserve">  The group members in </w:t>
      </w:r>
      <w:r w:rsidR="00272505" w:rsidRPr="00780498">
        <w:t xml:space="preserve">either </w:t>
      </w:r>
      <w:r w:rsidR="00452E1E" w:rsidRPr="00780498">
        <w:t xml:space="preserve">of the </w:t>
      </w:r>
      <w:r w:rsidR="00272505" w:rsidRPr="00780498">
        <w:t>proceeding</w:t>
      </w:r>
      <w:r w:rsidR="000E7F0A" w:rsidRPr="00780498">
        <w:t>s</w:t>
      </w:r>
      <w:r w:rsidR="00EB768D">
        <w:t xml:space="preserve"> are not formally parties.</w:t>
      </w:r>
    </w:p>
    <w:p w:rsidR="00AB484D" w:rsidRDefault="00AB484D" w:rsidP="007D0DCD">
      <w:pPr>
        <w:pStyle w:val="ParaNumbering"/>
      </w:pPr>
      <w:r w:rsidRPr="00780498">
        <w:t xml:space="preserve">Third, as discussed in </w:t>
      </w:r>
      <w:r w:rsidRPr="00780498">
        <w:rPr>
          <w:i/>
        </w:rPr>
        <w:t>Johnson Tiles</w:t>
      </w:r>
      <w:r w:rsidRPr="00780498">
        <w:t xml:space="preserve"> </w:t>
      </w:r>
      <w:r w:rsidR="000E7F0A" w:rsidRPr="00780498">
        <w:t xml:space="preserve">by Merkel J </w:t>
      </w:r>
      <w:r w:rsidRPr="00780498">
        <w:t>at [11] to [17], the commencement of a second bona fide</w:t>
      </w:r>
      <w:r w:rsidR="00C47ABA" w:rsidRPr="00780498">
        <w:t xml:space="preserve"> set of</w:t>
      </w:r>
      <w:r w:rsidRPr="00780498">
        <w:t xml:space="preserve"> representative proceeding</w:t>
      </w:r>
      <w:r w:rsidR="00C47ABA" w:rsidRPr="00780498">
        <w:t>s</w:t>
      </w:r>
      <w:r w:rsidRPr="00780498">
        <w:t xml:space="preserve"> prior to the Court givi</w:t>
      </w:r>
      <w:r w:rsidR="00C47ABA" w:rsidRPr="00780498">
        <w:t xml:space="preserve">ng substantive directions in </w:t>
      </w:r>
      <w:r w:rsidRPr="00780498">
        <w:t>existing but overlap</w:t>
      </w:r>
      <w:r w:rsidR="00272505" w:rsidRPr="00780498">
        <w:t>ping representative proceeding</w:t>
      </w:r>
      <w:r w:rsidR="00C47ABA" w:rsidRPr="00780498">
        <w:t>s</w:t>
      </w:r>
      <w:r w:rsidR="00272505" w:rsidRPr="00780498">
        <w:t xml:space="preserve"> (</w:t>
      </w:r>
      <w:proofErr w:type="spellStart"/>
      <w:r w:rsidR="00272505" w:rsidRPr="00780498">
        <w:t>ie</w:t>
      </w:r>
      <w:proofErr w:type="spellEnd"/>
      <w:r w:rsidR="00272505" w:rsidRPr="00780498">
        <w:t xml:space="preserve"> with overlapping group members), </w:t>
      </w:r>
      <w:r w:rsidRPr="00780498">
        <w:t xml:space="preserve">does not of itself establish any vexation, oppression or an abuse of process.  </w:t>
      </w:r>
      <w:r w:rsidR="00272505" w:rsidRPr="00780498">
        <w:t>Such</w:t>
      </w:r>
      <w:r w:rsidRPr="00780498">
        <w:t xml:space="preserve"> is</w:t>
      </w:r>
      <w:r w:rsidR="00272505" w:rsidRPr="00780498">
        <w:t xml:space="preserve"> not</w:t>
      </w:r>
      <w:r w:rsidRPr="00780498">
        <w:t xml:space="preserve"> established for the representative applicant in each</w:t>
      </w:r>
      <w:r w:rsidR="00C47ABA" w:rsidRPr="00780498">
        <w:t xml:space="preserve"> of the</w:t>
      </w:r>
      <w:r w:rsidRPr="00780498">
        <w:t xml:space="preserve"> proceeding</w:t>
      </w:r>
      <w:r w:rsidR="00C47ABA" w:rsidRPr="00780498">
        <w:t>s</w:t>
      </w:r>
      <w:r w:rsidRPr="00780498">
        <w:t xml:space="preserve">, for they are different.  And in respect of the group members in each </w:t>
      </w:r>
      <w:r w:rsidR="00452E1E" w:rsidRPr="00780498">
        <w:t xml:space="preserve">of the </w:t>
      </w:r>
      <w:r w:rsidRPr="00780498">
        <w:t>proceeding</w:t>
      </w:r>
      <w:r w:rsidR="00C47ABA" w:rsidRPr="00780498">
        <w:t>s</w:t>
      </w:r>
      <w:r>
        <w:t xml:space="preserve"> in relation to the overlap, those overlapping group members are not </w:t>
      </w:r>
      <w:r w:rsidRPr="00AB484D">
        <w:rPr>
          <w:i/>
        </w:rPr>
        <w:t>parties</w:t>
      </w:r>
      <w:r>
        <w:t xml:space="preserve"> as such</w:t>
      </w:r>
      <w:r w:rsidR="00C47ABA">
        <w:t>.  They</w:t>
      </w:r>
      <w:r>
        <w:t xml:space="preserve"> have not engaged in any conduct with respect to their rights that could sensibly be </w:t>
      </w:r>
      <w:r w:rsidR="00C47ABA">
        <w:t>characterised as</w:t>
      </w:r>
      <w:r>
        <w:t xml:space="preserve"> amount</w:t>
      </w:r>
      <w:r w:rsidR="00C47ABA">
        <w:t>ing</w:t>
      </w:r>
      <w:r>
        <w:t xml:space="preserve"> to vexation, oppression or an abuse of process.  But no doubt at a later stage, such overlapping group member</w:t>
      </w:r>
      <w:r w:rsidR="00272505">
        <w:t>s</w:t>
      </w:r>
      <w:r>
        <w:t xml:space="preserve"> can be called upon to either opt out of </w:t>
      </w:r>
      <w:r w:rsidR="00502461">
        <w:t>both</w:t>
      </w:r>
      <w:r>
        <w:t xml:space="preserve"> proceedings</w:t>
      </w:r>
      <w:r w:rsidR="00502461">
        <w:t xml:space="preserve"> or opt out of one of the proceedings</w:t>
      </w:r>
      <w:r w:rsidR="00C47ABA">
        <w:t>.  O</w:t>
      </w:r>
      <w:r>
        <w:t>verlapping group member</w:t>
      </w:r>
      <w:r w:rsidR="00272505">
        <w:t>s</w:t>
      </w:r>
      <w:r>
        <w:t xml:space="preserve"> </w:t>
      </w:r>
      <w:r w:rsidR="00B552C3">
        <w:t xml:space="preserve">ultimately </w:t>
      </w:r>
      <w:r>
        <w:t>cannot remain in both proceedings.</w:t>
      </w:r>
      <w:r w:rsidR="00EB768D">
        <w:t xml:space="preserve">  For completeness, I am also not dealing with the scenario of a group member who has </w:t>
      </w:r>
      <w:r w:rsidR="00EB768D" w:rsidRPr="00EB768D">
        <w:rPr>
          <w:i/>
        </w:rPr>
        <w:t>not</w:t>
      </w:r>
      <w:r w:rsidR="00EB768D">
        <w:t xml:space="preserve"> opted out, separately bringing its own </w:t>
      </w:r>
      <w:r w:rsidR="00EB768D" w:rsidRPr="00FD45E8">
        <w:t>proceeding</w:t>
      </w:r>
      <w:r w:rsidR="0001276D" w:rsidRPr="00FD45E8">
        <w:t>s</w:t>
      </w:r>
      <w:r w:rsidR="00EB768D" w:rsidRPr="00FD45E8">
        <w:t>.</w:t>
      </w:r>
    </w:p>
    <w:p w:rsidR="00AB484D" w:rsidRDefault="00AB484D" w:rsidP="007D0DCD">
      <w:pPr>
        <w:pStyle w:val="ParaNumbering"/>
      </w:pPr>
      <w:r>
        <w:t>Fourth, no authority</w:t>
      </w:r>
      <w:r w:rsidR="00272505">
        <w:t xml:space="preserve"> cited to me persuasively</w:t>
      </w:r>
      <w:r>
        <w:t xml:space="preserve"> supports the proposition that in circumstances where the </w:t>
      </w:r>
      <w:r w:rsidRPr="00AB484D">
        <w:rPr>
          <w:i/>
        </w:rPr>
        <w:t>duplication</w:t>
      </w:r>
      <w:r>
        <w:t xml:space="preserve"> of class membership is eliminated in respe</w:t>
      </w:r>
      <w:r w:rsidR="00D42FDE">
        <w:t xml:space="preserve">ct of two group proceedings involving the same subject matter against the same respondent, </w:t>
      </w:r>
      <w:r w:rsidR="00B552C3">
        <w:t>that</w:t>
      </w:r>
      <w:r w:rsidR="00D42FDE">
        <w:t xml:space="preserve"> nevertheless</w:t>
      </w:r>
      <w:r w:rsidR="00B552C3">
        <w:t xml:space="preserve"> there is</w:t>
      </w:r>
      <w:r w:rsidR="00D42FDE">
        <w:t xml:space="preserve"> still vexation, oppression or an abuse of process in </w:t>
      </w:r>
      <w:r w:rsidR="00B552C3">
        <w:t>both</w:t>
      </w:r>
      <w:r w:rsidR="00D42FDE">
        <w:t xml:space="preserve"> such proceedings</w:t>
      </w:r>
      <w:r w:rsidR="00C47ABA">
        <w:t xml:space="preserve"> as so </w:t>
      </w:r>
      <w:r w:rsidR="00272505">
        <w:t>modified to eliminate the duplication</w:t>
      </w:r>
      <w:r w:rsidR="00D42FDE">
        <w:t xml:space="preserve"> going forward.  For example, take the situation where one has two closed classes that do not overlap or one open class and a closed class, </w:t>
      </w:r>
      <w:r w:rsidR="00EB768D">
        <w:t xml:space="preserve">but </w:t>
      </w:r>
      <w:r w:rsidR="00D42FDE">
        <w:t>where the closed class is excluded from the open class</w:t>
      </w:r>
      <w:r w:rsidR="00272505">
        <w:t xml:space="preserve">.  Alternatively, </w:t>
      </w:r>
      <w:r w:rsidR="00D42FDE">
        <w:t xml:space="preserve">assume that </w:t>
      </w:r>
      <w:r w:rsidR="00272505">
        <w:t>such</w:t>
      </w:r>
      <w:r w:rsidR="00D42FDE">
        <w:t xml:space="preserve"> result</w:t>
      </w:r>
      <w:r w:rsidR="00272505">
        <w:t>s</w:t>
      </w:r>
      <w:r w:rsidR="00D42FDE">
        <w:t xml:space="preserve"> can be achieved </w:t>
      </w:r>
      <w:r w:rsidR="00272505">
        <w:t>by case management directions.  It</w:t>
      </w:r>
      <w:r w:rsidR="00D42FDE">
        <w:t xml:space="preserve"> is difficult to see how it could be said that to then allow the two group proceedings to go forward would be vexatious, oppressive or an abuse of process.</w:t>
      </w:r>
      <w:r w:rsidR="00C47ABA">
        <w:t xml:space="preserve">  I will put to one side for the moment, the respondent’s fall back</w:t>
      </w:r>
      <w:r w:rsidR="00EB768D">
        <w:t xml:space="preserve"> position</w:t>
      </w:r>
      <w:r w:rsidR="00C47ABA">
        <w:t xml:space="preserve"> of “interest</w:t>
      </w:r>
      <w:r w:rsidR="00016F4A">
        <w:t>s</w:t>
      </w:r>
      <w:r w:rsidR="00C47ABA">
        <w:t xml:space="preserve"> of justice”.</w:t>
      </w:r>
    </w:p>
    <w:p w:rsidR="00D42FDE" w:rsidRDefault="00C47ABA" w:rsidP="007D0DCD">
      <w:pPr>
        <w:pStyle w:val="ParaNumbering"/>
      </w:pPr>
      <w:r>
        <w:t>Fif</w:t>
      </w:r>
      <w:r w:rsidR="00EB768D">
        <w:t>th and as I have already intimated,</w:t>
      </w:r>
      <w:r w:rsidR="00780498">
        <w:t xml:space="preserve"> there is an enthymematic fla</w:t>
      </w:r>
      <w:r>
        <w:t>w</w:t>
      </w:r>
      <w:r w:rsidR="00272505">
        <w:t xml:space="preserve"> </w:t>
      </w:r>
      <w:r>
        <w:t>in the respondent’s approach.  Compare</w:t>
      </w:r>
      <w:r w:rsidR="00330975">
        <w:t xml:space="preserve"> </w:t>
      </w:r>
      <w:r w:rsidR="00B552C3">
        <w:t xml:space="preserve">the following </w:t>
      </w:r>
      <w:r w:rsidR="00330975">
        <w:t>two scenarios:</w:t>
      </w:r>
    </w:p>
    <w:p w:rsidR="00330975" w:rsidRDefault="00B552C3" w:rsidP="00CD1724">
      <w:pPr>
        <w:pStyle w:val="ListNo2"/>
        <w:numPr>
          <w:ilvl w:val="1"/>
          <w:numId w:val="26"/>
        </w:numPr>
      </w:pPr>
      <w:r>
        <w:t>T</w:t>
      </w:r>
      <w:r w:rsidR="00330975">
        <w:t>he first scenario being as I have described where you have two group proceedings with the duplication in group membership eliminated and both proceedings going forward;</w:t>
      </w:r>
    </w:p>
    <w:p w:rsidR="00330975" w:rsidRDefault="00B552C3" w:rsidP="00CD1724">
      <w:pPr>
        <w:pStyle w:val="ListNo2"/>
        <w:numPr>
          <w:ilvl w:val="1"/>
          <w:numId w:val="26"/>
        </w:numPr>
      </w:pPr>
      <w:r>
        <w:lastRenderedPageBreak/>
        <w:t>T</w:t>
      </w:r>
      <w:r w:rsidR="00330975">
        <w:t>he second scenario, which is the respondent’s preferred option, where only one of the group proceedings is allowed to go forward with the other stayed.</w:t>
      </w:r>
    </w:p>
    <w:p w:rsidR="00330975" w:rsidRDefault="00330975" w:rsidP="00330975">
      <w:pPr>
        <w:pStyle w:val="ParaNumbering"/>
      </w:pPr>
      <w:r>
        <w:t xml:space="preserve">The unstated </w:t>
      </w:r>
      <w:r w:rsidR="00C47ABA">
        <w:t>premise of</w:t>
      </w:r>
      <w:r>
        <w:t xml:space="preserve"> the respondent’s preferred option is that it will only face one</w:t>
      </w:r>
      <w:r w:rsidR="00C47ABA">
        <w:t xml:space="preserve"> set of</w:t>
      </w:r>
      <w:r>
        <w:t xml:space="preserve"> proceeding</w:t>
      </w:r>
      <w:r w:rsidR="00C47ABA">
        <w:t>s if there is a stay</w:t>
      </w:r>
      <w:r w:rsidR="00EB768D">
        <w:t xml:space="preserve"> of one of the proceedings</w:t>
      </w:r>
      <w:r>
        <w:t>.  But of course the group members in the stayed proceeding</w:t>
      </w:r>
      <w:r w:rsidR="00272505">
        <w:t>s</w:t>
      </w:r>
      <w:r w:rsidR="00C47ABA">
        <w:t>,</w:t>
      </w:r>
      <w:r>
        <w:t xml:space="preserve"> who </w:t>
      </w:r>
      <w:r w:rsidR="00C47ABA">
        <w:t>may</w:t>
      </w:r>
      <w:r>
        <w:t xml:space="preserve"> otherwise have overlapped</w:t>
      </w:r>
      <w:r w:rsidR="00B552C3">
        <w:t xml:space="preserve"> with the other group proceeding</w:t>
      </w:r>
      <w:r w:rsidR="00272505">
        <w:t>s</w:t>
      </w:r>
      <w:r w:rsidR="00C47ABA">
        <w:t>,</w:t>
      </w:r>
      <w:r>
        <w:t xml:space="preserve"> may then opt out of the proceeding</w:t>
      </w:r>
      <w:r w:rsidR="00272505">
        <w:t>s</w:t>
      </w:r>
      <w:r>
        <w:t xml:space="preserve"> that </w:t>
      </w:r>
      <w:r w:rsidR="00272505">
        <w:t>are</w:t>
      </w:r>
      <w:r>
        <w:t xml:space="preserve"> allowed to </w:t>
      </w:r>
      <w:r w:rsidR="00C47ABA">
        <w:t>continue</w:t>
      </w:r>
      <w:r>
        <w:t xml:space="preserve"> and bring their own proceedings.  In such circumstances, the respondent may then be </w:t>
      </w:r>
      <w:r w:rsidR="00B552C3">
        <w:t>faced</w:t>
      </w:r>
      <w:r>
        <w:t xml:space="preserve"> with many more proceedings than just the two group proceedings under the first scenario.  In other words, the </w:t>
      </w:r>
      <w:r w:rsidR="00C47ABA">
        <w:t xml:space="preserve">respondent may be more </w:t>
      </w:r>
      <w:r>
        <w:t>vexed</w:t>
      </w:r>
      <w:r w:rsidR="00C47ABA">
        <w:t xml:space="preserve"> or oppressed</w:t>
      </w:r>
      <w:r>
        <w:t xml:space="preserve"> by the consequences flowing from the second scenario.</w:t>
      </w:r>
      <w:r w:rsidR="00BB3191">
        <w:t xml:space="preserve">  </w:t>
      </w:r>
      <w:r w:rsidR="00272505">
        <w:t>And t</w:t>
      </w:r>
      <w:r w:rsidR="00BB3191">
        <w:t>his scenario is not so unlikely in the present case.  If I stay one of the proceedings, there will be</w:t>
      </w:r>
      <w:r w:rsidR="0015723A">
        <w:t xml:space="preserve"> over 1000 group members in those</w:t>
      </w:r>
      <w:r w:rsidR="00BB3191">
        <w:t xml:space="preserve"> stayed proceeding</w:t>
      </w:r>
      <w:r w:rsidR="0015723A">
        <w:t>s</w:t>
      </w:r>
      <w:r w:rsidR="00BB3191">
        <w:t xml:space="preserve"> who have entered into contractual relationships with </w:t>
      </w:r>
      <w:r w:rsidR="00272505">
        <w:t>their chosen</w:t>
      </w:r>
      <w:r w:rsidR="00BB3191">
        <w:t xml:space="preserve"> funder and solicitors firm</w:t>
      </w:r>
      <w:r w:rsidR="00272505">
        <w:t>.  They</w:t>
      </w:r>
      <w:r w:rsidR="00BB3191">
        <w:t xml:space="preserve"> may not </w:t>
      </w:r>
      <w:r w:rsidR="00272505">
        <w:t>consider</w:t>
      </w:r>
      <w:r w:rsidR="00BB3191">
        <w:t xml:space="preserve"> the funding arrangements and solicitors for the non-stayed proceeding</w:t>
      </w:r>
      <w:r w:rsidR="00272505">
        <w:t>s</w:t>
      </w:r>
      <w:r w:rsidR="00BB3191">
        <w:t xml:space="preserve"> </w:t>
      </w:r>
      <w:r w:rsidR="00B552C3">
        <w:t>attractive</w:t>
      </w:r>
      <w:r w:rsidR="00BB3191">
        <w:t xml:space="preserve"> and instead choose to opt out of the non-stayed proceeding</w:t>
      </w:r>
      <w:r w:rsidR="00272505">
        <w:t>s</w:t>
      </w:r>
      <w:r w:rsidR="00BB3191">
        <w:t xml:space="preserve"> and run their own action</w:t>
      </w:r>
      <w:r w:rsidR="00272505">
        <w:t>s,</w:t>
      </w:r>
      <w:r w:rsidR="00BB3191">
        <w:t xml:space="preserve"> perhaps </w:t>
      </w:r>
      <w:r w:rsidR="0089614F">
        <w:t xml:space="preserve">as individual actions or </w:t>
      </w:r>
      <w:r w:rsidR="00BB3191">
        <w:t>with the joinder of</w:t>
      </w:r>
      <w:r w:rsidR="00C47ABA">
        <w:t xml:space="preserve"> over</w:t>
      </w:r>
      <w:r w:rsidR="00BB3191">
        <w:t xml:space="preserve"> 1000</w:t>
      </w:r>
      <w:r w:rsidR="00C47ABA">
        <w:t xml:space="preserve"> individual</w:t>
      </w:r>
      <w:r w:rsidR="00BB3191">
        <w:t xml:space="preserve"> applicants</w:t>
      </w:r>
      <w:r w:rsidR="0089614F">
        <w:t xml:space="preserve"> in one proceeding</w:t>
      </w:r>
      <w:r w:rsidR="00272505">
        <w:t xml:space="preserve"> or indeed</w:t>
      </w:r>
      <w:r w:rsidR="00B552C3">
        <w:t xml:space="preserve"> new group proceeding</w:t>
      </w:r>
      <w:r w:rsidR="00272505">
        <w:t>s</w:t>
      </w:r>
      <w:r w:rsidR="00BB3191">
        <w:t xml:space="preserve">.  None of this would be satisfactory.  </w:t>
      </w:r>
      <w:r w:rsidR="00C47ABA">
        <w:t>Now t</w:t>
      </w:r>
      <w:r w:rsidR="00BB3191">
        <w:t>he respondent says that if this occurred I could then lift the stay on the other proceeding</w:t>
      </w:r>
      <w:r w:rsidR="00C47ABA">
        <w:t>s</w:t>
      </w:r>
      <w:r w:rsidR="00272505">
        <w:t xml:space="preserve">, </w:t>
      </w:r>
      <w:r w:rsidR="00C47ABA">
        <w:t xml:space="preserve">but this contention </w:t>
      </w:r>
      <w:r w:rsidR="00272505">
        <w:t xml:space="preserve">is against its primary argument for a </w:t>
      </w:r>
      <w:r w:rsidR="00272505" w:rsidRPr="00272505">
        <w:rPr>
          <w:i/>
        </w:rPr>
        <w:t>permanent</w:t>
      </w:r>
      <w:r w:rsidR="00272505">
        <w:t xml:space="preserve"> stay</w:t>
      </w:r>
      <w:r w:rsidR="00BB3191">
        <w:t xml:space="preserve">.  </w:t>
      </w:r>
      <w:r w:rsidR="00C47ABA">
        <w:t>In</w:t>
      </w:r>
      <w:r w:rsidR="00BB3191">
        <w:t xml:space="preserve"> my view none of this would be a desirable outcome.</w:t>
      </w:r>
    </w:p>
    <w:p w:rsidR="00C47ABA" w:rsidRDefault="00C47ABA" w:rsidP="00330975">
      <w:pPr>
        <w:pStyle w:val="ParaNumbering"/>
      </w:pPr>
      <w:r>
        <w:t xml:space="preserve">Let me turn to the question of </w:t>
      </w:r>
      <w:r w:rsidR="0015723A">
        <w:t xml:space="preserve">the </w:t>
      </w:r>
      <w:r>
        <w:t>interests of justice</w:t>
      </w:r>
      <w:r w:rsidR="001A6B6B">
        <w:t xml:space="preserve"> and its scope where, ex </w:t>
      </w:r>
      <w:proofErr w:type="spellStart"/>
      <w:r w:rsidR="001A6B6B">
        <w:t>hypothesi</w:t>
      </w:r>
      <w:proofErr w:type="spellEnd"/>
      <w:r w:rsidR="001A6B6B">
        <w:t xml:space="preserve">, no vexation, oppression or an abuse of process has </w:t>
      </w:r>
      <w:r w:rsidR="0010278C">
        <w:t xml:space="preserve">otherwise </w:t>
      </w:r>
      <w:r w:rsidR="001A6B6B">
        <w:t>been established</w:t>
      </w:r>
      <w:r>
        <w:t>.</w:t>
      </w:r>
      <w:r w:rsidR="0015723A">
        <w:t xml:space="preserve">  This can and should be looked at from the principal perspective of the interests of group members</w:t>
      </w:r>
      <w:r w:rsidR="00A62719">
        <w:t>,</w:t>
      </w:r>
      <w:r w:rsidR="0015723A">
        <w:t xml:space="preserve"> although I accept that the respondent’s interests should also be considered.</w:t>
      </w:r>
    </w:p>
    <w:p w:rsidR="00C47ABA" w:rsidRDefault="001A6B6B" w:rsidP="00330975">
      <w:pPr>
        <w:pStyle w:val="ParaNumbering"/>
      </w:pPr>
      <w:r>
        <w:t>Now</w:t>
      </w:r>
      <w:r w:rsidR="007A638B">
        <w:t xml:space="preserve"> s 33ZF(1) is </w:t>
      </w:r>
      <w:r>
        <w:t xml:space="preserve">not </w:t>
      </w:r>
      <w:r w:rsidR="007A638B">
        <w:t xml:space="preserve">directly applicable.  It uses the language “… to ensure that justice is done in the proceeding…”.  But a permanent stay of a group proceeding could hardly be said to ensure that justice is done “in </w:t>
      </w:r>
      <w:r w:rsidR="007A638B" w:rsidRPr="0049684F">
        <w:rPr>
          <w:i/>
        </w:rPr>
        <w:t>the</w:t>
      </w:r>
      <w:r w:rsidR="007A638B">
        <w:t xml:space="preserve"> </w:t>
      </w:r>
      <w:r w:rsidR="007A638B" w:rsidRPr="00780498">
        <w:t>proceeding”</w:t>
      </w:r>
      <w:r w:rsidR="0049684F" w:rsidRPr="00780498">
        <w:t xml:space="preserve"> (my emphasis)</w:t>
      </w:r>
      <w:r w:rsidR="007A638B" w:rsidRPr="00780498">
        <w:t>.</w:t>
      </w:r>
      <w:r w:rsidR="007A638B">
        <w:t xml:space="preserve">  </w:t>
      </w:r>
      <w:r>
        <w:t>But a</w:t>
      </w:r>
      <w:r w:rsidR="007A638B">
        <w:t xml:space="preserve">s across multiple proceedings, the interests of justice may support a permanent stay of one of the proceedings.  </w:t>
      </w:r>
      <w:r>
        <w:t>The</w:t>
      </w:r>
      <w:r w:rsidR="007A638B">
        <w:t xml:space="preserve"> power </w:t>
      </w:r>
      <w:r>
        <w:t>to stay on this broader basis does</w:t>
      </w:r>
      <w:r w:rsidR="007A638B">
        <w:t xml:space="preserve"> not derive from s 33ZF(1) but rather the Court’s broader and inhere</w:t>
      </w:r>
      <w:r>
        <w:t>nt powers to be found elsewhere, which are more than adequate for the task.</w:t>
      </w:r>
    </w:p>
    <w:p w:rsidR="007A638B" w:rsidRDefault="001A6B6B" w:rsidP="00330975">
      <w:pPr>
        <w:pStyle w:val="ParaNumbering"/>
      </w:pPr>
      <w:r>
        <w:t>If</w:t>
      </w:r>
      <w:r w:rsidR="007A638B">
        <w:t xml:space="preserve"> one</w:t>
      </w:r>
      <w:r w:rsidR="0015723A">
        <w:t xml:space="preserve"> considers the interests of group members and</w:t>
      </w:r>
      <w:r w:rsidR="007A638B">
        <w:t xml:space="preserve"> takes one of the proceed</w:t>
      </w:r>
      <w:r w:rsidR="001F473D">
        <w:t>ings, say the Basil proceedings, t</w:t>
      </w:r>
      <w:r w:rsidR="007A638B">
        <w:t xml:space="preserve">here are two groups to consider: (a) the signed up group members; </w:t>
      </w:r>
      <w:r w:rsidR="001F473D">
        <w:t xml:space="preserve">and </w:t>
      </w:r>
      <w:r w:rsidR="007A638B">
        <w:t xml:space="preserve">(b) </w:t>
      </w:r>
      <w:r w:rsidR="007A638B">
        <w:lastRenderedPageBreak/>
        <w:t xml:space="preserve">the unsigned group members.  If one was to consider a permanent stay of the Basil proceedings, there are real difficulties in saying that the interests of justice would dictate a stay if one considers the position of the signed up group members.  Over 1000 group members, including sophisticated institutions, investment managers, global asset managers, sovereign wealth funds and superannuation funds have chosen to enter into funding agreements and retainers with ICP Capital, ICP and Maurice Blackburn.  They have chosen not to participate in the McKay arrangements.  </w:t>
      </w:r>
      <w:r>
        <w:t>From</w:t>
      </w:r>
      <w:r w:rsidR="007A638B">
        <w:t xml:space="preserve"> the perspective of these signed up group members, it </w:t>
      </w:r>
      <w:r>
        <w:t>could hardly be said</w:t>
      </w:r>
      <w:r w:rsidR="007A638B">
        <w:t xml:space="preserve"> that it would be in the interests of justice to stay the Basil proceedings.</w:t>
      </w:r>
      <w:r>
        <w:t xml:space="preserve">  As for the unsigned group members, there is not the same consideration as on any view, if I stay one of the proceedings, the other proceedings will be available for such unsigned group members to pursue their claims.  Further, my analysis of the group members’ interests in the Basil proceedings could equally be flipped over to the McKay proceedings if one was considering a permanent st</w:t>
      </w:r>
      <w:r w:rsidR="00EF4110">
        <w:t>ay</w:t>
      </w:r>
      <w:r>
        <w:t xml:space="preserve"> of the McKay proceedings.</w:t>
      </w:r>
    </w:p>
    <w:p w:rsidR="007A638B" w:rsidRDefault="007A638B" w:rsidP="00330975">
      <w:pPr>
        <w:pStyle w:val="ParaNumbering"/>
      </w:pPr>
      <w:r>
        <w:t>Now the respondent</w:t>
      </w:r>
      <w:r w:rsidR="00FD45E8">
        <w:t>,</w:t>
      </w:r>
      <w:r>
        <w:t xml:space="preserve"> </w:t>
      </w:r>
      <w:r w:rsidR="001A6B6B">
        <w:t xml:space="preserve">even in the absence of establishing vexation, oppression or an abuse of process, </w:t>
      </w:r>
      <w:r>
        <w:t>contends that it would be</w:t>
      </w:r>
      <w:r w:rsidR="003A2638">
        <w:t xml:space="preserve"> in the interest</w:t>
      </w:r>
      <w:r w:rsidR="00780498">
        <w:t>s</w:t>
      </w:r>
      <w:r w:rsidR="003A2638">
        <w:t xml:space="preserve"> of justice to stay one of the proceedings to eliminate the duplication of costs and expenses.</w:t>
      </w:r>
      <w:r w:rsidR="0015723A">
        <w:t xml:space="preserve">  I accept that this is an important consideration</w:t>
      </w:r>
      <w:r w:rsidR="0010278C">
        <w:t xml:space="preserve"> and indeed I have considered this under all limbs said to justify a stay</w:t>
      </w:r>
      <w:r w:rsidR="0015723A">
        <w:t>.</w:t>
      </w:r>
      <w:r w:rsidR="001A6B6B">
        <w:t xml:space="preserve">  But the duplication can be minimised by less draconian measures as I later discuss.</w:t>
      </w:r>
    </w:p>
    <w:p w:rsidR="004B2692" w:rsidRPr="00FD45E8" w:rsidRDefault="00107626" w:rsidP="00330975">
      <w:pPr>
        <w:pStyle w:val="ParaNumbering"/>
      </w:pPr>
      <w:r w:rsidRPr="00FD45E8">
        <w:t xml:space="preserve">The following are examples of the type of </w:t>
      </w:r>
      <w:r w:rsidRPr="00FD45E8">
        <w:rPr>
          <w:i/>
        </w:rPr>
        <w:t>potential</w:t>
      </w:r>
      <w:r w:rsidRPr="00FD45E8">
        <w:t xml:space="preserve"> duplicated costs and expenses that the respondent may be required to incur in the event that both the McKay proceedings and Basil proceedings continue (whether separately or case managed together) and in the absence of steps that I propose to take which would otherwise minimise such duplication:</w:t>
      </w:r>
    </w:p>
    <w:p w:rsidR="009B55B7" w:rsidRPr="009B55B7" w:rsidRDefault="00FD45E8" w:rsidP="00CD1724">
      <w:pPr>
        <w:pStyle w:val="ListNo2"/>
        <w:numPr>
          <w:ilvl w:val="1"/>
          <w:numId w:val="34"/>
        </w:numPr>
      </w:pPr>
      <w:r>
        <w:t>O</w:t>
      </w:r>
      <w:r w:rsidR="009B55B7">
        <w:t>ngoing</w:t>
      </w:r>
      <w:r w:rsidR="009B55B7" w:rsidRPr="009B55B7">
        <w:t xml:space="preserve"> </w:t>
      </w:r>
      <w:r w:rsidR="009B55B7">
        <w:t>non-stage</w:t>
      </w:r>
      <w:r w:rsidR="009B55B7" w:rsidRPr="009B55B7">
        <w:t xml:space="preserve"> </w:t>
      </w:r>
      <w:r w:rsidR="009B55B7">
        <w:t>specific</w:t>
      </w:r>
      <w:r w:rsidR="009B55B7" w:rsidRPr="009B55B7">
        <w:t xml:space="preserve"> </w:t>
      </w:r>
      <w:r w:rsidR="009B55B7">
        <w:t>costs</w:t>
      </w:r>
      <w:r w:rsidR="009B55B7" w:rsidRPr="009B55B7">
        <w:t xml:space="preserve"> </w:t>
      </w:r>
      <w:r w:rsidR="009B55B7">
        <w:t>associated</w:t>
      </w:r>
      <w:r w:rsidR="009B55B7" w:rsidRPr="009B55B7">
        <w:t xml:space="preserve"> </w:t>
      </w:r>
      <w:r w:rsidR="009B55B7">
        <w:t>with</w:t>
      </w:r>
      <w:r w:rsidR="009B55B7" w:rsidRPr="009B55B7">
        <w:t xml:space="preserve"> </w:t>
      </w:r>
      <w:r w:rsidR="009B55B7">
        <w:t>the respondent’s lawyers communicating</w:t>
      </w:r>
      <w:r w:rsidR="009B55B7" w:rsidRPr="009B55B7">
        <w:t xml:space="preserve"> </w:t>
      </w:r>
      <w:r w:rsidR="009B55B7">
        <w:t>with</w:t>
      </w:r>
      <w:r w:rsidR="009B55B7" w:rsidRPr="009B55B7">
        <w:t xml:space="preserve"> </w:t>
      </w:r>
      <w:r w:rsidR="009B55B7">
        <w:t>two</w:t>
      </w:r>
      <w:r w:rsidR="009B55B7" w:rsidRPr="009B55B7">
        <w:t xml:space="preserve"> </w:t>
      </w:r>
      <w:r w:rsidR="009B55B7">
        <w:t>sets</w:t>
      </w:r>
      <w:r w:rsidR="009B55B7" w:rsidRPr="009B55B7">
        <w:t xml:space="preserve"> </w:t>
      </w:r>
      <w:r w:rsidR="009B55B7">
        <w:t>of</w:t>
      </w:r>
      <w:r w:rsidR="009B55B7" w:rsidRPr="009B55B7">
        <w:t xml:space="preserve"> </w:t>
      </w:r>
      <w:r w:rsidR="009B55B7">
        <w:t>lawyers</w:t>
      </w:r>
      <w:r w:rsidR="009B55B7" w:rsidRPr="009B55B7">
        <w:t xml:space="preserve"> </w:t>
      </w:r>
      <w:r w:rsidR="009B55B7">
        <w:t>and</w:t>
      </w:r>
      <w:r w:rsidR="009B55B7" w:rsidRPr="009B55B7">
        <w:t xml:space="preserve"> </w:t>
      </w:r>
      <w:r w:rsidR="009B55B7">
        <w:t>counsel</w:t>
      </w:r>
      <w:r w:rsidR="009B55B7" w:rsidRPr="009B55B7">
        <w:t xml:space="preserve"> </w:t>
      </w:r>
      <w:r w:rsidR="009B55B7">
        <w:t>for</w:t>
      </w:r>
      <w:r w:rsidR="009B55B7" w:rsidRPr="009B55B7">
        <w:t xml:space="preserve"> </w:t>
      </w:r>
      <w:r w:rsidR="009B55B7">
        <w:t>the</w:t>
      </w:r>
      <w:r w:rsidR="009B55B7" w:rsidRPr="009B55B7">
        <w:t xml:space="preserve"> </w:t>
      </w:r>
      <w:r w:rsidR="009B55B7">
        <w:t>different</w:t>
      </w:r>
      <w:r w:rsidR="009B55B7" w:rsidRPr="009B55B7">
        <w:t xml:space="preserve"> </w:t>
      </w:r>
      <w:r w:rsidR="009B55B7">
        <w:t>applicants throughout</w:t>
      </w:r>
      <w:r w:rsidR="009B55B7" w:rsidRPr="009B55B7">
        <w:t xml:space="preserve"> </w:t>
      </w:r>
      <w:r w:rsidR="009B55B7">
        <w:t>the</w:t>
      </w:r>
      <w:r w:rsidR="009B55B7" w:rsidRPr="009B55B7">
        <w:t xml:space="preserve"> </w:t>
      </w:r>
      <w:r w:rsidR="009B55B7">
        <w:t>course</w:t>
      </w:r>
      <w:r w:rsidR="009B55B7" w:rsidRPr="009B55B7">
        <w:t xml:space="preserve"> </w:t>
      </w:r>
      <w:r w:rsidR="009B55B7">
        <w:t>of</w:t>
      </w:r>
      <w:r w:rsidR="009B55B7" w:rsidRPr="009B55B7">
        <w:t xml:space="preserve"> </w:t>
      </w:r>
      <w:r w:rsidR="009B55B7">
        <w:t>the</w:t>
      </w:r>
      <w:r w:rsidR="009B55B7" w:rsidRPr="009B55B7">
        <w:t xml:space="preserve"> </w:t>
      </w:r>
      <w:r w:rsidR="009B55B7">
        <w:t>proceedings</w:t>
      </w:r>
      <w:r>
        <w:t>.</w:t>
      </w:r>
    </w:p>
    <w:p w:rsidR="009B55B7" w:rsidRPr="009B55B7" w:rsidRDefault="00FD45E8" w:rsidP="00CD1724">
      <w:pPr>
        <w:pStyle w:val="ListNo2"/>
        <w:numPr>
          <w:ilvl w:val="1"/>
          <w:numId w:val="34"/>
        </w:numPr>
      </w:pPr>
      <w:r>
        <w:t>D</w:t>
      </w:r>
      <w:r w:rsidR="009B55B7">
        <w:t>uplicated</w:t>
      </w:r>
      <w:r w:rsidR="009B55B7" w:rsidRPr="009B55B7">
        <w:t xml:space="preserve"> </w:t>
      </w:r>
      <w:r w:rsidR="009B55B7">
        <w:t>case</w:t>
      </w:r>
      <w:r w:rsidR="009B55B7" w:rsidRPr="009B55B7">
        <w:t xml:space="preserve"> </w:t>
      </w:r>
      <w:r w:rsidR="009B55B7">
        <w:t>management</w:t>
      </w:r>
      <w:r w:rsidR="009B55B7" w:rsidRPr="009B55B7">
        <w:t xml:space="preserve"> costs, </w:t>
      </w:r>
      <w:r w:rsidR="009B55B7">
        <w:t>including</w:t>
      </w:r>
      <w:r w:rsidR="009B55B7" w:rsidRPr="009B55B7">
        <w:t xml:space="preserve"> </w:t>
      </w:r>
      <w:r w:rsidR="009B55B7">
        <w:t>preparing</w:t>
      </w:r>
      <w:r w:rsidR="009B55B7" w:rsidRPr="009B55B7">
        <w:t xml:space="preserve"> </w:t>
      </w:r>
      <w:r w:rsidR="009B55B7">
        <w:t>and defend</w:t>
      </w:r>
      <w:r w:rsidR="009B55B7" w:rsidRPr="009B55B7">
        <w:t>i</w:t>
      </w:r>
      <w:r w:rsidR="009B55B7">
        <w:t>ng</w:t>
      </w:r>
      <w:r w:rsidR="009B55B7" w:rsidRPr="009B55B7">
        <w:t xml:space="preserve"> </w:t>
      </w:r>
      <w:r w:rsidR="009B55B7">
        <w:t>separate</w:t>
      </w:r>
      <w:r w:rsidR="009B55B7" w:rsidRPr="009B55B7">
        <w:t xml:space="preserve"> </w:t>
      </w:r>
      <w:r w:rsidR="009B55B7">
        <w:t>interlocutory</w:t>
      </w:r>
      <w:r w:rsidR="009B55B7" w:rsidRPr="009B55B7">
        <w:t xml:space="preserve"> </w:t>
      </w:r>
      <w:r w:rsidR="009B55B7">
        <w:t>issues in separate proceedings, proposing and</w:t>
      </w:r>
      <w:r w:rsidR="009B55B7" w:rsidRPr="009B55B7">
        <w:t xml:space="preserve"> </w:t>
      </w:r>
      <w:r w:rsidR="009B55B7">
        <w:t>negotiating</w:t>
      </w:r>
      <w:r w:rsidR="009B55B7" w:rsidRPr="009B55B7">
        <w:t xml:space="preserve"> </w:t>
      </w:r>
      <w:r w:rsidR="009B55B7">
        <w:t>case</w:t>
      </w:r>
      <w:r w:rsidR="009B55B7" w:rsidRPr="009B55B7">
        <w:t xml:space="preserve"> </w:t>
      </w:r>
      <w:r w:rsidR="009B55B7">
        <w:t>management</w:t>
      </w:r>
      <w:r w:rsidR="009B55B7" w:rsidRPr="009B55B7">
        <w:t xml:space="preserve"> </w:t>
      </w:r>
      <w:r w:rsidR="009B55B7">
        <w:t>timetables</w:t>
      </w:r>
      <w:r w:rsidR="009B55B7" w:rsidRPr="009B55B7">
        <w:t xml:space="preserve"> </w:t>
      </w:r>
      <w:r w:rsidR="009B55B7">
        <w:t>with</w:t>
      </w:r>
      <w:r w:rsidR="009B55B7" w:rsidRPr="009B55B7">
        <w:t xml:space="preserve"> </w:t>
      </w:r>
      <w:r w:rsidR="009B55B7">
        <w:t>two</w:t>
      </w:r>
      <w:r w:rsidR="009B55B7" w:rsidRPr="009B55B7">
        <w:t xml:space="preserve"> </w:t>
      </w:r>
      <w:r w:rsidR="009B55B7">
        <w:t>sets</w:t>
      </w:r>
      <w:r w:rsidR="009B55B7" w:rsidRPr="009B55B7">
        <w:t xml:space="preserve"> </w:t>
      </w:r>
      <w:r w:rsidR="009B55B7">
        <w:t>of</w:t>
      </w:r>
      <w:r w:rsidR="009B55B7" w:rsidRPr="009B55B7">
        <w:t xml:space="preserve"> </w:t>
      </w:r>
      <w:r w:rsidR="009B55B7">
        <w:t>legal</w:t>
      </w:r>
      <w:r w:rsidR="009B55B7" w:rsidRPr="009B55B7">
        <w:t xml:space="preserve"> </w:t>
      </w:r>
      <w:r w:rsidR="009B55B7">
        <w:t>representatives for</w:t>
      </w:r>
      <w:r w:rsidR="009B55B7" w:rsidRPr="009B55B7">
        <w:t xml:space="preserve"> </w:t>
      </w:r>
      <w:r w:rsidR="009B55B7">
        <w:t>the</w:t>
      </w:r>
      <w:r w:rsidR="009B55B7" w:rsidRPr="009B55B7">
        <w:t xml:space="preserve"> </w:t>
      </w:r>
      <w:r w:rsidR="009B55B7">
        <w:t>different</w:t>
      </w:r>
      <w:r w:rsidR="009B55B7" w:rsidRPr="009B55B7">
        <w:t xml:space="preserve"> </w:t>
      </w:r>
      <w:r w:rsidR="009B55B7">
        <w:t>applicants and</w:t>
      </w:r>
      <w:r w:rsidR="009B55B7" w:rsidRPr="009B55B7">
        <w:t xml:space="preserve"> </w:t>
      </w:r>
      <w:r w:rsidR="009B55B7">
        <w:t>otherwise</w:t>
      </w:r>
      <w:r w:rsidR="009B55B7" w:rsidRPr="009B55B7">
        <w:t xml:space="preserve"> </w:t>
      </w:r>
      <w:r w:rsidR="009B55B7">
        <w:t>having</w:t>
      </w:r>
      <w:r w:rsidR="009B55B7" w:rsidRPr="009B55B7">
        <w:t xml:space="preserve"> </w:t>
      </w:r>
      <w:r w:rsidR="009B55B7">
        <w:t>to</w:t>
      </w:r>
      <w:r w:rsidR="009B55B7" w:rsidRPr="009B55B7">
        <w:t xml:space="preserve"> </w:t>
      </w:r>
      <w:r w:rsidR="009B55B7">
        <w:t>prepare</w:t>
      </w:r>
      <w:r w:rsidR="009B55B7" w:rsidRPr="009B55B7">
        <w:t xml:space="preserve"> </w:t>
      </w:r>
      <w:r w:rsidR="009B55B7">
        <w:t>for</w:t>
      </w:r>
      <w:r w:rsidR="009B55B7" w:rsidRPr="009B55B7">
        <w:t xml:space="preserve"> </w:t>
      </w:r>
      <w:r w:rsidR="009B55B7">
        <w:t>issues that</w:t>
      </w:r>
      <w:r w:rsidR="009B55B7" w:rsidRPr="009B55B7">
        <w:t xml:space="preserve"> </w:t>
      </w:r>
      <w:r w:rsidR="009B55B7">
        <w:t>would</w:t>
      </w:r>
      <w:r w:rsidR="009B55B7" w:rsidRPr="009B55B7">
        <w:t xml:space="preserve"> </w:t>
      </w:r>
      <w:r w:rsidR="009B55B7">
        <w:t>not</w:t>
      </w:r>
      <w:r w:rsidR="009B55B7" w:rsidRPr="009B55B7">
        <w:t xml:space="preserve"> </w:t>
      </w:r>
      <w:r w:rsidR="009B55B7">
        <w:t>arise</w:t>
      </w:r>
      <w:r w:rsidR="009B55B7" w:rsidRPr="009B55B7">
        <w:t xml:space="preserve"> </w:t>
      </w:r>
      <w:r w:rsidR="009B55B7">
        <w:t>if</w:t>
      </w:r>
      <w:r w:rsidR="009B55B7" w:rsidRPr="009B55B7">
        <w:t xml:space="preserve"> </w:t>
      </w:r>
      <w:r w:rsidR="009B55B7">
        <w:t>only</w:t>
      </w:r>
      <w:r w:rsidR="009B55B7" w:rsidRPr="009B55B7">
        <w:t xml:space="preserve"> </w:t>
      </w:r>
      <w:r w:rsidR="009B55B7">
        <w:t>one</w:t>
      </w:r>
      <w:r w:rsidR="009B55B7" w:rsidRPr="009B55B7">
        <w:t xml:space="preserve"> </w:t>
      </w:r>
      <w:r w:rsidR="009B55B7">
        <w:t>proceeding</w:t>
      </w:r>
      <w:r w:rsidR="009B55B7" w:rsidRPr="009B55B7">
        <w:t xml:space="preserve"> </w:t>
      </w:r>
      <w:r w:rsidR="009B55B7">
        <w:t>were</w:t>
      </w:r>
      <w:r w:rsidR="009B55B7" w:rsidRPr="009B55B7">
        <w:t xml:space="preserve"> </w:t>
      </w:r>
      <w:r w:rsidR="009B55B7">
        <w:t>to</w:t>
      </w:r>
      <w:r w:rsidR="009B55B7" w:rsidRPr="009B55B7">
        <w:t xml:space="preserve"> </w:t>
      </w:r>
      <w:r w:rsidR="00B94A44">
        <w:t>continue</w:t>
      </w:r>
      <w:r>
        <w:t>.</w:t>
      </w:r>
    </w:p>
    <w:p w:rsidR="009B55B7" w:rsidRPr="009B55B7" w:rsidRDefault="00FD45E8" w:rsidP="00CD1724">
      <w:pPr>
        <w:pStyle w:val="ListNo2"/>
        <w:numPr>
          <w:ilvl w:val="1"/>
          <w:numId w:val="34"/>
        </w:numPr>
      </w:pPr>
      <w:r>
        <w:t>D</w:t>
      </w:r>
      <w:r w:rsidR="009B55B7">
        <w:t>uplicated</w:t>
      </w:r>
      <w:r w:rsidR="009B55B7" w:rsidRPr="009B55B7">
        <w:t xml:space="preserve"> </w:t>
      </w:r>
      <w:r w:rsidR="009B55B7">
        <w:t>procedural</w:t>
      </w:r>
      <w:r w:rsidR="009B55B7" w:rsidRPr="009B55B7">
        <w:t xml:space="preserve"> costs, </w:t>
      </w:r>
      <w:r w:rsidR="009B55B7">
        <w:t>such</w:t>
      </w:r>
      <w:r w:rsidR="009B55B7" w:rsidRPr="009B55B7">
        <w:t xml:space="preserve"> </w:t>
      </w:r>
      <w:r w:rsidR="009B55B7">
        <w:t>as</w:t>
      </w:r>
      <w:r w:rsidR="009B55B7" w:rsidRPr="009B55B7">
        <w:t xml:space="preserve"> </w:t>
      </w:r>
      <w:r w:rsidR="009B55B7">
        <w:t>preparing</w:t>
      </w:r>
      <w:r w:rsidR="009B55B7" w:rsidRPr="009B55B7">
        <w:t xml:space="preserve"> </w:t>
      </w:r>
      <w:r w:rsidR="009B55B7">
        <w:t>two</w:t>
      </w:r>
      <w:r w:rsidR="009B55B7" w:rsidRPr="009B55B7">
        <w:t xml:space="preserve"> </w:t>
      </w:r>
      <w:r w:rsidR="009B55B7">
        <w:t>defences</w:t>
      </w:r>
      <w:r w:rsidR="009B55B7" w:rsidRPr="009B55B7">
        <w:t xml:space="preserve"> </w:t>
      </w:r>
      <w:r w:rsidR="009B55B7">
        <w:t>in</w:t>
      </w:r>
      <w:r w:rsidR="009B55B7" w:rsidRPr="009B55B7">
        <w:t xml:space="preserve"> </w:t>
      </w:r>
      <w:r w:rsidR="009B55B7">
        <w:t>response</w:t>
      </w:r>
      <w:r w:rsidR="009B55B7" w:rsidRPr="009B55B7">
        <w:t xml:space="preserve"> </w:t>
      </w:r>
      <w:r w:rsidR="009B55B7">
        <w:t>to</w:t>
      </w:r>
      <w:r w:rsidR="009B55B7" w:rsidRPr="009B55B7">
        <w:t xml:space="preserve"> </w:t>
      </w:r>
      <w:r w:rsidR="009B55B7">
        <w:t>the</w:t>
      </w:r>
      <w:r w:rsidR="009B55B7" w:rsidRPr="009B55B7">
        <w:t xml:space="preserve"> </w:t>
      </w:r>
      <w:r w:rsidR="009B55B7">
        <w:t>allegations</w:t>
      </w:r>
      <w:r w:rsidR="009B55B7" w:rsidRPr="009B55B7">
        <w:t xml:space="preserve"> </w:t>
      </w:r>
      <w:r w:rsidR="009B55B7">
        <w:t>raised</w:t>
      </w:r>
      <w:r w:rsidR="009B55B7" w:rsidRPr="009B55B7">
        <w:t xml:space="preserve"> </w:t>
      </w:r>
      <w:r w:rsidR="009B55B7">
        <w:t>in</w:t>
      </w:r>
      <w:r w:rsidR="009B55B7" w:rsidRPr="009B55B7">
        <w:t xml:space="preserve"> </w:t>
      </w:r>
      <w:r w:rsidR="009B55B7">
        <w:t>the</w:t>
      </w:r>
      <w:r w:rsidR="009B55B7" w:rsidRPr="009B55B7">
        <w:t xml:space="preserve"> </w:t>
      </w:r>
      <w:r w:rsidR="009B55B7">
        <w:t>separate</w:t>
      </w:r>
      <w:r w:rsidR="009B55B7" w:rsidRPr="009B55B7">
        <w:t xml:space="preserve"> </w:t>
      </w:r>
      <w:r w:rsidR="009B55B7">
        <w:t>statements</w:t>
      </w:r>
      <w:r w:rsidR="009B55B7" w:rsidRPr="009B55B7">
        <w:t xml:space="preserve"> </w:t>
      </w:r>
      <w:r w:rsidR="009B55B7">
        <w:t>of</w:t>
      </w:r>
      <w:r w:rsidR="009B55B7" w:rsidRPr="009B55B7">
        <w:t xml:space="preserve"> </w:t>
      </w:r>
      <w:r w:rsidR="009B55B7">
        <w:t>claim</w:t>
      </w:r>
      <w:r w:rsidR="009B55B7" w:rsidRPr="009B55B7">
        <w:t xml:space="preserve"> </w:t>
      </w:r>
      <w:r w:rsidR="009B55B7">
        <w:t>(even</w:t>
      </w:r>
      <w:r w:rsidR="009B55B7" w:rsidRPr="009B55B7">
        <w:t xml:space="preserve"> </w:t>
      </w:r>
      <w:r w:rsidR="009B55B7">
        <w:t>if</w:t>
      </w:r>
      <w:r w:rsidR="009B55B7" w:rsidRPr="009B55B7">
        <w:t xml:space="preserve"> </w:t>
      </w:r>
      <w:r w:rsidR="009B55B7">
        <w:t>the</w:t>
      </w:r>
      <w:r w:rsidR="009B55B7" w:rsidRPr="009B55B7">
        <w:t xml:space="preserve"> </w:t>
      </w:r>
      <w:r w:rsidR="009B55B7">
        <w:t>issues</w:t>
      </w:r>
      <w:r w:rsidR="009B55B7" w:rsidRPr="009B55B7">
        <w:t xml:space="preserve"> </w:t>
      </w:r>
      <w:r w:rsidR="009B55B7">
        <w:t>raised</w:t>
      </w:r>
      <w:r w:rsidR="009B55B7" w:rsidRPr="009B55B7">
        <w:t xml:space="preserve"> </w:t>
      </w:r>
      <w:r w:rsidR="009B55B7">
        <w:lastRenderedPageBreak/>
        <w:t>in</w:t>
      </w:r>
      <w:r w:rsidR="009B55B7" w:rsidRPr="009B55B7">
        <w:t xml:space="preserve"> </w:t>
      </w:r>
      <w:r w:rsidR="009B55B7">
        <w:t>both</w:t>
      </w:r>
      <w:r w:rsidR="009B55B7" w:rsidRPr="009B55B7">
        <w:t xml:space="preserve"> </w:t>
      </w:r>
      <w:r w:rsidR="009B55B7">
        <w:t>pleadings</w:t>
      </w:r>
      <w:r w:rsidR="009B55B7" w:rsidRPr="009B55B7">
        <w:t xml:space="preserve"> </w:t>
      </w:r>
      <w:r w:rsidR="009B55B7">
        <w:t>are</w:t>
      </w:r>
      <w:r w:rsidR="009B55B7" w:rsidRPr="009B55B7">
        <w:t xml:space="preserve"> </w:t>
      </w:r>
      <w:r w:rsidR="009B55B7">
        <w:t>the</w:t>
      </w:r>
      <w:r w:rsidR="009B55B7" w:rsidRPr="009B55B7">
        <w:t xml:space="preserve"> </w:t>
      </w:r>
      <w:r w:rsidR="009B55B7">
        <w:t>same)</w:t>
      </w:r>
      <w:r w:rsidR="009B55B7" w:rsidRPr="009B55B7">
        <w:t xml:space="preserve"> </w:t>
      </w:r>
      <w:r w:rsidR="009B55B7">
        <w:t>and</w:t>
      </w:r>
      <w:r w:rsidR="009B55B7" w:rsidRPr="009B55B7">
        <w:t xml:space="preserve"> </w:t>
      </w:r>
      <w:r w:rsidR="009B55B7">
        <w:t>preparing for</w:t>
      </w:r>
      <w:r w:rsidR="009B55B7" w:rsidRPr="009B55B7">
        <w:t xml:space="preserve"> </w:t>
      </w:r>
      <w:r w:rsidR="009B55B7">
        <w:t>two</w:t>
      </w:r>
      <w:r w:rsidR="009B55B7" w:rsidRPr="009B55B7">
        <w:t xml:space="preserve"> </w:t>
      </w:r>
      <w:r w:rsidR="009B55B7">
        <w:t>common fund</w:t>
      </w:r>
      <w:r w:rsidR="009B55B7" w:rsidRPr="009B55B7">
        <w:t xml:space="preserve"> </w:t>
      </w:r>
      <w:r w:rsidR="009B55B7">
        <w:t>applications</w:t>
      </w:r>
      <w:r>
        <w:t>.</w:t>
      </w:r>
    </w:p>
    <w:p w:rsidR="009B55B7" w:rsidRPr="009B55B7" w:rsidRDefault="00FD45E8" w:rsidP="00CD1724">
      <w:pPr>
        <w:pStyle w:val="ListNo2"/>
        <w:numPr>
          <w:ilvl w:val="1"/>
          <w:numId w:val="34"/>
        </w:numPr>
      </w:pPr>
      <w:r>
        <w:t>D</w:t>
      </w:r>
      <w:r w:rsidR="009B55B7">
        <w:t>uplicated</w:t>
      </w:r>
      <w:r w:rsidR="009B55B7" w:rsidRPr="009B55B7">
        <w:t xml:space="preserve"> </w:t>
      </w:r>
      <w:r w:rsidR="009B55B7">
        <w:t>discovery</w:t>
      </w:r>
      <w:r w:rsidR="009B55B7" w:rsidRPr="009B55B7">
        <w:t xml:space="preserve"> </w:t>
      </w:r>
      <w:r w:rsidR="009B55B7">
        <w:t>costs,</w:t>
      </w:r>
      <w:r w:rsidR="009B55B7" w:rsidRPr="009B55B7">
        <w:t xml:space="preserve"> </w:t>
      </w:r>
      <w:r w:rsidR="009B55B7">
        <w:t>including</w:t>
      </w:r>
      <w:r w:rsidR="009B55B7" w:rsidRPr="009B55B7">
        <w:t xml:space="preserve"> </w:t>
      </w:r>
      <w:r w:rsidR="009B55B7">
        <w:t>as</w:t>
      </w:r>
      <w:r w:rsidR="009B55B7" w:rsidRPr="009B55B7">
        <w:t xml:space="preserve"> </w:t>
      </w:r>
      <w:r w:rsidR="009B55B7">
        <w:t>to</w:t>
      </w:r>
      <w:r w:rsidR="009B55B7" w:rsidRPr="009B55B7">
        <w:t xml:space="preserve"> </w:t>
      </w:r>
      <w:r w:rsidR="009B55B7">
        <w:t>the preparation</w:t>
      </w:r>
      <w:r w:rsidR="009B55B7" w:rsidRPr="009B55B7">
        <w:t xml:space="preserve"> </w:t>
      </w:r>
      <w:r w:rsidR="009B55B7">
        <w:t>and</w:t>
      </w:r>
      <w:r w:rsidR="009B55B7" w:rsidRPr="009B55B7">
        <w:t xml:space="preserve"> </w:t>
      </w:r>
      <w:r w:rsidR="009B55B7">
        <w:t>negotiation</w:t>
      </w:r>
      <w:r w:rsidR="009B55B7" w:rsidRPr="009B55B7">
        <w:t xml:space="preserve"> </w:t>
      </w:r>
      <w:r w:rsidR="009B55B7">
        <w:t>of proposed</w:t>
      </w:r>
      <w:r w:rsidR="009B55B7" w:rsidRPr="009B55B7">
        <w:t xml:space="preserve"> </w:t>
      </w:r>
      <w:r w:rsidR="009B55B7">
        <w:t>categories</w:t>
      </w:r>
      <w:r w:rsidR="009B55B7" w:rsidRPr="009B55B7">
        <w:t xml:space="preserve"> </w:t>
      </w:r>
      <w:r w:rsidR="009B55B7">
        <w:t>of</w:t>
      </w:r>
      <w:r w:rsidR="009B55B7" w:rsidRPr="009B55B7">
        <w:t xml:space="preserve"> </w:t>
      </w:r>
      <w:r w:rsidR="009B55B7">
        <w:t>discovery</w:t>
      </w:r>
      <w:r w:rsidR="009B55B7" w:rsidRPr="009B55B7">
        <w:t xml:space="preserve"> </w:t>
      </w:r>
      <w:r w:rsidR="009B55B7">
        <w:t>and</w:t>
      </w:r>
      <w:r w:rsidR="009B55B7" w:rsidRPr="009B55B7">
        <w:t xml:space="preserve"> </w:t>
      </w:r>
      <w:r w:rsidR="009B55B7">
        <w:t>protocols</w:t>
      </w:r>
      <w:r w:rsidR="009B55B7" w:rsidRPr="009B55B7">
        <w:t xml:space="preserve"> </w:t>
      </w:r>
      <w:r w:rsidR="009B55B7">
        <w:t>for</w:t>
      </w:r>
      <w:r w:rsidR="009B55B7" w:rsidRPr="009B55B7">
        <w:t xml:space="preserve"> </w:t>
      </w:r>
      <w:r w:rsidR="009B55B7">
        <w:t>document</w:t>
      </w:r>
      <w:r w:rsidR="009B55B7" w:rsidRPr="009B55B7">
        <w:t xml:space="preserve"> </w:t>
      </w:r>
      <w:r w:rsidR="009B55B7">
        <w:t>exchange</w:t>
      </w:r>
      <w:r w:rsidR="009B55B7" w:rsidRPr="009B55B7">
        <w:t xml:space="preserve"> </w:t>
      </w:r>
      <w:r w:rsidR="009B55B7">
        <w:t>as</w:t>
      </w:r>
      <w:r w:rsidR="009B55B7" w:rsidRPr="009B55B7">
        <w:t xml:space="preserve"> </w:t>
      </w:r>
      <w:r w:rsidR="009B55B7">
        <w:t>well</w:t>
      </w:r>
      <w:r w:rsidR="009B55B7" w:rsidRPr="009B55B7">
        <w:t xml:space="preserve"> </w:t>
      </w:r>
      <w:r w:rsidR="009B55B7">
        <w:t>as</w:t>
      </w:r>
      <w:r w:rsidR="009B55B7" w:rsidRPr="009B55B7">
        <w:t xml:space="preserve"> </w:t>
      </w:r>
      <w:r w:rsidR="009B55B7">
        <w:t>costs</w:t>
      </w:r>
      <w:r w:rsidR="009B55B7" w:rsidRPr="009B55B7">
        <w:t xml:space="preserve"> </w:t>
      </w:r>
      <w:r w:rsidR="009B55B7">
        <w:t>associated</w:t>
      </w:r>
      <w:r w:rsidR="009B55B7" w:rsidRPr="009B55B7">
        <w:t xml:space="preserve"> </w:t>
      </w:r>
      <w:r w:rsidR="009B55B7">
        <w:t>with</w:t>
      </w:r>
      <w:r w:rsidR="009B55B7" w:rsidRPr="009B55B7">
        <w:t xml:space="preserve"> </w:t>
      </w:r>
      <w:r w:rsidR="009B55B7">
        <w:t>ensuring</w:t>
      </w:r>
      <w:r w:rsidR="009B55B7" w:rsidRPr="009B55B7">
        <w:t xml:space="preserve"> </w:t>
      </w:r>
      <w:r w:rsidR="009B55B7">
        <w:t>compliance</w:t>
      </w:r>
      <w:r w:rsidR="009B55B7" w:rsidRPr="009B55B7">
        <w:t xml:space="preserve"> with</w:t>
      </w:r>
      <w:r w:rsidR="009B55B7">
        <w:t xml:space="preserve"> the respondent’s continuing</w:t>
      </w:r>
      <w:r w:rsidR="009B55B7" w:rsidRPr="009B55B7">
        <w:t xml:space="preserve"> </w:t>
      </w:r>
      <w:r w:rsidR="009B55B7">
        <w:t>obligation</w:t>
      </w:r>
      <w:r w:rsidR="009B55B7" w:rsidRPr="009B55B7">
        <w:t xml:space="preserve"> </w:t>
      </w:r>
      <w:r w:rsidR="009B55B7">
        <w:t>to</w:t>
      </w:r>
      <w:r w:rsidR="009B55B7" w:rsidRPr="009B55B7">
        <w:t xml:space="preserve"> </w:t>
      </w:r>
      <w:r w:rsidR="009B55B7">
        <w:t>give</w:t>
      </w:r>
      <w:r w:rsidR="009B55B7" w:rsidRPr="009B55B7">
        <w:t xml:space="preserve"> </w:t>
      </w:r>
      <w:r w:rsidR="009B55B7">
        <w:t>discovery</w:t>
      </w:r>
      <w:r>
        <w:t>.</w:t>
      </w:r>
    </w:p>
    <w:p w:rsidR="009B55B7" w:rsidRPr="009B55B7" w:rsidRDefault="00FD45E8" w:rsidP="00CD1724">
      <w:pPr>
        <w:pStyle w:val="ListNo2"/>
        <w:numPr>
          <w:ilvl w:val="1"/>
          <w:numId w:val="34"/>
        </w:numPr>
      </w:pPr>
      <w:r>
        <w:t>D</w:t>
      </w:r>
      <w:r w:rsidR="009B55B7">
        <w:t>uplicated</w:t>
      </w:r>
      <w:r w:rsidR="009B55B7" w:rsidRPr="009B55B7">
        <w:t xml:space="preserve"> </w:t>
      </w:r>
      <w:r w:rsidR="009B55B7">
        <w:t>costs</w:t>
      </w:r>
      <w:r w:rsidR="009B55B7" w:rsidRPr="009B55B7">
        <w:t xml:space="preserve"> </w:t>
      </w:r>
      <w:r w:rsidR="009B55B7">
        <w:t>associated</w:t>
      </w:r>
      <w:r w:rsidR="009B55B7" w:rsidRPr="009B55B7">
        <w:t xml:space="preserve"> </w:t>
      </w:r>
      <w:r w:rsidR="009B55B7">
        <w:t>with</w:t>
      </w:r>
      <w:r w:rsidR="009B55B7" w:rsidRPr="009B55B7">
        <w:t xml:space="preserve"> </w:t>
      </w:r>
      <w:r w:rsidR="009B55B7">
        <w:t>evidence</w:t>
      </w:r>
      <w:r w:rsidR="009B55B7" w:rsidRPr="009B55B7">
        <w:t xml:space="preserve"> preparation, </w:t>
      </w:r>
      <w:r w:rsidR="009B55B7">
        <w:t>including</w:t>
      </w:r>
      <w:r w:rsidR="009B55B7" w:rsidRPr="009B55B7">
        <w:t xml:space="preserve"> </w:t>
      </w:r>
      <w:r w:rsidR="009B55B7">
        <w:t>reviewing</w:t>
      </w:r>
      <w:r w:rsidR="009B55B7" w:rsidRPr="009B55B7">
        <w:t xml:space="preserve"> </w:t>
      </w:r>
      <w:r w:rsidR="009B55B7">
        <w:t>and</w:t>
      </w:r>
      <w:r w:rsidR="009B55B7" w:rsidRPr="009B55B7">
        <w:t xml:space="preserve"> </w:t>
      </w:r>
      <w:r w:rsidR="009B55B7">
        <w:t>responding</w:t>
      </w:r>
      <w:r w:rsidR="009B55B7" w:rsidRPr="009B55B7">
        <w:t xml:space="preserve"> </w:t>
      </w:r>
      <w:r w:rsidR="009B55B7">
        <w:t>to</w:t>
      </w:r>
      <w:r w:rsidR="009B55B7" w:rsidRPr="009B55B7">
        <w:t xml:space="preserve"> </w:t>
      </w:r>
      <w:r w:rsidR="009B55B7">
        <w:t>two</w:t>
      </w:r>
      <w:r w:rsidR="009B55B7" w:rsidRPr="009B55B7">
        <w:t xml:space="preserve"> </w:t>
      </w:r>
      <w:r w:rsidR="009B55B7">
        <w:t>sets</w:t>
      </w:r>
      <w:r w:rsidR="009B55B7" w:rsidRPr="009B55B7">
        <w:t xml:space="preserve"> </w:t>
      </w:r>
      <w:r w:rsidR="009B55B7">
        <w:t>of</w:t>
      </w:r>
      <w:r w:rsidR="009B55B7" w:rsidRPr="009B55B7">
        <w:t xml:space="preserve"> </w:t>
      </w:r>
      <w:r w:rsidR="009B55B7">
        <w:t>lay</w:t>
      </w:r>
      <w:r w:rsidR="009B55B7" w:rsidRPr="009B55B7">
        <w:t xml:space="preserve"> </w:t>
      </w:r>
      <w:r w:rsidR="009B55B7">
        <w:t>witness</w:t>
      </w:r>
      <w:r w:rsidR="009B55B7" w:rsidRPr="009B55B7">
        <w:t xml:space="preserve"> </w:t>
      </w:r>
      <w:r w:rsidR="009B55B7">
        <w:t>evidence,</w:t>
      </w:r>
      <w:r w:rsidR="009B55B7" w:rsidRPr="009B55B7">
        <w:t xml:space="preserve"> </w:t>
      </w:r>
      <w:r w:rsidR="009B55B7">
        <w:t>reviewing</w:t>
      </w:r>
      <w:r w:rsidR="009B55B7" w:rsidRPr="009B55B7">
        <w:t xml:space="preserve"> </w:t>
      </w:r>
      <w:r w:rsidR="009B55B7">
        <w:t>and</w:t>
      </w:r>
      <w:r w:rsidR="009B55B7" w:rsidRPr="009B55B7">
        <w:t xml:space="preserve"> </w:t>
      </w:r>
      <w:r w:rsidR="009B55B7">
        <w:t>engaging</w:t>
      </w:r>
      <w:r w:rsidR="009B55B7" w:rsidRPr="009B55B7">
        <w:t xml:space="preserve"> </w:t>
      </w:r>
      <w:r w:rsidR="009B55B7">
        <w:t>experts</w:t>
      </w:r>
      <w:r w:rsidR="009B55B7" w:rsidRPr="009B55B7">
        <w:t xml:space="preserve"> </w:t>
      </w:r>
      <w:r w:rsidR="009B55B7">
        <w:t>to</w:t>
      </w:r>
      <w:r w:rsidR="009B55B7" w:rsidRPr="009B55B7">
        <w:t xml:space="preserve"> </w:t>
      </w:r>
      <w:r w:rsidR="009B55B7">
        <w:t>address</w:t>
      </w:r>
      <w:r w:rsidR="009B55B7" w:rsidRPr="009B55B7">
        <w:t xml:space="preserve"> </w:t>
      </w:r>
      <w:r w:rsidR="009B55B7">
        <w:t>two</w:t>
      </w:r>
      <w:r w:rsidR="009B55B7" w:rsidRPr="009B55B7">
        <w:t xml:space="preserve"> </w:t>
      </w:r>
      <w:r w:rsidR="009B55B7">
        <w:t>sets</w:t>
      </w:r>
      <w:r w:rsidR="009B55B7" w:rsidRPr="009B55B7">
        <w:t xml:space="preserve"> </w:t>
      </w:r>
      <w:r w:rsidR="009B55B7">
        <w:t>of</w:t>
      </w:r>
      <w:r w:rsidR="009B55B7" w:rsidRPr="009B55B7">
        <w:t xml:space="preserve"> </w:t>
      </w:r>
      <w:r w:rsidR="009B55B7">
        <w:t>expert</w:t>
      </w:r>
      <w:r w:rsidR="009B55B7" w:rsidRPr="009B55B7">
        <w:t xml:space="preserve"> </w:t>
      </w:r>
      <w:r w:rsidR="009B55B7">
        <w:t>evidence</w:t>
      </w:r>
      <w:r w:rsidR="009B55B7" w:rsidRPr="009B55B7">
        <w:t xml:space="preserve"> </w:t>
      </w:r>
      <w:r w:rsidR="009B55B7">
        <w:t>and</w:t>
      </w:r>
      <w:r w:rsidR="009B55B7" w:rsidRPr="009B55B7">
        <w:t xml:space="preserve"> </w:t>
      </w:r>
      <w:r w:rsidR="009B55B7">
        <w:t>preparing</w:t>
      </w:r>
      <w:r w:rsidR="009B55B7" w:rsidRPr="009B55B7">
        <w:t xml:space="preserve"> </w:t>
      </w:r>
      <w:r w:rsidR="009B55B7">
        <w:t>for</w:t>
      </w:r>
      <w:r w:rsidR="009B55B7" w:rsidRPr="009B55B7">
        <w:t xml:space="preserve"> </w:t>
      </w:r>
      <w:r w:rsidR="009B55B7">
        <w:t>expert</w:t>
      </w:r>
      <w:r w:rsidR="009B55B7" w:rsidRPr="009B55B7">
        <w:t xml:space="preserve"> </w:t>
      </w:r>
      <w:r w:rsidR="009B55B7">
        <w:t>witness conclaves</w:t>
      </w:r>
      <w:r w:rsidR="009B55B7" w:rsidRPr="009B55B7">
        <w:t xml:space="preserve"> </w:t>
      </w:r>
      <w:r w:rsidR="009B55B7">
        <w:t>if</w:t>
      </w:r>
      <w:r w:rsidR="009B55B7" w:rsidRPr="009B55B7">
        <w:t xml:space="preserve"> </w:t>
      </w:r>
      <w:r>
        <w:t>ordered.</w:t>
      </w:r>
    </w:p>
    <w:p w:rsidR="009B55B7" w:rsidRPr="009B55B7" w:rsidRDefault="00FD45E8" w:rsidP="00CD1724">
      <w:pPr>
        <w:pStyle w:val="ListNo2"/>
        <w:numPr>
          <w:ilvl w:val="1"/>
          <w:numId w:val="34"/>
        </w:numPr>
      </w:pPr>
      <w:r>
        <w:t>D</w:t>
      </w:r>
      <w:r w:rsidR="009B55B7">
        <w:t>uplicated</w:t>
      </w:r>
      <w:r w:rsidR="009B55B7" w:rsidRPr="009B55B7">
        <w:t xml:space="preserve"> </w:t>
      </w:r>
      <w:r w:rsidR="009B55B7">
        <w:t>costs</w:t>
      </w:r>
      <w:r w:rsidR="009B55B7" w:rsidRPr="009B55B7">
        <w:t xml:space="preserve"> </w:t>
      </w:r>
      <w:r w:rsidR="009B55B7">
        <w:t>associated</w:t>
      </w:r>
      <w:r w:rsidR="009B55B7" w:rsidRPr="009B55B7">
        <w:t xml:space="preserve"> </w:t>
      </w:r>
      <w:r w:rsidR="009B55B7">
        <w:t>with</w:t>
      </w:r>
      <w:r w:rsidR="009B55B7" w:rsidRPr="009B55B7">
        <w:t xml:space="preserve"> </w:t>
      </w:r>
      <w:r w:rsidR="009B55B7">
        <w:t>preparing</w:t>
      </w:r>
      <w:r w:rsidR="009B55B7" w:rsidRPr="009B55B7">
        <w:t xml:space="preserve"> </w:t>
      </w:r>
      <w:r w:rsidR="009B55B7">
        <w:t>for</w:t>
      </w:r>
      <w:r w:rsidR="009B55B7" w:rsidRPr="009B55B7">
        <w:t xml:space="preserve"> </w:t>
      </w:r>
      <w:r w:rsidR="009B55B7">
        <w:t>and</w:t>
      </w:r>
      <w:r w:rsidR="009B55B7" w:rsidRPr="009B55B7">
        <w:t xml:space="preserve"> </w:t>
      </w:r>
      <w:r w:rsidR="009B55B7">
        <w:t>attending</w:t>
      </w:r>
      <w:r w:rsidR="009B55B7" w:rsidRPr="009B55B7">
        <w:t xml:space="preserve"> </w:t>
      </w:r>
      <w:r w:rsidR="009B55B7">
        <w:t>a</w:t>
      </w:r>
      <w:r w:rsidR="009B55B7" w:rsidRPr="009B55B7">
        <w:t xml:space="preserve"> </w:t>
      </w:r>
      <w:r w:rsidR="009B55B7">
        <w:t xml:space="preserve">mediation </w:t>
      </w:r>
      <w:r w:rsidR="009B55B7" w:rsidRPr="009B55B7">
        <w:t xml:space="preserve">involving </w:t>
      </w:r>
      <w:r w:rsidR="009B55B7">
        <w:t>two</w:t>
      </w:r>
      <w:r w:rsidR="009B55B7" w:rsidRPr="009B55B7">
        <w:t xml:space="preserve"> </w:t>
      </w:r>
      <w:r w:rsidR="009B55B7">
        <w:t>different</w:t>
      </w:r>
      <w:r w:rsidR="009B55B7" w:rsidRPr="009B55B7">
        <w:t xml:space="preserve"> </w:t>
      </w:r>
      <w:r w:rsidR="009B55B7">
        <w:t>applicants</w:t>
      </w:r>
      <w:r w:rsidR="009B55B7" w:rsidRPr="009B55B7">
        <w:t xml:space="preserve"> </w:t>
      </w:r>
      <w:r w:rsidR="009B55B7">
        <w:t>represented</w:t>
      </w:r>
      <w:r w:rsidR="009B55B7" w:rsidRPr="009B55B7">
        <w:t xml:space="preserve"> </w:t>
      </w:r>
      <w:r w:rsidR="009B55B7">
        <w:t>by</w:t>
      </w:r>
      <w:r w:rsidR="009B55B7" w:rsidRPr="009B55B7">
        <w:t xml:space="preserve"> </w:t>
      </w:r>
      <w:r w:rsidR="009B55B7">
        <w:t>two</w:t>
      </w:r>
      <w:r w:rsidR="009B55B7" w:rsidRPr="009B55B7">
        <w:t xml:space="preserve"> </w:t>
      </w:r>
      <w:r w:rsidR="009B55B7">
        <w:t>different</w:t>
      </w:r>
      <w:r w:rsidR="009B55B7" w:rsidRPr="009B55B7">
        <w:t xml:space="preserve"> </w:t>
      </w:r>
      <w:r w:rsidR="009B55B7">
        <w:t>firms</w:t>
      </w:r>
      <w:r w:rsidR="009B55B7" w:rsidRPr="009B55B7">
        <w:t xml:space="preserve"> </w:t>
      </w:r>
      <w:r w:rsidR="009B55B7">
        <w:t>of</w:t>
      </w:r>
      <w:r w:rsidR="009B55B7" w:rsidRPr="009B55B7">
        <w:t xml:space="preserve"> </w:t>
      </w:r>
      <w:r w:rsidR="009B55B7">
        <w:t>solicitors</w:t>
      </w:r>
      <w:r w:rsidR="009B55B7" w:rsidRPr="009B55B7">
        <w:t xml:space="preserve"> </w:t>
      </w:r>
      <w:r w:rsidR="009B55B7">
        <w:t>and</w:t>
      </w:r>
      <w:r w:rsidR="009B55B7" w:rsidRPr="009B55B7">
        <w:t xml:space="preserve"> </w:t>
      </w:r>
      <w:r w:rsidR="009B55B7">
        <w:t>counsel</w:t>
      </w:r>
      <w:r w:rsidR="009B55B7" w:rsidRPr="009B55B7">
        <w:t xml:space="preserve"> </w:t>
      </w:r>
      <w:r w:rsidR="009B55B7">
        <w:t>as</w:t>
      </w:r>
      <w:r w:rsidR="009B55B7" w:rsidRPr="009B55B7">
        <w:t xml:space="preserve"> </w:t>
      </w:r>
      <w:r w:rsidR="009B55B7">
        <w:t>well</w:t>
      </w:r>
      <w:r w:rsidR="009B55B7" w:rsidRPr="009B55B7">
        <w:t xml:space="preserve"> </w:t>
      </w:r>
      <w:r w:rsidR="009B55B7">
        <w:t>as</w:t>
      </w:r>
      <w:r w:rsidR="009B55B7" w:rsidRPr="009B55B7">
        <w:t xml:space="preserve"> </w:t>
      </w:r>
      <w:r w:rsidR="009B55B7">
        <w:t>two</w:t>
      </w:r>
      <w:r w:rsidR="009B55B7" w:rsidRPr="009B55B7">
        <w:t xml:space="preserve"> </w:t>
      </w:r>
      <w:r w:rsidR="009B55B7">
        <w:t>different</w:t>
      </w:r>
      <w:r w:rsidR="009B55B7" w:rsidRPr="009B55B7">
        <w:t xml:space="preserve"> </w:t>
      </w:r>
      <w:r w:rsidR="009B55B7">
        <w:t>litigation</w:t>
      </w:r>
      <w:r w:rsidR="009B55B7" w:rsidRPr="009B55B7">
        <w:t xml:space="preserve"> </w:t>
      </w:r>
      <w:r w:rsidR="009B55B7">
        <w:t>funders</w:t>
      </w:r>
      <w:r>
        <w:t>.</w:t>
      </w:r>
    </w:p>
    <w:p w:rsidR="009B55B7" w:rsidRPr="0015723A" w:rsidRDefault="00FD45E8" w:rsidP="00CD1724">
      <w:pPr>
        <w:pStyle w:val="ListNo2"/>
        <w:numPr>
          <w:ilvl w:val="1"/>
          <w:numId w:val="34"/>
        </w:numPr>
      </w:pPr>
      <w:r>
        <w:t>D</w:t>
      </w:r>
      <w:r w:rsidR="009B55B7">
        <w:t>uplicated</w:t>
      </w:r>
      <w:r w:rsidR="009B55B7" w:rsidRPr="009B55B7">
        <w:t xml:space="preserve"> </w:t>
      </w:r>
      <w:r w:rsidR="009B55B7">
        <w:t>costs</w:t>
      </w:r>
      <w:r w:rsidR="009B55B7" w:rsidRPr="009B55B7">
        <w:t xml:space="preserve"> </w:t>
      </w:r>
      <w:r w:rsidR="009B55B7">
        <w:t>associated</w:t>
      </w:r>
      <w:r w:rsidR="009B55B7" w:rsidRPr="009B55B7">
        <w:t xml:space="preserve"> </w:t>
      </w:r>
      <w:r w:rsidR="009B55B7">
        <w:t>with</w:t>
      </w:r>
      <w:r w:rsidR="009B55B7" w:rsidRPr="009B55B7">
        <w:t xml:space="preserve"> </w:t>
      </w:r>
      <w:r w:rsidR="009B55B7">
        <w:t>preparing</w:t>
      </w:r>
      <w:r w:rsidR="009B55B7" w:rsidRPr="009B55B7">
        <w:t xml:space="preserve"> </w:t>
      </w:r>
      <w:r w:rsidR="009B55B7">
        <w:t>for</w:t>
      </w:r>
      <w:r w:rsidR="009B55B7" w:rsidRPr="009B55B7">
        <w:t xml:space="preserve"> </w:t>
      </w:r>
      <w:r w:rsidR="009B55B7">
        <w:t>and attending</w:t>
      </w:r>
      <w:r w:rsidR="009B55B7" w:rsidRPr="009B55B7">
        <w:t xml:space="preserve"> </w:t>
      </w:r>
      <w:r w:rsidR="009B55B7">
        <w:t>the</w:t>
      </w:r>
      <w:r w:rsidR="009B55B7" w:rsidRPr="009B55B7">
        <w:t xml:space="preserve"> </w:t>
      </w:r>
      <w:r w:rsidR="009B55B7">
        <w:t>trial</w:t>
      </w:r>
      <w:r w:rsidR="009B55B7" w:rsidRPr="009B55B7">
        <w:t xml:space="preserve"> </w:t>
      </w:r>
      <w:r w:rsidR="009B55B7">
        <w:t>of</w:t>
      </w:r>
      <w:r w:rsidR="009B55B7" w:rsidRPr="009B55B7">
        <w:t xml:space="preserve"> </w:t>
      </w:r>
      <w:r w:rsidR="009B55B7">
        <w:t>two proceeding</w:t>
      </w:r>
      <w:r w:rsidR="009B55B7" w:rsidRPr="009B55B7">
        <w:t xml:space="preserve">s, including </w:t>
      </w:r>
      <w:r w:rsidR="009B55B7">
        <w:t>preparing</w:t>
      </w:r>
      <w:r w:rsidR="009B55B7" w:rsidRPr="009B55B7">
        <w:t xml:space="preserve"> </w:t>
      </w:r>
      <w:r w:rsidR="009B55B7">
        <w:t>witnesses</w:t>
      </w:r>
      <w:r w:rsidR="009B55B7" w:rsidRPr="009B55B7">
        <w:t xml:space="preserve"> </w:t>
      </w:r>
      <w:r w:rsidR="009B55B7">
        <w:t>for</w:t>
      </w:r>
      <w:r w:rsidR="009B55B7" w:rsidRPr="009B55B7">
        <w:t xml:space="preserve"> </w:t>
      </w:r>
      <w:r w:rsidR="009B55B7">
        <w:t>cross-examination</w:t>
      </w:r>
      <w:r w:rsidR="009B55B7" w:rsidRPr="009B55B7">
        <w:t xml:space="preserve"> </w:t>
      </w:r>
      <w:r w:rsidR="009B55B7">
        <w:t>called</w:t>
      </w:r>
      <w:r w:rsidR="009B55B7" w:rsidRPr="009B55B7">
        <w:t xml:space="preserve"> </w:t>
      </w:r>
      <w:r w:rsidR="009B55B7">
        <w:t>by</w:t>
      </w:r>
      <w:r w:rsidR="009B55B7" w:rsidRPr="009B55B7">
        <w:t xml:space="preserve"> </w:t>
      </w:r>
      <w:r w:rsidR="009B55B7">
        <w:t>two</w:t>
      </w:r>
      <w:r w:rsidR="009B55B7" w:rsidRPr="009B55B7">
        <w:t xml:space="preserve"> </w:t>
      </w:r>
      <w:r w:rsidR="009B55B7">
        <w:t>different</w:t>
      </w:r>
      <w:r w:rsidR="009B55B7" w:rsidRPr="009B55B7">
        <w:t xml:space="preserve"> </w:t>
      </w:r>
      <w:r w:rsidR="009B55B7">
        <w:t>applicants</w:t>
      </w:r>
      <w:r w:rsidR="009B55B7" w:rsidRPr="009B55B7">
        <w:t xml:space="preserve"> </w:t>
      </w:r>
      <w:r w:rsidR="009B55B7">
        <w:t>and</w:t>
      </w:r>
      <w:r w:rsidR="009B55B7" w:rsidRPr="009B55B7">
        <w:t xml:space="preserve"> </w:t>
      </w:r>
      <w:r w:rsidR="009B55B7">
        <w:t>their</w:t>
      </w:r>
      <w:r w:rsidR="009B55B7" w:rsidRPr="009B55B7">
        <w:t xml:space="preserve"> counsel, </w:t>
      </w:r>
      <w:r w:rsidR="009B55B7">
        <w:t>identifying</w:t>
      </w:r>
      <w:r w:rsidR="009B55B7" w:rsidRPr="009B55B7">
        <w:t xml:space="preserve"> </w:t>
      </w:r>
      <w:r w:rsidR="009B55B7">
        <w:t>evidentiary</w:t>
      </w:r>
      <w:r w:rsidR="009B55B7" w:rsidRPr="009B55B7">
        <w:t xml:space="preserve"> </w:t>
      </w:r>
      <w:r w:rsidR="009B55B7">
        <w:t>objections</w:t>
      </w:r>
      <w:r w:rsidR="009B55B7" w:rsidRPr="009B55B7">
        <w:t xml:space="preserve"> </w:t>
      </w:r>
      <w:r w:rsidR="009B55B7">
        <w:t>to</w:t>
      </w:r>
      <w:r w:rsidR="009B55B7" w:rsidRPr="009B55B7">
        <w:t xml:space="preserve"> </w:t>
      </w:r>
      <w:r w:rsidR="009B55B7">
        <w:t>two</w:t>
      </w:r>
      <w:r w:rsidR="009B55B7" w:rsidRPr="009B55B7">
        <w:t xml:space="preserve"> </w:t>
      </w:r>
      <w:r w:rsidR="009B55B7">
        <w:t>sets</w:t>
      </w:r>
      <w:r w:rsidR="009B55B7" w:rsidRPr="009B55B7">
        <w:t xml:space="preserve"> </w:t>
      </w:r>
      <w:r w:rsidR="009B55B7">
        <w:t>of</w:t>
      </w:r>
      <w:r w:rsidR="009B55B7" w:rsidRPr="009B55B7">
        <w:t xml:space="preserve"> </w:t>
      </w:r>
      <w:r w:rsidR="009B55B7">
        <w:t>lay</w:t>
      </w:r>
      <w:r w:rsidR="009B55B7" w:rsidRPr="009B55B7">
        <w:t xml:space="preserve"> </w:t>
      </w:r>
      <w:r w:rsidR="009B55B7">
        <w:t>and</w:t>
      </w:r>
      <w:r w:rsidR="009B55B7" w:rsidRPr="009B55B7">
        <w:t xml:space="preserve"> </w:t>
      </w:r>
      <w:r w:rsidR="009B55B7">
        <w:t>expert</w:t>
      </w:r>
      <w:r w:rsidR="009B55B7" w:rsidRPr="009B55B7">
        <w:t xml:space="preserve"> </w:t>
      </w:r>
      <w:r w:rsidR="009B55B7">
        <w:t>witness</w:t>
      </w:r>
      <w:r w:rsidR="009B55B7" w:rsidRPr="009B55B7">
        <w:t xml:space="preserve"> </w:t>
      </w:r>
      <w:r w:rsidR="009B55B7">
        <w:t>evidence,</w:t>
      </w:r>
      <w:r w:rsidR="009B55B7" w:rsidRPr="009B55B7">
        <w:t xml:space="preserve"> </w:t>
      </w:r>
      <w:r w:rsidR="009B55B7">
        <w:t>reviewing</w:t>
      </w:r>
      <w:r w:rsidR="009B55B7" w:rsidRPr="009B55B7">
        <w:t xml:space="preserve"> </w:t>
      </w:r>
      <w:r w:rsidR="009B55B7">
        <w:t>and</w:t>
      </w:r>
      <w:r w:rsidR="009B55B7" w:rsidRPr="009B55B7">
        <w:t xml:space="preserve"> </w:t>
      </w:r>
      <w:r w:rsidR="009B55B7">
        <w:t>preparing</w:t>
      </w:r>
      <w:r w:rsidR="009B55B7" w:rsidRPr="009B55B7">
        <w:t xml:space="preserve"> </w:t>
      </w:r>
      <w:r w:rsidR="009B55B7">
        <w:t>either</w:t>
      </w:r>
      <w:r w:rsidR="009B55B7" w:rsidRPr="009B55B7">
        <w:t xml:space="preserve"> </w:t>
      </w:r>
      <w:r w:rsidR="009B55B7">
        <w:t>two</w:t>
      </w:r>
      <w:r w:rsidR="009B55B7" w:rsidRPr="009B55B7">
        <w:t xml:space="preserve"> </w:t>
      </w:r>
      <w:r w:rsidR="009B55B7">
        <w:t>sets</w:t>
      </w:r>
      <w:r w:rsidR="009B55B7" w:rsidRPr="009B55B7">
        <w:t xml:space="preserve"> </w:t>
      </w:r>
      <w:r w:rsidR="009B55B7">
        <w:t>of</w:t>
      </w:r>
      <w:r w:rsidR="009B55B7" w:rsidRPr="009B55B7">
        <w:t xml:space="preserve"> </w:t>
      </w:r>
      <w:r w:rsidR="009B55B7">
        <w:t>written</w:t>
      </w:r>
      <w:r w:rsidR="009B55B7" w:rsidRPr="009B55B7">
        <w:t xml:space="preserve"> </w:t>
      </w:r>
      <w:r w:rsidR="009B55B7">
        <w:t>submissions</w:t>
      </w:r>
      <w:r w:rsidR="009B55B7" w:rsidRPr="009B55B7">
        <w:t xml:space="preserve"> </w:t>
      </w:r>
      <w:r w:rsidR="009B55B7">
        <w:t>and</w:t>
      </w:r>
      <w:r w:rsidR="009B55B7" w:rsidRPr="009B55B7">
        <w:t xml:space="preserve"> </w:t>
      </w:r>
      <w:r w:rsidR="009B55B7">
        <w:t>oral</w:t>
      </w:r>
      <w:r w:rsidR="009B55B7" w:rsidRPr="009B55B7">
        <w:t xml:space="preserve"> </w:t>
      </w:r>
      <w:r w:rsidR="009B55B7">
        <w:t>submissions</w:t>
      </w:r>
      <w:r w:rsidR="009B55B7" w:rsidRPr="009B55B7">
        <w:t xml:space="preserve"> </w:t>
      </w:r>
      <w:r w:rsidR="009B55B7">
        <w:t>or</w:t>
      </w:r>
      <w:r w:rsidR="009B55B7" w:rsidRPr="009B55B7">
        <w:t xml:space="preserve"> </w:t>
      </w:r>
      <w:r w:rsidR="009B55B7">
        <w:t>one</w:t>
      </w:r>
      <w:r w:rsidR="009B55B7" w:rsidRPr="009B55B7">
        <w:t xml:space="preserve"> </w:t>
      </w:r>
      <w:r w:rsidR="009B55B7">
        <w:t>set</w:t>
      </w:r>
      <w:r w:rsidR="009B55B7" w:rsidRPr="009B55B7">
        <w:t xml:space="preserve"> </w:t>
      </w:r>
      <w:r w:rsidR="009B55B7">
        <w:t>of</w:t>
      </w:r>
      <w:r w:rsidR="009B55B7" w:rsidRPr="009B55B7">
        <w:t xml:space="preserve"> </w:t>
      </w:r>
      <w:r w:rsidR="009B55B7">
        <w:t>submissions</w:t>
      </w:r>
      <w:r w:rsidR="009B55B7" w:rsidRPr="009B55B7">
        <w:t xml:space="preserve"> </w:t>
      </w:r>
      <w:r w:rsidR="009B55B7">
        <w:t>which</w:t>
      </w:r>
      <w:r w:rsidR="009B55B7" w:rsidRPr="009B55B7">
        <w:t xml:space="preserve"> </w:t>
      </w:r>
      <w:r w:rsidR="009B55B7">
        <w:t>address</w:t>
      </w:r>
      <w:r w:rsidR="009B55B7" w:rsidRPr="009B55B7">
        <w:t xml:space="preserve"> </w:t>
      </w:r>
      <w:r w:rsidR="009B55B7">
        <w:t>the</w:t>
      </w:r>
      <w:r w:rsidR="009B55B7" w:rsidRPr="009B55B7">
        <w:t xml:space="preserve"> </w:t>
      </w:r>
      <w:r w:rsidR="009B55B7">
        <w:t>issues</w:t>
      </w:r>
      <w:r w:rsidR="009B55B7" w:rsidRPr="009B55B7">
        <w:t xml:space="preserve"> </w:t>
      </w:r>
      <w:r w:rsidR="009B55B7">
        <w:t>raised</w:t>
      </w:r>
      <w:r w:rsidR="009B55B7" w:rsidRPr="009B55B7">
        <w:t xml:space="preserve"> </w:t>
      </w:r>
      <w:r w:rsidR="009B55B7">
        <w:t>in</w:t>
      </w:r>
      <w:r w:rsidR="009B55B7" w:rsidRPr="009B55B7">
        <w:t xml:space="preserve"> </w:t>
      </w:r>
      <w:r w:rsidR="009B55B7">
        <w:t>both</w:t>
      </w:r>
      <w:r w:rsidR="009B55B7" w:rsidRPr="009B55B7">
        <w:t xml:space="preserve"> </w:t>
      </w:r>
      <w:r w:rsidR="009B55B7">
        <w:t>proceedings</w:t>
      </w:r>
      <w:r w:rsidR="009B55B7" w:rsidRPr="009B55B7">
        <w:t xml:space="preserve"> </w:t>
      </w:r>
      <w:r w:rsidR="009B55B7">
        <w:t>and</w:t>
      </w:r>
      <w:r w:rsidR="009B55B7" w:rsidRPr="009B55B7">
        <w:t xml:space="preserve"> </w:t>
      </w:r>
      <w:r w:rsidR="009B55B7">
        <w:t>attending</w:t>
      </w:r>
      <w:r w:rsidR="009B55B7" w:rsidRPr="009B55B7">
        <w:t xml:space="preserve"> </w:t>
      </w:r>
      <w:r w:rsidR="009B55B7">
        <w:t>to</w:t>
      </w:r>
      <w:r w:rsidR="009B55B7" w:rsidRPr="009B55B7">
        <w:t xml:space="preserve"> </w:t>
      </w:r>
      <w:r w:rsidR="009B55B7">
        <w:t>the</w:t>
      </w:r>
      <w:r w:rsidR="009B55B7" w:rsidRPr="009B55B7">
        <w:t xml:space="preserve"> </w:t>
      </w:r>
      <w:r w:rsidR="009B55B7">
        <w:t>preparation</w:t>
      </w:r>
      <w:r w:rsidR="009B55B7" w:rsidRPr="009B55B7">
        <w:t xml:space="preserve"> </w:t>
      </w:r>
      <w:r w:rsidR="009B55B7">
        <w:t>of court</w:t>
      </w:r>
      <w:r w:rsidR="009B55B7" w:rsidRPr="009B55B7">
        <w:t xml:space="preserve"> </w:t>
      </w:r>
      <w:r w:rsidR="009B55B7">
        <w:t>books</w:t>
      </w:r>
      <w:r w:rsidR="009B55B7" w:rsidRPr="009B55B7">
        <w:t xml:space="preserve">, </w:t>
      </w:r>
      <w:r w:rsidR="009B55B7">
        <w:t>tender bundles</w:t>
      </w:r>
      <w:r w:rsidR="009B55B7" w:rsidRPr="009B55B7">
        <w:t xml:space="preserve"> </w:t>
      </w:r>
      <w:r w:rsidR="009B55B7">
        <w:t>and</w:t>
      </w:r>
      <w:r w:rsidR="009B55B7" w:rsidRPr="009B55B7">
        <w:t xml:space="preserve"> </w:t>
      </w:r>
      <w:r w:rsidR="009B55B7">
        <w:t>lists</w:t>
      </w:r>
      <w:r w:rsidR="009B55B7" w:rsidRPr="009B55B7">
        <w:t xml:space="preserve"> </w:t>
      </w:r>
      <w:r w:rsidR="009B55B7">
        <w:t>of</w:t>
      </w:r>
      <w:r w:rsidR="009B55B7" w:rsidRPr="009B55B7">
        <w:t xml:space="preserve"> </w:t>
      </w:r>
      <w:r w:rsidR="009B55B7">
        <w:t>authorities</w:t>
      </w:r>
      <w:r w:rsidR="009B55B7" w:rsidRPr="009B55B7">
        <w:t xml:space="preserve"> </w:t>
      </w:r>
      <w:r w:rsidR="009B55B7">
        <w:t>relevant</w:t>
      </w:r>
      <w:r w:rsidR="009B55B7" w:rsidRPr="009B55B7">
        <w:t xml:space="preserve"> </w:t>
      </w:r>
      <w:r w:rsidR="009B55B7">
        <w:t>to</w:t>
      </w:r>
      <w:r w:rsidR="009B55B7" w:rsidRPr="009B55B7">
        <w:t xml:space="preserve"> </w:t>
      </w:r>
      <w:r w:rsidR="009B55B7">
        <w:t>each</w:t>
      </w:r>
      <w:r w:rsidR="009B55B7" w:rsidRPr="009B55B7">
        <w:t xml:space="preserve"> </w:t>
      </w:r>
      <w:r w:rsidR="0015723A" w:rsidRPr="0015723A">
        <w:t>of the</w:t>
      </w:r>
      <w:r w:rsidR="003714B0" w:rsidRPr="0015723A">
        <w:t xml:space="preserve"> </w:t>
      </w:r>
      <w:r w:rsidR="009B55B7" w:rsidRPr="0015723A">
        <w:t>proceeding</w:t>
      </w:r>
      <w:r w:rsidR="003714B0" w:rsidRPr="0015723A">
        <w:t>s</w:t>
      </w:r>
      <w:r>
        <w:t>.</w:t>
      </w:r>
    </w:p>
    <w:p w:rsidR="009B55B7" w:rsidRPr="0015723A" w:rsidRDefault="00FD45E8" w:rsidP="00CD1724">
      <w:pPr>
        <w:pStyle w:val="ListNo2"/>
        <w:numPr>
          <w:ilvl w:val="1"/>
          <w:numId w:val="34"/>
        </w:numPr>
      </w:pPr>
      <w:r>
        <w:t>D</w:t>
      </w:r>
      <w:r w:rsidR="009B55B7" w:rsidRPr="0015723A">
        <w:t>uplicated costs associated with dealing with notices to be issued to group members in two different proceedings, rather than one</w:t>
      </w:r>
      <w:r w:rsidR="001A6B6B">
        <w:t xml:space="preserve"> set of</w:t>
      </w:r>
      <w:r w:rsidR="009B55B7" w:rsidRPr="0015723A">
        <w:t xml:space="preserve"> proceeding</w:t>
      </w:r>
      <w:r w:rsidR="001A6B6B">
        <w:t>s</w:t>
      </w:r>
      <w:r>
        <w:t>.</w:t>
      </w:r>
    </w:p>
    <w:p w:rsidR="009B55B7" w:rsidRDefault="00FD45E8" w:rsidP="00CD1724">
      <w:pPr>
        <w:pStyle w:val="ListNo2"/>
        <w:numPr>
          <w:ilvl w:val="1"/>
          <w:numId w:val="34"/>
        </w:numPr>
      </w:pPr>
      <w:r>
        <w:t>D</w:t>
      </w:r>
      <w:r w:rsidR="009B55B7" w:rsidRPr="0015723A">
        <w:t>uplicated costs associated w</w:t>
      </w:r>
      <w:r w:rsidR="00A91DC1" w:rsidRPr="0015723A">
        <w:t xml:space="preserve">ith negotiating and finalising settlement </w:t>
      </w:r>
      <w:r w:rsidR="009B55B7" w:rsidRPr="0015723A">
        <w:t>(if required) for each</w:t>
      </w:r>
      <w:r w:rsidR="003714B0" w:rsidRPr="0015723A">
        <w:t xml:space="preserve"> of the</w:t>
      </w:r>
      <w:r w:rsidR="009B55B7" w:rsidRPr="0015723A">
        <w:t xml:space="preserve"> proceeding</w:t>
      </w:r>
      <w:r w:rsidR="003714B0" w:rsidRPr="0015723A">
        <w:t>s</w:t>
      </w:r>
      <w:r w:rsidR="009B55B7" w:rsidRPr="0015723A">
        <w:t xml:space="preserve"> and seeking</w:t>
      </w:r>
      <w:r w:rsidR="009B55B7" w:rsidRPr="009B55B7">
        <w:t xml:space="preserve"> court approval.</w:t>
      </w:r>
    </w:p>
    <w:p w:rsidR="009B55B7" w:rsidRDefault="009B55B7" w:rsidP="00330975">
      <w:pPr>
        <w:pStyle w:val="ParaNumbering"/>
      </w:pPr>
      <w:r>
        <w:t xml:space="preserve">The potential duplicated costs that the respondent may incur if both </w:t>
      </w:r>
      <w:r w:rsidR="0015723A">
        <w:t>proceedings</w:t>
      </w:r>
      <w:r>
        <w:t xml:space="preserve"> are allowed to </w:t>
      </w:r>
      <w:r w:rsidR="0015723A">
        <w:t>continue</w:t>
      </w:r>
      <w:r>
        <w:t xml:space="preserve"> (whether separately </w:t>
      </w:r>
      <w:r w:rsidRPr="00FD45E8">
        <w:t>or case managed together)</w:t>
      </w:r>
      <w:r w:rsidR="001A6B6B" w:rsidRPr="00FD45E8">
        <w:t xml:space="preserve">, </w:t>
      </w:r>
      <w:r w:rsidR="00107626" w:rsidRPr="00FD45E8">
        <w:t xml:space="preserve">and </w:t>
      </w:r>
      <w:r w:rsidR="001A6B6B" w:rsidRPr="00FD45E8">
        <w:t xml:space="preserve">absent any steps I might take to ameliorate </w:t>
      </w:r>
      <w:r w:rsidR="00107626" w:rsidRPr="00FD45E8">
        <w:t>such duplication</w:t>
      </w:r>
      <w:r w:rsidR="001A6B6B" w:rsidRPr="00FD45E8">
        <w:t>,</w:t>
      </w:r>
      <w:r w:rsidRPr="00FD45E8">
        <w:t xml:space="preserve"> has been</w:t>
      </w:r>
      <w:r>
        <w:t xml:space="preserve"> estimated by the respondent to run</w:t>
      </w:r>
      <w:r w:rsidR="0076378E">
        <w:t xml:space="preserve"> into</w:t>
      </w:r>
      <w:r>
        <w:t xml:space="preserve"> </w:t>
      </w:r>
      <w:r w:rsidR="00B94A44">
        <w:t>“</w:t>
      </w:r>
      <w:r>
        <w:t>tens of thousands of dollars, or many hundreds of thousands of dollars”.</w:t>
      </w:r>
    </w:p>
    <w:p w:rsidR="003A2638" w:rsidRDefault="003A2638" w:rsidP="00330975">
      <w:pPr>
        <w:pStyle w:val="ParaNumbering"/>
      </w:pPr>
      <w:r>
        <w:t>Now I accept that there is</w:t>
      </w:r>
      <w:r w:rsidR="00780498">
        <w:t xml:space="preserve"> likely to be some duplication and consequent additional</w:t>
      </w:r>
      <w:r>
        <w:t xml:space="preserve"> expense.  But I would make a number of other points.  First, even if I permanently stay one of the proceedings, there may be multiple proceedings (with corresponding duplication) in any </w:t>
      </w:r>
      <w:r>
        <w:lastRenderedPageBreak/>
        <w:t xml:space="preserve">event for the reasons that I have explained.  Second, I </w:t>
      </w:r>
      <w:r w:rsidR="001A6B6B">
        <w:t>propose to</w:t>
      </w:r>
      <w:r>
        <w:t xml:space="preserve"> put in place case management procedures to reduce such duplication of the type that I discuss later, without needing the blunt instrument of a permanent stay to address this concern.  Third, even if there is some duplication with consequent expense, this is only a matter to weigh in the balance.  And in the circumstances</w:t>
      </w:r>
      <w:r w:rsidR="001F473D">
        <w:t>,</w:t>
      </w:r>
      <w:r>
        <w:t xml:space="preserve"> it does not outweigh the corresponding detriment to over 1000 signed up group members who may be denied their choice of funder and </w:t>
      </w:r>
      <w:r w:rsidRPr="00780498">
        <w:t>lawyers</w:t>
      </w:r>
      <w:r w:rsidR="00780498" w:rsidRPr="00780498">
        <w:t xml:space="preserve"> if</w:t>
      </w:r>
      <w:r w:rsidRPr="00780498">
        <w:t xml:space="preserve"> </w:t>
      </w:r>
      <w:r w:rsidR="0015723A">
        <w:t xml:space="preserve">I were </w:t>
      </w:r>
      <w:r w:rsidR="00780498" w:rsidRPr="00780498">
        <w:t>to stay</w:t>
      </w:r>
      <w:r w:rsidRPr="00780498">
        <w:t>,</w:t>
      </w:r>
      <w:r>
        <w:t xml:space="preserve"> </w:t>
      </w:r>
      <w:r w:rsidRPr="00FD45E8">
        <w:t>for examp</w:t>
      </w:r>
      <w:r w:rsidR="001A6B6B" w:rsidRPr="00FD45E8">
        <w:t xml:space="preserve">le, the Basil proceedings; likewise there would be an analogous detriment </w:t>
      </w:r>
      <w:r w:rsidR="00FD45E8" w:rsidRPr="00FD45E8">
        <w:t>by staying</w:t>
      </w:r>
      <w:r w:rsidR="001A6B6B" w:rsidRPr="00FD45E8">
        <w:t xml:space="preserve"> the McKay proceedings </w:t>
      </w:r>
      <w:r w:rsidR="006F2557" w:rsidRPr="00FD45E8">
        <w:t>given</w:t>
      </w:r>
      <w:r w:rsidR="00FD45E8" w:rsidRPr="00FD45E8">
        <w:t xml:space="preserve"> </w:t>
      </w:r>
      <w:r w:rsidR="001A6B6B" w:rsidRPr="00FD45E8">
        <w:t xml:space="preserve">the over 1500 signed up group members in </w:t>
      </w:r>
      <w:r w:rsidR="00FD45E8" w:rsidRPr="00FD45E8">
        <w:t xml:space="preserve">those </w:t>
      </w:r>
      <w:r w:rsidR="001A6B6B" w:rsidRPr="00FD45E8">
        <w:t>proceedings.</w:t>
      </w:r>
    </w:p>
    <w:p w:rsidR="003A2638" w:rsidRDefault="003A2638" w:rsidP="00330975">
      <w:pPr>
        <w:pStyle w:val="ParaNumbering"/>
      </w:pPr>
      <w:r>
        <w:t>Further and more generally, no Australian authority requires me to nec</w:t>
      </w:r>
      <w:r w:rsidR="001F473D">
        <w:t>essarily make the choice of choo</w:t>
      </w:r>
      <w:r>
        <w:t xml:space="preserve">sing which proceedings are to be permitted to continue and which are to be permanently stayed in the circumstances where either there is no duplication of class membership or the duplication of class membership can be and is eliminated.  None of </w:t>
      </w:r>
      <w:r w:rsidRPr="009A209F">
        <w:rPr>
          <w:i/>
        </w:rPr>
        <w:t>Johnson Tiles</w:t>
      </w:r>
      <w:r>
        <w:t xml:space="preserve"> at [14], </w:t>
      </w:r>
      <w:r w:rsidRPr="009A209F">
        <w:rPr>
          <w:i/>
        </w:rPr>
        <w:t>Kirby</w:t>
      </w:r>
      <w:r>
        <w:t xml:space="preserve"> at [37] to [41] and </w:t>
      </w:r>
      <w:r w:rsidR="00EE108A" w:rsidRPr="00B24A47">
        <w:rPr>
          <w:i/>
        </w:rPr>
        <w:t>Smith v Australian Executor Trustees</w:t>
      </w:r>
      <w:r w:rsidR="00EE108A" w:rsidRPr="002F1CAE">
        <w:rPr>
          <w:i/>
        </w:rPr>
        <w:t xml:space="preserve"> Ltd</w:t>
      </w:r>
      <w:r w:rsidR="00EE108A">
        <w:rPr>
          <w:i/>
        </w:rPr>
        <w:t>; Creighton v Australian Executor Trustees Ltd</w:t>
      </w:r>
      <w:r w:rsidR="00EE108A">
        <w:t xml:space="preserve"> [2016] NSWSC 17</w:t>
      </w:r>
      <w:r>
        <w:t xml:space="preserve"> at [21], [25], [29] and [47] dictate that I am required to make such a choice in those circumstances.</w:t>
      </w:r>
    </w:p>
    <w:p w:rsidR="00643FA5" w:rsidRDefault="00643FA5" w:rsidP="00780498">
      <w:pPr>
        <w:pStyle w:val="ParaNumbering"/>
      </w:pPr>
      <w:r>
        <w:t>The respondent made other specific submissions against the option of class closure of one of the proceedings</w:t>
      </w:r>
      <w:r w:rsidR="00F70546">
        <w:t xml:space="preserve"> for the purposes of seeking to demonstrate that a</w:t>
      </w:r>
      <w:r w:rsidR="001A6B6B">
        <w:t xml:space="preserve"> permanent</w:t>
      </w:r>
      <w:r w:rsidR="00F70546">
        <w:t xml:space="preserve"> stay of one of the proceedings was the only option</w:t>
      </w:r>
      <w:r>
        <w:t xml:space="preserve">, but it is convenient to address these </w:t>
      </w:r>
      <w:r w:rsidR="001A6B6B">
        <w:t>submissions when I discuss the class closure option later.</w:t>
      </w:r>
    </w:p>
    <w:p w:rsidR="001E77B0" w:rsidRDefault="00951591" w:rsidP="00780498">
      <w:pPr>
        <w:pStyle w:val="ParaNumbering"/>
      </w:pPr>
      <w:r>
        <w:t>In some respects</w:t>
      </w:r>
      <w:r w:rsidR="00272505">
        <w:t xml:space="preserve"> t</w:t>
      </w:r>
      <w:r w:rsidR="001E77B0">
        <w:t>he respondent’s application to stay one of the proceedings is analogous to the Canadian carriage motion.  But there are differences.</w:t>
      </w:r>
      <w:r w:rsidR="00780498">
        <w:t xml:space="preserve">  </w:t>
      </w:r>
      <w:r w:rsidR="009A209F">
        <w:t>Class</w:t>
      </w:r>
      <w:r w:rsidR="001E77B0">
        <w:t xml:space="preserve"> actions</w:t>
      </w:r>
      <w:r w:rsidR="00272505">
        <w:t xml:space="preserve"> in Canada</w:t>
      </w:r>
      <w:r w:rsidR="001E77B0">
        <w:t xml:space="preserve"> are </w:t>
      </w:r>
      <w:r w:rsidR="009A209F">
        <w:t xml:space="preserve">usually </w:t>
      </w:r>
      <w:r w:rsidR="001E77B0">
        <w:t xml:space="preserve">filed in </w:t>
      </w:r>
      <w:r w:rsidR="00272505">
        <w:t>the</w:t>
      </w:r>
      <w:r w:rsidR="001E77B0">
        <w:t xml:space="preserve"> provinces</w:t>
      </w:r>
      <w:r w:rsidR="00F70546">
        <w:t>,</w:t>
      </w:r>
      <w:r w:rsidR="001E77B0">
        <w:t xml:space="preserve"> in their provincial </w:t>
      </w:r>
      <w:r w:rsidR="009A209F">
        <w:t xml:space="preserve">superior </w:t>
      </w:r>
      <w:r w:rsidR="001E77B0">
        <w:t>courts</w:t>
      </w:r>
      <w:r w:rsidR="00F70546">
        <w:t>,</w:t>
      </w:r>
      <w:r w:rsidR="001E77B0">
        <w:t xml:space="preserve"> rather than in the Federal Court of Canada.</w:t>
      </w:r>
      <w:r w:rsidR="00780498">
        <w:t xml:space="preserve">  </w:t>
      </w:r>
      <w:r w:rsidR="009A209F">
        <w:t>In</w:t>
      </w:r>
      <w:r w:rsidR="001E77B0">
        <w:t xml:space="preserve"> a province that is a common law </w:t>
      </w:r>
      <w:r w:rsidR="006452C5">
        <w:t>jurisdiction,</w:t>
      </w:r>
      <w:r w:rsidR="001E77B0">
        <w:t xml:space="preserve"> one or more of the competing class representatives may bring a carriage motion s</w:t>
      </w:r>
      <w:r w:rsidR="00B552C3">
        <w:t xml:space="preserve">eeking a stay of all the other </w:t>
      </w:r>
      <w:r w:rsidR="001E77B0">
        <w:t xml:space="preserve">present or future class actions relating to the same subject matter.  As Professor </w:t>
      </w:r>
      <w:proofErr w:type="spellStart"/>
      <w:r w:rsidR="001E77B0">
        <w:t>Morabito</w:t>
      </w:r>
      <w:proofErr w:type="spellEnd"/>
      <w:r w:rsidR="001E77B0">
        <w:t xml:space="preserve"> explains (</w:t>
      </w:r>
      <w:r w:rsidR="001E77B0" w:rsidRPr="00780498">
        <w:rPr>
          <w:i/>
        </w:rPr>
        <w:t xml:space="preserve">Clashing Classes Down Under </w:t>
      </w:r>
      <w:r w:rsidR="001E77B0">
        <w:t xml:space="preserve">at 282), the starting point is that there ought </w:t>
      </w:r>
      <w:r w:rsidR="00F04115">
        <w:t>not</w:t>
      </w:r>
      <w:r w:rsidR="009A209F">
        <w:t xml:space="preserve"> to</w:t>
      </w:r>
      <w:r w:rsidR="00F04115">
        <w:t xml:space="preserve"> be two class actions for the same class asserting the same cause of action</w:t>
      </w:r>
      <w:r w:rsidR="009A209F">
        <w:t xml:space="preserve"> (</w:t>
      </w:r>
      <w:proofErr w:type="spellStart"/>
      <w:r w:rsidR="009A209F" w:rsidRPr="00780498">
        <w:rPr>
          <w:i/>
        </w:rPr>
        <w:t>Vitapharm</w:t>
      </w:r>
      <w:proofErr w:type="spellEnd"/>
      <w:r w:rsidR="009A209F" w:rsidRPr="00780498">
        <w:rPr>
          <w:i/>
        </w:rPr>
        <w:t xml:space="preserve"> Canada Ltd v F. Hoffmann-La Roche Ltd</w:t>
      </w:r>
      <w:r w:rsidR="009A209F">
        <w:t xml:space="preserve"> [2000] OJ No</w:t>
      </w:r>
      <w:r w:rsidR="006452C5">
        <w:t>.</w:t>
      </w:r>
      <w:r w:rsidR="009A209F">
        <w:t xml:space="preserve"> 4594 at [14] per Cumming J, his Honour’s decision being the genesis for carriage motions)</w:t>
      </w:r>
      <w:r w:rsidR="00F04115">
        <w:t xml:space="preserve">.  </w:t>
      </w:r>
      <w:r w:rsidR="003D3C23">
        <w:t>But t</w:t>
      </w:r>
      <w:r w:rsidR="00F04115">
        <w:t xml:space="preserve">he carriage motion can only deal with competing class actions in the </w:t>
      </w:r>
      <w:r w:rsidR="00F04115" w:rsidRPr="00780498">
        <w:rPr>
          <w:i/>
        </w:rPr>
        <w:t>one</w:t>
      </w:r>
      <w:r w:rsidR="009A209F">
        <w:t xml:space="preserve"> province.  A carriage motion cannot deal with</w:t>
      </w:r>
      <w:r w:rsidR="00F04115">
        <w:t xml:space="preserve"> competition between</w:t>
      </w:r>
      <w:r w:rsidR="009A209F">
        <w:t xml:space="preserve"> class</w:t>
      </w:r>
      <w:r w:rsidR="00F04115">
        <w:t xml:space="preserve"> actions in different provinces.</w:t>
      </w:r>
      <w:r w:rsidR="003D3C23" w:rsidRPr="003D3C23">
        <w:t xml:space="preserve"> </w:t>
      </w:r>
      <w:r w:rsidR="003D3C23">
        <w:t xml:space="preserve"> Overlapping class actions filed in different provinces create </w:t>
      </w:r>
      <w:r w:rsidR="00300A88">
        <w:lastRenderedPageBreak/>
        <w:t>issue</w:t>
      </w:r>
      <w:r w:rsidR="009A209F">
        <w:t xml:space="preserve">s analogous to </w:t>
      </w:r>
      <w:r w:rsidR="003D3C23">
        <w:t xml:space="preserve">overlapping class actions in the </w:t>
      </w:r>
      <w:r>
        <w:t xml:space="preserve">Federal Court of Australia and </w:t>
      </w:r>
      <w:r w:rsidR="009A209F">
        <w:t>say the Supreme Court of Victoria</w:t>
      </w:r>
      <w:r w:rsidR="00780498">
        <w:t>,</w:t>
      </w:r>
      <w:r w:rsidR="009A209F">
        <w:t xml:space="preserve"> with</w:t>
      </w:r>
      <w:r w:rsidR="003D3C23">
        <w:t xml:space="preserve"> cross-vesting legislation </w:t>
      </w:r>
      <w:r w:rsidR="009A209F">
        <w:t>being no adequate</w:t>
      </w:r>
      <w:r w:rsidR="003D3C23">
        <w:t xml:space="preserve"> panacea.</w:t>
      </w:r>
      <w:r w:rsidR="00300A88" w:rsidRPr="00300A88">
        <w:t xml:space="preserve"> </w:t>
      </w:r>
      <w:r w:rsidR="00300A88">
        <w:t xml:space="preserve"> But</w:t>
      </w:r>
      <w:r w:rsidR="001A6B6B">
        <w:t xml:space="preserve"> in any event,</w:t>
      </w:r>
      <w:r w:rsidR="00300A88">
        <w:t xml:space="preserve"> </w:t>
      </w:r>
      <w:r w:rsidR="00300A88" w:rsidRPr="00780498">
        <w:rPr>
          <w:i/>
        </w:rPr>
        <w:t>non-overlapping</w:t>
      </w:r>
      <w:r w:rsidR="00300A88">
        <w:t xml:space="preserve"> class actions filed in different provinces are not perceived to give rise to any valid objection per se (</w:t>
      </w:r>
      <w:proofErr w:type="spellStart"/>
      <w:r w:rsidR="00300A88" w:rsidRPr="00780498">
        <w:rPr>
          <w:i/>
        </w:rPr>
        <w:t>Tiboni</w:t>
      </w:r>
      <w:proofErr w:type="spellEnd"/>
      <w:r w:rsidR="00300A88" w:rsidRPr="00780498">
        <w:rPr>
          <w:i/>
        </w:rPr>
        <w:t xml:space="preserve"> v Merck </w:t>
      </w:r>
      <w:proofErr w:type="spellStart"/>
      <w:r w:rsidR="00300A88" w:rsidRPr="00780498">
        <w:rPr>
          <w:i/>
        </w:rPr>
        <w:t>Frosst</w:t>
      </w:r>
      <w:proofErr w:type="spellEnd"/>
      <w:r w:rsidR="00300A88" w:rsidRPr="00780498">
        <w:rPr>
          <w:i/>
        </w:rPr>
        <w:t xml:space="preserve"> Canada Ltd</w:t>
      </w:r>
      <w:r w:rsidR="00300A88">
        <w:t xml:space="preserve"> (2008) 295 DLR (4th) 32 at [40] per </w:t>
      </w:r>
      <w:proofErr w:type="spellStart"/>
      <w:r w:rsidR="00300A88">
        <w:t>Cullity</w:t>
      </w:r>
      <w:proofErr w:type="spellEnd"/>
      <w:r w:rsidR="00300A88">
        <w:t xml:space="preserve"> J).</w:t>
      </w:r>
    </w:p>
    <w:p w:rsidR="00086377" w:rsidRDefault="009A209F" w:rsidP="00330975">
      <w:pPr>
        <w:pStyle w:val="ParaNumbering"/>
      </w:pPr>
      <w:r>
        <w:t>It</w:t>
      </w:r>
      <w:r w:rsidR="00F04115">
        <w:t xml:space="preserve"> is important to appreciate that in Canada one has certification procedure</w:t>
      </w:r>
      <w:r w:rsidR="00510949">
        <w:t>s</w:t>
      </w:r>
      <w:r>
        <w:t xml:space="preserve">.  A </w:t>
      </w:r>
      <w:r w:rsidR="003D3C23">
        <w:t>carriage motion</w:t>
      </w:r>
      <w:r>
        <w:t xml:space="preserve"> (or its analogue, a stay application)</w:t>
      </w:r>
      <w:r w:rsidR="003D3C23">
        <w:t xml:space="preserve"> may be agitated either before or after certification</w:t>
      </w:r>
      <w:r w:rsidR="003D3C23" w:rsidRPr="00DA124B">
        <w:t>.</w:t>
      </w:r>
      <w:r w:rsidR="00DA124B" w:rsidRPr="00DA124B">
        <w:t xml:space="preserve">  </w:t>
      </w:r>
      <w:r w:rsidR="004564CC" w:rsidRPr="00DA124B">
        <w:t>There have</w:t>
      </w:r>
      <w:r w:rsidR="004564CC">
        <w:t xml:space="preserve"> been instances w</w:t>
      </w:r>
      <w:r>
        <w:t>here before a carriage motion has been</w:t>
      </w:r>
      <w:r w:rsidR="004564CC">
        <w:t xml:space="preserve"> heard, the party resisting such a motion</w:t>
      </w:r>
      <w:r>
        <w:t xml:space="preserve"> has raised a</w:t>
      </w:r>
      <w:r w:rsidR="004564CC">
        <w:t xml:space="preserve"> preliminary issue as to whether the </w:t>
      </w:r>
      <w:r w:rsidR="006452C5">
        <w:t>provincial c</w:t>
      </w:r>
      <w:r w:rsidR="004564CC">
        <w:t>ourt has jurisdiction to grant</w:t>
      </w:r>
      <w:r w:rsidR="0031216E">
        <w:t xml:space="preserve"> or deny</w:t>
      </w:r>
      <w:r w:rsidR="004564CC">
        <w:t xml:space="preserve"> carriage before certification</w:t>
      </w:r>
      <w:r w:rsidR="009A026B">
        <w:t xml:space="preserve"> (see </w:t>
      </w:r>
      <w:r w:rsidR="009A026B" w:rsidRPr="00464A68">
        <w:rPr>
          <w:i/>
        </w:rPr>
        <w:t xml:space="preserve">Nelson v Merck </w:t>
      </w:r>
      <w:proofErr w:type="spellStart"/>
      <w:r w:rsidR="009A026B" w:rsidRPr="00464A68">
        <w:rPr>
          <w:i/>
        </w:rPr>
        <w:t>Frosst</w:t>
      </w:r>
      <w:proofErr w:type="spellEnd"/>
      <w:r w:rsidR="009A026B" w:rsidRPr="00464A68">
        <w:rPr>
          <w:i/>
        </w:rPr>
        <w:t xml:space="preserve"> Canada Ltd</w:t>
      </w:r>
      <w:r w:rsidR="009A026B">
        <w:t xml:space="preserve"> (2006) 61 BCLR (4th) 157, </w:t>
      </w:r>
      <w:r w:rsidR="009A026B" w:rsidRPr="00464A68">
        <w:rPr>
          <w:i/>
        </w:rPr>
        <w:t xml:space="preserve">Joel v Menu Foods </w:t>
      </w:r>
      <w:proofErr w:type="spellStart"/>
      <w:r w:rsidR="009A026B" w:rsidRPr="00464A68">
        <w:rPr>
          <w:i/>
        </w:rPr>
        <w:t>Genpar</w:t>
      </w:r>
      <w:proofErr w:type="spellEnd"/>
      <w:r w:rsidR="009A026B" w:rsidRPr="00464A68">
        <w:rPr>
          <w:i/>
        </w:rPr>
        <w:t xml:space="preserve"> Ltd</w:t>
      </w:r>
      <w:r w:rsidR="006F5A76">
        <w:t xml:space="preserve"> (2007) 78 BCLR (4th) 112, </w:t>
      </w:r>
      <w:proofErr w:type="spellStart"/>
      <w:r w:rsidR="009A026B" w:rsidRPr="009A026B">
        <w:rPr>
          <w:i/>
        </w:rPr>
        <w:t>Grasby</w:t>
      </w:r>
      <w:proofErr w:type="spellEnd"/>
      <w:r w:rsidR="009A026B" w:rsidRPr="009A026B">
        <w:rPr>
          <w:i/>
        </w:rPr>
        <w:t xml:space="preserve"> v Merck </w:t>
      </w:r>
      <w:proofErr w:type="spellStart"/>
      <w:r w:rsidR="009A026B" w:rsidRPr="009A026B">
        <w:rPr>
          <w:i/>
        </w:rPr>
        <w:t>Frosst</w:t>
      </w:r>
      <w:proofErr w:type="spellEnd"/>
      <w:r w:rsidR="009A026B" w:rsidRPr="009A026B">
        <w:rPr>
          <w:i/>
        </w:rPr>
        <w:t xml:space="preserve"> Canada </w:t>
      </w:r>
      <w:r w:rsidR="009A026B" w:rsidRPr="00062DE4">
        <w:rPr>
          <w:i/>
        </w:rPr>
        <w:t>Ltd</w:t>
      </w:r>
      <w:r w:rsidR="009A026B" w:rsidRPr="00062DE4">
        <w:t xml:space="preserve"> </w:t>
      </w:r>
      <w:r w:rsidR="00062DE4" w:rsidRPr="00062DE4">
        <w:t xml:space="preserve">(2007) 216 </w:t>
      </w:r>
      <w:proofErr w:type="spellStart"/>
      <w:r w:rsidR="00062DE4" w:rsidRPr="00062DE4">
        <w:t>ManR</w:t>
      </w:r>
      <w:proofErr w:type="spellEnd"/>
      <w:r w:rsidR="00062DE4" w:rsidRPr="00062DE4">
        <w:t xml:space="preserve"> (2d) 117.  </w:t>
      </w:r>
      <w:r w:rsidR="004564CC" w:rsidRPr="00062DE4">
        <w:t>It</w:t>
      </w:r>
      <w:r w:rsidR="004564CC">
        <w:t xml:space="preserve"> appears that a c</w:t>
      </w:r>
      <w:r w:rsidR="00DA124B">
        <w:t xml:space="preserve">arriage motion sourced from </w:t>
      </w:r>
      <w:r w:rsidR="004564CC">
        <w:t xml:space="preserve">provincial class proceedings </w:t>
      </w:r>
      <w:r w:rsidR="004564CC" w:rsidRPr="00F70546">
        <w:t>legislation</w:t>
      </w:r>
      <w:r w:rsidRPr="00F70546">
        <w:t xml:space="preserve"> (for example</w:t>
      </w:r>
      <w:r w:rsidR="00544E9F" w:rsidRPr="00F70546">
        <w:t>, in Ontario</w:t>
      </w:r>
      <w:r w:rsidRPr="00F70546">
        <w:t xml:space="preserve"> </w:t>
      </w:r>
      <w:proofErr w:type="spellStart"/>
      <w:r w:rsidRPr="00F70546">
        <w:t>ss</w:t>
      </w:r>
      <w:proofErr w:type="spellEnd"/>
      <w:r w:rsidRPr="00F70546">
        <w:t xml:space="preserve"> 12 and 13 of the </w:t>
      </w:r>
      <w:r w:rsidR="00544E9F" w:rsidRPr="00F70546">
        <w:rPr>
          <w:i/>
        </w:rPr>
        <w:t>Class Proceedings Act</w:t>
      </w:r>
      <w:r w:rsidRPr="00F70546">
        <w:t>,</w:t>
      </w:r>
      <w:r w:rsidR="00544E9F" w:rsidRPr="00F70546">
        <w:t xml:space="preserve"> SO 1992, c 6</w:t>
      </w:r>
      <w:r w:rsidR="00FD4B61" w:rsidRPr="00F70546">
        <w:t xml:space="preserve">, but </w:t>
      </w:r>
      <w:r w:rsidRPr="00F70546">
        <w:t>s 13</w:t>
      </w:r>
      <w:r>
        <w:t xml:space="preserve"> having no</w:t>
      </w:r>
      <w:r w:rsidR="006452C5">
        <w:t xml:space="preserve"> direct</w:t>
      </w:r>
      <w:r>
        <w:t xml:space="preserve"> Part IVA analogue) can be granted by a c</w:t>
      </w:r>
      <w:r w:rsidR="004564CC">
        <w:t xml:space="preserve">ourt </w:t>
      </w:r>
      <w:r w:rsidR="0031216E">
        <w:t xml:space="preserve">only </w:t>
      </w:r>
      <w:r w:rsidR="004564CC">
        <w:t>after certification</w:t>
      </w:r>
      <w:r w:rsidR="00464A68">
        <w:t xml:space="preserve"> (</w:t>
      </w:r>
      <w:r w:rsidR="009A026B">
        <w:rPr>
          <w:i/>
        </w:rPr>
        <w:t xml:space="preserve">Nelson </w:t>
      </w:r>
      <w:r w:rsidR="009A026B">
        <w:t>at [29]</w:t>
      </w:r>
      <w:r w:rsidR="00464A68">
        <w:t>)</w:t>
      </w:r>
      <w:r w:rsidR="004564CC">
        <w:t xml:space="preserve">.  </w:t>
      </w:r>
      <w:r w:rsidR="00DA124B">
        <w:t>Under</w:t>
      </w:r>
      <w:r w:rsidR="009A026B">
        <w:t xml:space="preserve"> provincial class proceedings legislation,</w:t>
      </w:r>
      <w:r w:rsidR="0031216E">
        <w:t xml:space="preserve"> </w:t>
      </w:r>
      <w:r w:rsidR="004564CC">
        <w:t xml:space="preserve">a carriage motion </w:t>
      </w:r>
      <w:r w:rsidR="009A026B">
        <w:t>is</w:t>
      </w:r>
      <w:r w:rsidR="004564CC">
        <w:t xml:space="preserve"> granted in respect of a “class proceeding”, that is, a proceeding that has been certified</w:t>
      </w:r>
      <w:r w:rsidR="009A026B">
        <w:t xml:space="preserve"> (</w:t>
      </w:r>
      <w:r w:rsidR="009A026B" w:rsidRPr="009776F8">
        <w:rPr>
          <w:i/>
        </w:rPr>
        <w:t>Nelson</w:t>
      </w:r>
      <w:r w:rsidR="009A026B">
        <w:t xml:space="preserve"> at [20] to [22]</w:t>
      </w:r>
      <w:r w:rsidR="009776F8">
        <w:t xml:space="preserve"> and </w:t>
      </w:r>
      <w:proofErr w:type="spellStart"/>
      <w:r w:rsidR="009776F8" w:rsidRPr="009776F8">
        <w:rPr>
          <w:i/>
        </w:rPr>
        <w:t>Grasby</w:t>
      </w:r>
      <w:proofErr w:type="spellEnd"/>
      <w:r w:rsidR="009776F8">
        <w:t xml:space="preserve"> at [15] to [16])</w:t>
      </w:r>
      <w:r w:rsidR="004564CC">
        <w:t xml:space="preserve">.  </w:t>
      </w:r>
      <w:r w:rsidR="00A6425A">
        <w:t>As such, t</w:t>
      </w:r>
      <w:r w:rsidR="004564CC">
        <w:t>he source of the power to so grant derives from the relevant class proceedings legislation</w:t>
      </w:r>
      <w:r w:rsidR="00780498">
        <w:t>,</w:t>
      </w:r>
      <w:r w:rsidR="00B37F42">
        <w:t xml:space="preserve"> but only after certification</w:t>
      </w:r>
      <w:r w:rsidR="004564CC">
        <w:t xml:space="preserve">.  </w:t>
      </w:r>
      <w:r w:rsidR="00DA124B">
        <w:t>But b</w:t>
      </w:r>
      <w:r w:rsidR="00B37F42">
        <w:t>efore certification, the c</w:t>
      </w:r>
      <w:r w:rsidR="004564CC">
        <w:t>ourt has the power to stay founded in its inherent jurisdiction</w:t>
      </w:r>
      <w:r w:rsidR="00464A68">
        <w:t xml:space="preserve"> (</w:t>
      </w:r>
      <w:r w:rsidR="00464A68" w:rsidRPr="00464A68">
        <w:rPr>
          <w:i/>
        </w:rPr>
        <w:t>Joel</w:t>
      </w:r>
      <w:r w:rsidR="00464A68">
        <w:t xml:space="preserve"> </w:t>
      </w:r>
      <w:r w:rsidR="009A026B">
        <w:t>at [38]</w:t>
      </w:r>
      <w:r w:rsidR="009776F8">
        <w:t xml:space="preserve">, </w:t>
      </w:r>
      <w:r w:rsidR="00464A68" w:rsidRPr="00464A68">
        <w:rPr>
          <w:i/>
        </w:rPr>
        <w:t>Nelson</w:t>
      </w:r>
      <w:r w:rsidR="00DA124B">
        <w:t xml:space="preserve"> at</w:t>
      </w:r>
      <w:r w:rsidR="009A026B">
        <w:t xml:space="preserve"> [29], </w:t>
      </w:r>
      <w:proofErr w:type="spellStart"/>
      <w:r w:rsidR="009A026B" w:rsidRPr="009A026B">
        <w:rPr>
          <w:i/>
        </w:rPr>
        <w:t>Grasby</w:t>
      </w:r>
      <w:proofErr w:type="spellEnd"/>
      <w:r w:rsidR="009A026B">
        <w:t xml:space="preserve"> at [25]</w:t>
      </w:r>
      <w:r w:rsidR="00464A68">
        <w:t>)</w:t>
      </w:r>
      <w:r w:rsidR="00DA124B">
        <w:t>; such inherent jurisdiction does not require certification as a pre-condition to its exercise</w:t>
      </w:r>
      <w:r w:rsidR="00B37F42">
        <w:t xml:space="preserve">.  </w:t>
      </w:r>
      <w:r w:rsidR="00086377">
        <w:t xml:space="preserve">In substance, the </w:t>
      </w:r>
      <w:r w:rsidR="00B37F42">
        <w:t>c</w:t>
      </w:r>
      <w:r w:rsidR="00086377">
        <w:t>ourt has the power to permanently stay competing</w:t>
      </w:r>
      <w:r w:rsidR="00B37F42">
        <w:t xml:space="preserve"> potential or actual</w:t>
      </w:r>
      <w:r w:rsidR="00086377">
        <w:t xml:space="preserve"> class proceedings before or after certification.</w:t>
      </w:r>
    </w:p>
    <w:p w:rsidR="00F04115" w:rsidRDefault="0031216E" w:rsidP="00086377">
      <w:pPr>
        <w:pStyle w:val="ParaNumbering"/>
      </w:pPr>
      <w:r>
        <w:t>If</w:t>
      </w:r>
      <w:r w:rsidR="00086377">
        <w:t xml:space="preserve"> a stay is grant</w:t>
      </w:r>
      <w:r w:rsidR="00B37F42">
        <w:t>ed prior to certification, the c</w:t>
      </w:r>
      <w:r w:rsidR="00086377">
        <w:t xml:space="preserve">ourt’s reasons for doing so </w:t>
      </w:r>
      <w:r w:rsidR="00B37F42">
        <w:t>may</w:t>
      </w:r>
      <w:r>
        <w:t xml:space="preserve"> be</w:t>
      </w:r>
      <w:r w:rsidR="00086377">
        <w:t xml:space="preserve"> to avoid </w:t>
      </w:r>
      <w:r w:rsidR="00B37F42">
        <w:t xml:space="preserve">competing </w:t>
      </w:r>
      <w:r w:rsidR="00086377">
        <w:t>certification proceedings which may be lengthy and costly</w:t>
      </w:r>
      <w:r w:rsidR="00464A68">
        <w:t xml:space="preserve"> (see, for example, </w:t>
      </w:r>
      <w:r w:rsidR="00464A68" w:rsidRPr="00464A68">
        <w:rPr>
          <w:i/>
        </w:rPr>
        <w:t xml:space="preserve">Giles v Westminster Savings Credit Union </w:t>
      </w:r>
      <w:r w:rsidR="00464A68">
        <w:t>[2002] BCJ No. 2567; 2002 BCSC 1583</w:t>
      </w:r>
      <w:r w:rsidR="009776F8">
        <w:t xml:space="preserve"> at [46</w:t>
      </w:r>
      <w:r w:rsidR="00B37F42">
        <w:t>]).  Generally, the factors relevant to pre-certification stay applications and true carriage motions overlap.</w:t>
      </w:r>
    </w:p>
    <w:p w:rsidR="003D3C23" w:rsidRDefault="00B37F42" w:rsidP="00330975">
      <w:pPr>
        <w:pStyle w:val="ParaNumbering"/>
      </w:pPr>
      <w:r>
        <w:t>Further,</w:t>
      </w:r>
      <w:r w:rsidR="00F04115">
        <w:t xml:space="preserve"> </w:t>
      </w:r>
      <w:r w:rsidR="003D3C23">
        <w:t>a carriage motion is usually brought by a representative applicant rather than the respondent.</w:t>
      </w:r>
    </w:p>
    <w:p w:rsidR="00F04115" w:rsidRDefault="00B37F42" w:rsidP="00330975">
      <w:pPr>
        <w:pStyle w:val="ParaNumbering"/>
      </w:pPr>
      <w:r>
        <w:t>Further,</w:t>
      </w:r>
      <w:r w:rsidR="00F04115">
        <w:t xml:space="preserve"> on a carriage motion, the predominant theme determining the choice of action is what is in the best interests of all c</w:t>
      </w:r>
      <w:r w:rsidR="003D3C23">
        <w:t>lass members</w:t>
      </w:r>
      <w:r w:rsidR="00300A88">
        <w:t>,</w:t>
      </w:r>
      <w:r w:rsidR="003D3C23">
        <w:t xml:space="preserve"> although </w:t>
      </w:r>
      <w:r w:rsidR="003D3C23" w:rsidRPr="003D3C23">
        <w:t xml:space="preserve">fairness </w:t>
      </w:r>
      <w:r w:rsidR="00F04115" w:rsidRPr="003D3C23">
        <w:t>to the</w:t>
      </w:r>
      <w:r w:rsidR="00F04115">
        <w:t xml:space="preserve"> respondent is </w:t>
      </w:r>
      <w:r w:rsidR="00300A88">
        <w:t xml:space="preserve">a </w:t>
      </w:r>
      <w:r w:rsidR="00300A88">
        <w:lastRenderedPageBreak/>
        <w:t>consideration</w:t>
      </w:r>
      <w:r>
        <w:t xml:space="preserve"> (</w:t>
      </w:r>
      <w:r w:rsidRPr="007B030E">
        <w:rPr>
          <w:i/>
        </w:rPr>
        <w:t>L</w:t>
      </w:r>
      <w:r w:rsidR="007B030E" w:rsidRPr="007B030E">
        <w:rPr>
          <w:i/>
        </w:rPr>
        <w:t xml:space="preserve">ocking v </w:t>
      </w:r>
      <w:proofErr w:type="spellStart"/>
      <w:r w:rsidR="007B030E" w:rsidRPr="007B030E">
        <w:rPr>
          <w:i/>
        </w:rPr>
        <w:t>Armtec</w:t>
      </w:r>
      <w:proofErr w:type="spellEnd"/>
      <w:r w:rsidR="007B030E" w:rsidRPr="007B030E">
        <w:rPr>
          <w:i/>
        </w:rPr>
        <w:t xml:space="preserve"> Infrastructure </w:t>
      </w:r>
      <w:proofErr w:type="spellStart"/>
      <w:r w:rsidR="007B030E" w:rsidRPr="007B030E">
        <w:rPr>
          <w:i/>
        </w:rPr>
        <w:t>Inc</w:t>
      </w:r>
      <w:proofErr w:type="spellEnd"/>
      <w:r w:rsidR="007B030E">
        <w:t xml:space="preserve"> </w:t>
      </w:r>
      <w:r>
        <w:t>2013 ONSC 331 at [7] and [8] p</w:t>
      </w:r>
      <w:r w:rsidR="007B030E">
        <w:t>er Mollo</w:t>
      </w:r>
      <w:r w:rsidR="00037A32">
        <w:t>y </w:t>
      </w:r>
      <w:r>
        <w:t>J)</w:t>
      </w:r>
      <w:r w:rsidR="00F04115">
        <w:t>.</w:t>
      </w:r>
      <w:r>
        <w:t xml:space="preserve">  The primary concern is to determine which of the competing actions is more likely to advance the interests of the class (</w:t>
      </w:r>
      <w:proofErr w:type="spellStart"/>
      <w:r w:rsidR="00565AD3" w:rsidRPr="00157399">
        <w:rPr>
          <w:i/>
        </w:rPr>
        <w:t>Mancinelli</w:t>
      </w:r>
      <w:proofErr w:type="spellEnd"/>
      <w:r w:rsidR="00565AD3" w:rsidRPr="00157399">
        <w:rPr>
          <w:i/>
        </w:rPr>
        <w:t xml:space="preserve"> v Barrick Gold Corporation</w:t>
      </w:r>
      <w:r w:rsidR="00565AD3">
        <w:t xml:space="preserve"> (2015) 126 OR (3d) 296 </w:t>
      </w:r>
      <w:r w:rsidR="007B030E">
        <w:t>at [18] per Harvison You</w:t>
      </w:r>
      <w:r>
        <w:t>ng J).</w:t>
      </w:r>
      <w:r w:rsidR="00F04115">
        <w:t xml:space="preserve">  The relevant factors</w:t>
      </w:r>
      <w:r>
        <w:t xml:space="preserve"> to be considered and balanced in a qualitative appraisal</w:t>
      </w:r>
      <w:r w:rsidR="00F04115">
        <w:t xml:space="preserve"> include (</w:t>
      </w:r>
      <w:r w:rsidR="00F04115" w:rsidRPr="00F04115">
        <w:rPr>
          <w:i/>
        </w:rPr>
        <w:t xml:space="preserve">Sharma v </w:t>
      </w:r>
      <w:proofErr w:type="spellStart"/>
      <w:r w:rsidR="00F04115" w:rsidRPr="00F04115">
        <w:rPr>
          <w:i/>
        </w:rPr>
        <w:t>Timminco</w:t>
      </w:r>
      <w:proofErr w:type="spellEnd"/>
      <w:r w:rsidR="00F04115" w:rsidRPr="00F04115">
        <w:rPr>
          <w:i/>
        </w:rPr>
        <w:t xml:space="preserve"> Ltd</w:t>
      </w:r>
      <w:r w:rsidR="00F04115">
        <w:t xml:space="preserve"> (2009) 99 OR (3d) 260 at [17] per </w:t>
      </w:r>
      <w:proofErr w:type="spellStart"/>
      <w:r w:rsidR="00F04115">
        <w:t>Perell</w:t>
      </w:r>
      <w:proofErr w:type="spellEnd"/>
      <w:r w:rsidR="00F04115">
        <w:t xml:space="preserve"> J</w:t>
      </w:r>
      <w:r>
        <w:t xml:space="preserve"> referring to </w:t>
      </w:r>
      <w:proofErr w:type="spellStart"/>
      <w:r w:rsidRPr="00B37F42">
        <w:rPr>
          <w:i/>
        </w:rPr>
        <w:t>Vitapharm</w:t>
      </w:r>
      <w:proofErr w:type="spellEnd"/>
      <w:r>
        <w:t xml:space="preserve"> at [49]</w:t>
      </w:r>
      <w:r w:rsidR="00F04115">
        <w:t>):</w:t>
      </w:r>
    </w:p>
    <w:p w:rsidR="00F04115" w:rsidRDefault="00510949" w:rsidP="00CD1724">
      <w:pPr>
        <w:pStyle w:val="ListNo2"/>
        <w:numPr>
          <w:ilvl w:val="1"/>
          <w:numId w:val="31"/>
        </w:numPr>
      </w:pPr>
      <w:r>
        <w:t>t</w:t>
      </w:r>
      <w:r w:rsidR="00F04115">
        <w:t>he nature and scope of the causes of action advanced;</w:t>
      </w:r>
    </w:p>
    <w:p w:rsidR="00F04115" w:rsidRDefault="00510949" w:rsidP="00CD1724">
      <w:pPr>
        <w:pStyle w:val="ListNo2"/>
        <w:numPr>
          <w:ilvl w:val="1"/>
          <w:numId w:val="31"/>
        </w:numPr>
      </w:pPr>
      <w:r>
        <w:t>t</w:t>
      </w:r>
      <w:r w:rsidR="00F04115">
        <w:t>he theories advanced by counsel as being supportive of the claims advanced;</w:t>
      </w:r>
    </w:p>
    <w:p w:rsidR="00F04115" w:rsidRDefault="00510949" w:rsidP="00CD1724">
      <w:pPr>
        <w:pStyle w:val="ListNo2"/>
        <w:numPr>
          <w:ilvl w:val="1"/>
          <w:numId w:val="31"/>
        </w:numPr>
      </w:pPr>
      <w:r>
        <w:t>t</w:t>
      </w:r>
      <w:r w:rsidR="00F04115">
        <w:t>he state of each class action including preparation;</w:t>
      </w:r>
    </w:p>
    <w:p w:rsidR="00F04115" w:rsidRDefault="00510949" w:rsidP="00CD1724">
      <w:pPr>
        <w:pStyle w:val="ListNo2"/>
        <w:numPr>
          <w:ilvl w:val="1"/>
          <w:numId w:val="31"/>
        </w:numPr>
      </w:pPr>
      <w:r>
        <w:t>t</w:t>
      </w:r>
      <w:r w:rsidR="00F04115">
        <w:t>he number, size and extent of involvement of the proposed representative applicant;</w:t>
      </w:r>
    </w:p>
    <w:p w:rsidR="00F04115" w:rsidRDefault="00510949" w:rsidP="00CD1724">
      <w:pPr>
        <w:pStyle w:val="ListNo2"/>
        <w:numPr>
          <w:ilvl w:val="1"/>
          <w:numId w:val="31"/>
        </w:numPr>
      </w:pPr>
      <w:r>
        <w:t>t</w:t>
      </w:r>
      <w:r w:rsidR="00F04115">
        <w:t>he relative priority of commencing the class action;</w:t>
      </w:r>
    </w:p>
    <w:p w:rsidR="00F04115" w:rsidRDefault="00510949" w:rsidP="00CD1724">
      <w:pPr>
        <w:pStyle w:val="ListNo2"/>
        <w:numPr>
          <w:ilvl w:val="1"/>
          <w:numId w:val="31"/>
        </w:numPr>
      </w:pPr>
      <w:r>
        <w:t>t</w:t>
      </w:r>
      <w:r w:rsidR="00F04115">
        <w:t>he re</w:t>
      </w:r>
      <w:r w:rsidR="00B37F42">
        <w:t xml:space="preserve">sources, experience and competence </w:t>
      </w:r>
      <w:r w:rsidR="00F04115">
        <w:t>of counsel;</w:t>
      </w:r>
    </w:p>
    <w:p w:rsidR="00F04115" w:rsidRDefault="00510949" w:rsidP="00CD1724">
      <w:pPr>
        <w:pStyle w:val="ListNo2"/>
        <w:numPr>
          <w:ilvl w:val="1"/>
          <w:numId w:val="31"/>
        </w:numPr>
      </w:pPr>
      <w:r>
        <w:t>t</w:t>
      </w:r>
      <w:r w:rsidR="00F04115">
        <w:t>he presence of any conflict of interest.</w:t>
      </w:r>
    </w:p>
    <w:p w:rsidR="00B37F42" w:rsidRDefault="00B37F42" w:rsidP="00050D6A">
      <w:pPr>
        <w:pStyle w:val="ParaNumbering"/>
      </w:pPr>
      <w:r>
        <w:t>I accept that the Canadian experience and analogue is informative in the present context.  But there is an important distinction.  Under Part IVA there is no certification process; represen</w:t>
      </w:r>
      <w:r w:rsidR="003F0033">
        <w:t>tative proceedings can be issued</w:t>
      </w:r>
      <w:r>
        <w:t xml:space="preserve"> as of right and </w:t>
      </w:r>
      <w:r w:rsidRPr="00062DE4">
        <w:t xml:space="preserve">continue, </w:t>
      </w:r>
      <w:r w:rsidR="00037A32" w:rsidRPr="00062DE4">
        <w:t>provided</w:t>
      </w:r>
      <w:r>
        <w:t xml:space="preserve"> that the conditions in </w:t>
      </w:r>
      <w:proofErr w:type="spellStart"/>
      <w:r>
        <w:t>ss</w:t>
      </w:r>
      <w:proofErr w:type="spellEnd"/>
      <w:r>
        <w:t xml:space="preserve"> 33C an</w:t>
      </w:r>
      <w:r w:rsidR="003F0033">
        <w:t>d</w:t>
      </w:r>
      <w:r>
        <w:t xml:space="preserve"> 33H are satisfied and subject to there later being no s 33N order.  But in the Canadian provinces, there is no such entitlement or presumption.  Accordingly, there is much greater freedom for a Canadian court in the </w:t>
      </w:r>
      <w:r w:rsidRPr="003F0033">
        <w:rPr>
          <w:i/>
        </w:rPr>
        <w:t>one</w:t>
      </w:r>
      <w:r>
        <w:t xml:space="preserve"> province pre-certification or during the certification process to choose which set of proceedings are to go forward and, accordingly, wh</w:t>
      </w:r>
      <w:r w:rsidR="001A6B6B">
        <w:t xml:space="preserve">ich others are to be precluded.  This greater flexibility is a manifestation of the reality that </w:t>
      </w:r>
      <w:r>
        <w:t xml:space="preserve">there is no entitlement for </w:t>
      </w:r>
      <w:r w:rsidRPr="003F0033">
        <w:rPr>
          <w:i/>
        </w:rPr>
        <w:t>any</w:t>
      </w:r>
      <w:r>
        <w:t xml:space="preserve"> proceeding to go forward as a class action until certification.  But in my context, both the Basil proceedings and the McKay proceedings are presumptively entitled to go forward, absent vexation, oppression or an abuse of power of which, as I have said, there is none.</w:t>
      </w:r>
      <w:r w:rsidR="004A1FC3">
        <w:t xml:space="preserve">  So, if </w:t>
      </w:r>
      <w:r w:rsidR="004A1FC3" w:rsidRPr="00780498">
        <w:t>one</w:t>
      </w:r>
      <w:r w:rsidR="001D3FBF" w:rsidRPr="00780498">
        <w:t xml:space="preserve"> </w:t>
      </w:r>
      <w:r w:rsidR="00780498" w:rsidRPr="00780498">
        <w:t>of the</w:t>
      </w:r>
      <w:r w:rsidR="004A1FC3" w:rsidRPr="00780498">
        <w:t xml:space="preserve"> proceeding</w:t>
      </w:r>
      <w:r w:rsidR="001D3FBF" w:rsidRPr="00780498">
        <w:t>s</w:t>
      </w:r>
      <w:r w:rsidR="004A1FC3" w:rsidRPr="00780498">
        <w:t xml:space="preserve"> is</w:t>
      </w:r>
      <w:r w:rsidR="004A1FC3">
        <w:t xml:space="preserve"> to be stayed (</w:t>
      </w:r>
      <w:proofErr w:type="spellStart"/>
      <w:r w:rsidR="004A1FC3">
        <w:t>ie</w:t>
      </w:r>
      <w:proofErr w:type="spellEnd"/>
      <w:r w:rsidR="004A1FC3">
        <w:t xml:space="preserve"> something is to be taken away from, say, the</w:t>
      </w:r>
      <w:r w:rsidR="006F2557">
        <w:t xml:space="preserve"> Basil applicant and the Basil </w:t>
      </w:r>
      <w:r w:rsidR="004A1FC3">
        <w:t>group members such that their otherwise entitlement to proceed is denied) some powerful and significant reason must be demonstrated.  But in the Canadian provincial approach concerning carriage motions or pre-certification stay applications, no otherwise entitlement to proceed as a class action is being denied.  There is no</w:t>
      </w:r>
      <w:r w:rsidR="00C34E6C">
        <w:t xml:space="preserve"> such</w:t>
      </w:r>
      <w:r w:rsidR="004A1FC3">
        <w:t xml:space="preserve"> entitlement until certification.  That being the case, there is much greater freedom and flexibility under the Canadian model to make what has </w:t>
      </w:r>
      <w:r w:rsidR="004A1FC3">
        <w:lastRenderedPageBreak/>
        <w:t>been described as</w:t>
      </w:r>
      <w:r w:rsidR="00C34E6C">
        <w:t xml:space="preserve"> so-called</w:t>
      </w:r>
      <w:r w:rsidR="004A1FC3">
        <w:t xml:space="preserve"> “hard choices” and to engage in what </w:t>
      </w:r>
      <w:r w:rsidR="00C34E6C">
        <w:t>judges of this Court</w:t>
      </w:r>
      <w:r w:rsidR="004A1FC3">
        <w:t xml:space="preserve"> have eschewed as “beauty parades”.</w:t>
      </w:r>
    </w:p>
    <w:p w:rsidR="004A1FC3" w:rsidRDefault="00C34E6C" w:rsidP="00050D6A">
      <w:pPr>
        <w:pStyle w:val="ParaNumbering"/>
      </w:pPr>
      <w:r>
        <w:t>But t</w:t>
      </w:r>
      <w:r w:rsidR="004A1FC3">
        <w:t xml:space="preserve">he Canadian practice is informative as to the considerations to apply if a choice is to be made.  Indeed, I have little difficulty in accepting a carriage motion </w:t>
      </w:r>
      <w:r>
        <w:t xml:space="preserve">analogue </w:t>
      </w:r>
      <w:r w:rsidR="004A1FC3">
        <w:t xml:space="preserve">in </w:t>
      </w:r>
      <w:r w:rsidR="00F70546">
        <w:t>a</w:t>
      </w:r>
      <w:r w:rsidR="004A1FC3">
        <w:t xml:space="preserve"> scenario where:</w:t>
      </w:r>
    </w:p>
    <w:p w:rsidR="004A1FC3" w:rsidRDefault="003F0033" w:rsidP="00CD1724">
      <w:pPr>
        <w:pStyle w:val="ListNo2"/>
        <w:numPr>
          <w:ilvl w:val="1"/>
          <w:numId w:val="40"/>
        </w:numPr>
      </w:pPr>
      <w:r>
        <w:t>n</w:t>
      </w:r>
      <w:r w:rsidR="00CD1724">
        <w:t>either of the two proceedings have a substantial number of group members</w:t>
      </w:r>
      <w:r w:rsidR="00C34E6C">
        <w:t xml:space="preserve"> signed up to funding agreements</w:t>
      </w:r>
      <w:r w:rsidR="00CD1724">
        <w:t>; or</w:t>
      </w:r>
    </w:p>
    <w:p w:rsidR="00CD1724" w:rsidRDefault="003F0033" w:rsidP="00CD1724">
      <w:pPr>
        <w:pStyle w:val="ListNo2"/>
        <w:numPr>
          <w:ilvl w:val="1"/>
          <w:numId w:val="40"/>
        </w:numPr>
      </w:pPr>
      <w:r>
        <w:t>o</w:t>
      </w:r>
      <w:r w:rsidR="00CD1724">
        <w:t xml:space="preserve">nly </w:t>
      </w:r>
      <w:r w:rsidR="00CD1724" w:rsidRPr="003F0033">
        <w:rPr>
          <w:i/>
        </w:rPr>
        <w:t>one</w:t>
      </w:r>
      <w:r w:rsidR="00CD1724">
        <w:t xml:space="preserve"> of the two proceedings has a substantial number of </w:t>
      </w:r>
      <w:r w:rsidR="00C34E6C">
        <w:t xml:space="preserve">such </w:t>
      </w:r>
      <w:r w:rsidR="00CD1724">
        <w:t>signed up group members.</w:t>
      </w:r>
    </w:p>
    <w:p w:rsidR="00050D6A" w:rsidRDefault="00CD1724" w:rsidP="00050D6A">
      <w:pPr>
        <w:pStyle w:val="ParaNumbering"/>
      </w:pPr>
      <w:r>
        <w:t xml:space="preserve">But </w:t>
      </w:r>
      <w:r w:rsidR="00C34E6C">
        <w:t>the context before me</w:t>
      </w:r>
      <w:r>
        <w:t xml:space="preserve"> does not involve either of these scenarios.  </w:t>
      </w:r>
      <w:r w:rsidR="00FA5802">
        <w:t>I am loathe to permanently stay one of the proceedings</w:t>
      </w:r>
      <w:r w:rsidR="00F70546">
        <w:t>,</w:t>
      </w:r>
      <w:r w:rsidR="00FA5802">
        <w:t xml:space="preserve"> a</w:t>
      </w:r>
      <w:r w:rsidR="00DA124B">
        <w:t>s to do so would substantially a</w:t>
      </w:r>
      <w:r w:rsidR="00FA5802">
        <w:t xml:space="preserve">ffect the contractual funding and retainer arrangements of over 1000 group members in whichever proceedings I stayed.  </w:t>
      </w:r>
      <w:r>
        <w:t>As best I can tell, no Canadian carriage motion c</w:t>
      </w:r>
      <w:r w:rsidR="00C34E6C">
        <w:t>ontext has had to deal with such a</w:t>
      </w:r>
      <w:r>
        <w:t xml:space="preserve"> scenario.  </w:t>
      </w:r>
      <w:r w:rsidR="00C34E6C">
        <w:t>Now b</w:t>
      </w:r>
      <w:r w:rsidR="00FA5802">
        <w:t>y this observation I am not seeking to emphasise any exaltation of the sanctity of contract</w:t>
      </w:r>
      <w:r w:rsidR="003307CE">
        <w:t>,</w:t>
      </w:r>
      <w:r w:rsidR="00FA5802">
        <w:t xml:space="preserve"> as any contractual arrangements are subject to any exercise of judicial power under s 33V (for example) in any event.  </w:t>
      </w:r>
      <w:r w:rsidR="00C34E6C">
        <w:t>But r</w:t>
      </w:r>
      <w:r w:rsidR="00FA5802">
        <w:t xml:space="preserve">ather, given that a very significant number of group members in either proceedings have made a choice </w:t>
      </w:r>
      <w:r w:rsidR="00DA124B">
        <w:t>as to</w:t>
      </w:r>
      <w:r w:rsidR="00FA5802">
        <w:t xml:space="preserve"> their funding and other arrangements, including sophisticated investors (for example, institutions), I am not inclined, by the stay of their proceedings, to p</w:t>
      </w:r>
      <w:r w:rsidR="00C34E6C">
        <w:t>resently deny them their choice</w:t>
      </w:r>
      <w:r w:rsidR="00FA5802">
        <w:t xml:space="preserve"> even if by the exercise of judicial power I can modify that choice at a later stage.  Of course,</w:t>
      </w:r>
      <w:r w:rsidR="00C34E6C">
        <w:t xml:space="preserve"> as I have said</w:t>
      </w:r>
      <w:r w:rsidR="006F2557">
        <w:t>,</w:t>
      </w:r>
      <w:r w:rsidR="00FA5802">
        <w:t xml:space="preserve"> if I stayed their proceedings they could opt out of the </w:t>
      </w:r>
      <w:r w:rsidR="003307CE" w:rsidRPr="00DA124B">
        <w:t>non-stayed</w:t>
      </w:r>
      <w:r w:rsidR="003307CE">
        <w:t xml:space="preserve"> </w:t>
      </w:r>
      <w:r w:rsidR="00FA5802">
        <w:t xml:space="preserve">proceedings going forward and then reissue as new individual proceedings or new representative proceedings, but this would </w:t>
      </w:r>
      <w:r w:rsidR="00C34E6C">
        <w:t>hardly be</w:t>
      </w:r>
      <w:r w:rsidR="00FA5802">
        <w:t xml:space="preserve"> adequate.</w:t>
      </w:r>
    </w:p>
    <w:p w:rsidR="00780498" w:rsidRDefault="00780498" w:rsidP="00050D6A">
      <w:pPr>
        <w:pStyle w:val="ParaNumbering"/>
      </w:pPr>
      <w:r>
        <w:t>L</w:t>
      </w:r>
      <w:r w:rsidR="00C34E6C">
        <w:t>et me address two other matters in the context of the permanent stay option.</w:t>
      </w:r>
    </w:p>
    <w:p w:rsidR="00CD1724" w:rsidRDefault="00780498" w:rsidP="00050D6A">
      <w:pPr>
        <w:pStyle w:val="ParaNumbering"/>
      </w:pPr>
      <w:r>
        <w:t>Given that the respondent</w:t>
      </w:r>
      <w:r w:rsidR="00C34E6C">
        <w:t xml:space="preserve"> has</w:t>
      </w:r>
      <w:r>
        <w:t xml:space="preserve"> placed considerable reliance upon </w:t>
      </w:r>
      <w:r w:rsidRPr="00780498">
        <w:rPr>
          <w:i/>
        </w:rPr>
        <w:t>Johnson Tiles</w:t>
      </w:r>
      <w:r>
        <w:t>, I should say something further about it.</w:t>
      </w:r>
      <w:r w:rsidR="00CD1724">
        <w:t xml:space="preserve">  First,</w:t>
      </w:r>
      <w:r w:rsidR="005A1BE4">
        <w:t xml:space="preserve"> it did not address the scenario of numerous group members in each of the proceedings</w:t>
      </w:r>
      <w:r>
        <w:t xml:space="preserve"> </w:t>
      </w:r>
      <w:r w:rsidRPr="00062DE4">
        <w:t>having</w:t>
      </w:r>
      <w:r w:rsidR="00037A32" w:rsidRPr="00062DE4">
        <w:t xml:space="preserve"> been</w:t>
      </w:r>
      <w:r w:rsidR="005A1BE4">
        <w:t xml:space="preserve"> signed up to funding agreements and retainers.  Second, the concept of closed classes being permissible under Part IVA had not yet been accepted at the time of </w:t>
      </w:r>
      <w:r w:rsidR="005A1BE4" w:rsidRPr="001D3FBF">
        <w:rPr>
          <w:i/>
        </w:rPr>
        <w:t>Johnson Tiles</w:t>
      </w:r>
      <w:r w:rsidR="005A1BE4">
        <w:t>.</w:t>
      </w:r>
      <w:r w:rsidR="00772040">
        <w:t xml:space="preserve">  Third, as </w:t>
      </w:r>
      <w:r w:rsidR="00772040" w:rsidRPr="001D3FBF">
        <w:rPr>
          <w:i/>
        </w:rPr>
        <w:t>Johnson Tiles</w:t>
      </w:r>
      <w:r w:rsidR="00772040">
        <w:t xml:space="preserve"> at [6] makes plain, consolidation had been agreed to as between the two main proceedings.  Fourth, Merkel J’s statement of general principle at [11] was unremarkable; but in my context we do not have </w:t>
      </w:r>
      <w:r w:rsidR="00772040">
        <w:lastRenderedPageBreak/>
        <w:t xml:space="preserve">multiple actions between the “same parties”.  Fifth, as the first sentence of [12] makes plain, the applications before his Honour proceeded on the basis of </w:t>
      </w:r>
      <w:r w:rsidR="00772040" w:rsidRPr="00772040">
        <w:rPr>
          <w:i/>
        </w:rPr>
        <w:t>concessions</w:t>
      </w:r>
      <w:r w:rsidR="00772040">
        <w:t xml:space="preserve"> made by senior counsel for the various applicants.  Sixth, at [16] his Honour accepted that overlapping representative proceedings were not of themselves vexatious and</w:t>
      </w:r>
      <w:r w:rsidR="007C49A0">
        <w:t xml:space="preserve"> oppressive.  Seventh, there were</w:t>
      </w:r>
      <w:r w:rsidR="00772040">
        <w:t xml:space="preserve"> some observations of </w:t>
      </w:r>
      <w:r w:rsidR="007C49A0">
        <w:t>his Honour suggesting that it was</w:t>
      </w:r>
      <w:r w:rsidR="00772040">
        <w:t xml:space="preserve"> incumbent upon the Court to choose which representative proceedings</w:t>
      </w:r>
      <w:r w:rsidR="007C49A0">
        <w:t xml:space="preserve"> were</w:t>
      </w:r>
      <w:r w:rsidR="00772040">
        <w:t xml:space="preserve"> to continue (see [14], [16], [64] and [74]).  But his Honour’s observations should not be </w:t>
      </w:r>
      <w:proofErr w:type="spellStart"/>
      <w:r w:rsidR="00772040">
        <w:t>decontextualised</w:t>
      </w:r>
      <w:proofErr w:type="spellEnd"/>
      <w:r w:rsidR="00772040">
        <w:t>.  His Honour at [64] contemplated that more than one</w:t>
      </w:r>
      <w:r w:rsidR="007C49A0">
        <w:t xml:space="preserve"> such proceedings</w:t>
      </w:r>
      <w:r w:rsidR="00772040">
        <w:t xml:space="preserve"> could proceed if it was in the interests of justice.  Further, his Honour never envisaged closed classes and more recent </w:t>
      </w:r>
      <w:r w:rsidR="00FE7BDF">
        <w:t>techniques for eliminating duplication</w:t>
      </w:r>
      <w:r w:rsidR="007C49A0">
        <w:t xml:space="preserve"> of group membership</w:t>
      </w:r>
      <w:r w:rsidR="00FE7BDF">
        <w:t xml:space="preserve">.  Moreover, later authority such as </w:t>
      </w:r>
      <w:r w:rsidR="00FE7BDF" w:rsidRPr="00880473">
        <w:rPr>
          <w:i/>
        </w:rPr>
        <w:t>Kirby</w:t>
      </w:r>
      <w:r w:rsidR="00FE7BDF">
        <w:t xml:space="preserve"> and </w:t>
      </w:r>
      <w:r w:rsidR="00FE7BDF" w:rsidRPr="00880473">
        <w:rPr>
          <w:i/>
        </w:rPr>
        <w:t>Smith</w:t>
      </w:r>
      <w:r w:rsidR="00FE7BDF">
        <w:t xml:space="preserve"> indicates that no choice need necessarily be made if duplication of class membership can be eliminated.  Finally, it must be said that the lens through which his Honour was </w:t>
      </w:r>
      <w:r w:rsidR="00FE7BDF" w:rsidRPr="00880473">
        <w:rPr>
          <w:i/>
        </w:rPr>
        <w:t>principally</w:t>
      </w:r>
      <w:r w:rsidR="00FE7BDF">
        <w:t xml:space="preserve"> addressing the questions before him concerned vexation and oppression to th</w:t>
      </w:r>
      <w:r w:rsidR="007C49A0">
        <w:t>e respondent.  Although there was</w:t>
      </w:r>
      <w:r w:rsidR="00FE7BDF">
        <w:t xml:space="preserve"> reference to Part IVA and the interests of group members, considerable emphasis was placed on the interests of the respondent.  </w:t>
      </w:r>
      <w:r w:rsidR="007C49A0">
        <w:t>But i</w:t>
      </w:r>
      <w:r w:rsidR="00FE7BDF">
        <w:t>f one shifts the emphasis</w:t>
      </w:r>
      <w:r w:rsidR="007C49A0">
        <w:t xml:space="preserve"> more</w:t>
      </w:r>
      <w:r w:rsidR="00FE7BDF">
        <w:t xml:space="preserve"> to the best interests of group members (and also considers that in each of the proceedings </w:t>
      </w:r>
      <w:r w:rsidR="00FE7BDF" w:rsidRPr="00780498">
        <w:t>before me</w:t>
      </w:r>
      <w:r w:rsidRPr="00780498">
        <w:t xml:space="preserve"> </w:t>
      </w:r>
      <w:r w:rsidR="00880473" w:rsidRPr="00780498">
        <w:t>the number of</w:t>
      </w:r>
      <w:r w:rsidR="00FE7BDF" w:rsidRPr="00780498">
        <w:t xml:space="preserve"> signed</w:t>
      </w:r>
      <w:r w:rsidR="00FE7BDF">
        <w:t xml:space="preserve"> up group members </w:t>
      </w:r>
      <w:r w:rsidR="00F70546">
        <w:t xml:space="preserve">is </w:t>
      </w:r>
      <w:r w:rsidR="00FE7BDF">
        <w:t>substantial), a different calculus is involved, particularly if group member duplication can be eliminated.</w:t>
      </w:r>
    </w:p>
    <w:p w:rsidR="00780498" w:rsidRDefault="00780498" w:rsidP="00050D6A">
      <w:pPr>
        <w:pStyle w:val="ParaNumbering"/>
      </w:pPr>
      <w:r>
        <w:t>Finally and for completeness, I should note</w:t>
      </w:r>
      <w:r w:rsidR="00F70546">
        <w:t xml:space="preserve"> that</w:t>
      </w:r>
      <w:r w:rsidR="0065245A">
        <w:t xml:space="preserve"> it has not seriously been contended before me that from the perspective of either applicant (or the groups they represe</w:t>
      </w:r>
      <w:r w:rsidR="000A1B20">
        <w:t xml:space="preserve">nt), the continuance of one of the proceedings will seriously prejudice the continuance of the other proceedings; </w:t>
      </w:r>
      <w:proofErr w:type="spellStart"/>
      <w:r w:rsidR="000A1B20">
        <w:t>cf</w:t>
      </w:r>
      <w:proofErr w:type="spellEnd"/>
      <w:r w:rsidR="000A1B20">
        <w:t xml:space="preserve"> </w:t>
      </w:r>
      <w:r w:rsidR="000A1B20" w:rsidRPr="00DA41C7">
        <w:rPr>
          <w:i/>
        </w:rPr>
        <w:t>Hassid v Queensland Bulk Water Supply Authority</w:t>
      </w:r>
      <w:r w:rsidR="000A1B20">
        <w:t xml:space="preserve"> [2017] NSWSC 599 at [31] and [32].  Problems of the type identified in </w:t>
      </w:r>
      <w:r w:rsidR="000A1B20" w:rsidRPr="00DA41C7">
        <w:rPr>
          <w:i/>
        </w:rPr>
        <w:t>Hassid</w:t>
      </w:r>
      <w:r w:rsidR="000A1B20">
        <w:t xml:space="preserve"> at [37] to [41] and [47] to [49] are not present in my context.  But I do accept that there are some difficulties, which are not insurmountable, concerning the uncertainty of group members receiving multiple notifications (and their informational content) in both proceedings.  Moreover, there are increased difficulties with the prospects of </w:t>
      </w:r>
      <w:r w:rsidR="007C49A0">
        <w:t xml:space="preserve">settlement and </w:t>
      </w:r>
      <w:r w:rsidR="000A1B20">
        <w:t xml:space="preserve">mediation in two proceedings, although in the context before me it is not as serious given that the same causes of action are being pursued in both proceedings.  But I do accept that the respondent is unlikely to settle one of the proceedings with the other still on foot.  Now from the point of view of an applicant and associated group members in one of the proceedings, these difficulties would be removed if those proceedings were the only proceedings going forward.  I have taken such matters into account but they do </w:t>
      </w:r>
      <w:r w:rsidR="000A1B20">
        <w:lastRenderedPageBreak/>
        <w:t xml:space="preserve">not point against the </w:t>
      </w:r>
      <w:r w:rsidR="00F70546">
        <w:t>course</w:t>
      </w:r>
      <w:r w:rsidR="000A1B20">
        <w:t xml:space="preserve"> that I am proposing.  Such matters certainly do not justify any permanent stay of one of the proceedings.</w:t>
      </w:r>
    </w:p>
    <w:p w:rsidR="000A1B20" w:rsidRDefault="000A1B20" w:rsidP="00050D6A">
      <w:pPr>
        <w:pStyle w:val="ParaNumbering"/>
      </w:pPr>
      <w:r>
        <w:t>In summary, a permanent stay of either of the proceedings has not been justified.  And as to the respondent’s fall back position of a temporary stay, I do not consider that this is appropriate either.  Considerable uncertainty would be caused.  It is better to face up to the problem now by eliminating duplication of group membership and putting in place case management procedures to ensure tha</w:t>
      </w:r>
      <w:r w:rsidR="00DA41C7">
        <w:t>t both proceedings are prepared</w:t>
      </w:r>
      <w:r>
        <w:t xml:space="preserve"> and run efficiently.  Let me now address the </w:t>
      </w:r>
      <w:r w:rsidR="007C49A0">
        <w:t>option</w:t>
      </w:r>
      <w:r>
        <w:t xml:space="preserve"> of class closure.</w:t>
      </w:r>
    </w:p>
    <w:p w:rsidR="009B7A9C" w:rsidRDefault="007C49A0" w:rsidP="009B7A9C">
      <w:pPr>
        <w:pStyle w:val="Heading1"/>
      </w:pPr>
      <w:r>
        <w:t xml:space="preserve">SHOULD THERE BE </w:t>
      </w:r>
      <w:r w:rsidR="009B7A9C">
        <w:t>CLASS CLOSURE</w:t>
      </w:r>
      <w:r>
        <w:t>?</w:t>
      </w:r>
    </w:p>
    <w:p w:rsidR="004C3659" w:rsidRDefault="001135F5" w:rsidP="005C4504">
      <w:pPr>
        <w:pStyle w:val="ParaNumbering"/>
      </w:pPr>
      <w:r>
        <w:t>I</w:t>
      </w:r>
      <w:r w:rsidR="00B24A47">
        <w:t xml:space="preserve"> have the power under s 33ZF</w:t>
      </w:r>
      <w:r w:rsidR="007C49A0">
        <w:t>(1)</w:t>
      </w:r>
      <w:r w:rsidR="005C4504">
        <w:t xml:space="preserve"> and also in the exercise of my inherent power</w:t>
      </w:r>
      <w:r w:rsidR="00B24A47">
        <w:t xml:space="preserve"> to </w:t>
      </w:r>
      <w:r w:rsidR="009B7A9C">
        <w:t xml:space="preserve">make a class closure order that </w:t>
      </w:r>
      <w:r w:rsidR="00FA756A">
        <w:t>eliminates</w:t>
      </w:r>
      <w:r w:rsidR="009B7A9C">
        <w:t xml:space="preserve"> the existence of overlapping group members </w:t>
      </w:r>
      <w:r w:rsidR="00B24A47">
        <w:t>i</w:t>
      </w:r>
      <w:r w:rsidR="005C4504">
        <w:t xml:space="preserve">n two competing class actions.  At the least, s </w:t>
      </w:r>
      <w:r w:rsidR="004C3659">
        <w:t xml:space="preserve">33ZF(1) is adequate for the task (see </w:t>
      </w:r>
      <w:proofErr w:type="spellStart"/>
      <w:r w:rsidR="004C3659" w:rsidRPr="005C4504">
        <w:rPr>
          <w:i/>
        </w:rPr>
        <w:t>Earglow</w:t>
      </w:r>
      <w:proofErr w:type="spellEnd"/>
      <w:r w:rsidR="004C3659" w:rsidRPr="005C4504">
        <w:rPr>
          <w:i/>
        </w:rPr>
        <w:t xml:space="preserve"> Pty Ltd v Newcrest Mining Ltd</w:t>
      </w:r>
      <w:r w:rsidR="004C3659">
        <w:t xml:space="preserve"> (2015) 230 FCR 469 at [33]).  In my view, it is “appropriate … to ensure that justice is done in the proceeding” (I do not need to discuss the expression “</w:t>
      </w:r>
      <w:r w:rsidR="00062DE4">
        <w:t xml:space="preserve">or </w:t>
      </w:r>
      <w:r w:rsidR="004C3659">
        <w:t>necessary to …”</w:t>
      </w:r>
      <w:r w:rsidR="00062DE4">
        <w:t xml:space="preserve"> in s 33ZF(1)</w:t>
      </w:r>
      <w:r w:rsidR="004C3659">
        <w:t>) to close the class in one of the proceedings.  But which proceeding</w:t>
      </w:r>
      <w:r w:rsidR="005C4504">
        <w:t>s</w:t>
      </w:r>
      <w:r w:rsidR="004C3659">
        <w:t>?</w:t>
      </w:r>
    </w:p>
    <w:p w:rsidR="004C3659" w:rsidRDefault="00827445" w:rsidP="00B24A47">
      <w:pPr>
        <w:pStyle w:val="ParaNumbering"/>
      </w:pPr>
      <w:r>
        <w:t xml:space="preserve">Before </w:t>
      </w:r>
      <w:r w:rsidR="007C49A0">
        <w:t>continuing</w:t>
      </w:r>
      <w:r>
        <w:t xml:space="preserve"> further, </w:t>
      </w:r>
      <w:r w:rsidR="004C3659">
        <w:t>I should make it clear that in the present context I am not dealing with the scenario where class closure orders, including the requirement for group members to register, are being made to facilitate settlement,</w:t>
      </w:r>
      <w:r w:rsidR="00062DE4">
        <w:t xml:space="preserve"> which involve</w:t>
      </w:r>
      <w:r w:rsidR="004C3659">
        <w:t xml:space="preserve"> potentially extinguishing a class member’s right to share in the fruits of a subsequent </w:t>
      </w:r>
      <w:r w:rsidR="005C4504">
        <w:t xml:space="preserve">settlement or </w:t>
      </w:r>
      <w:r w:rsidR="004C3659">
        <w:t>judgment (</w:t>
      </w:r>
      <w:proofErr w:type="spellStart"/>
      <w:r w:rsidR="004C3659">
        <w:t>cf</w:t>
      </w:r>
      <w:proofErr w:type="spellEnd"/>
      <w:r w:rsidR="004C3659">
        <w:t xml:space="preserve"> the scenario discussed in </w:t>
      </w:r>
      <w:r w:rsidR="004C3659" w:rsidRPr="008107AE">
        <w:rPr>
          <w:i/>
        </w:rPr>
        <w:t>Melbourne City Investments Pty Ltd v Treasur</w:t>
      </w:r>
      <w:r w:rsidR="008107AE" w:rsidRPr="008107AE">
        <w:rPr>
          <w:i/>
        </w:rPr>
        <w:t>y Wine Estates Ltd</w:t>
      </w:r>
      <w:r w:rsidR="008107AE">
        <w:t xml:space="preserve"> [201</w:t>
      </w:r>
      <w:r w:rsidR="004C3659">
        <w:t xml:space="preserve">7] FCAFC 98 at [71] to [80] per Jagot, Yates and Murphy JJ endorsing the exercise of discretion by the docket judge, Foster J).  </w:t>
      </w:r>
      <w:r w:rsidR="005C4504">
        <w:t>Under conventional class closure orders, group members who neither opt out nor register by a specified date remain group members for all purposes, but are precluded from p</w:t>
      </w:r>
      <w:r>
        <w:t xml:space="preserve">articipating in any settlement </w:t>
      </w:r>
      <w:r w:rsidR="005C4504">
        <w:t xml:space="preserve">and, depending upon the form of the order, any judgment.  But such an order would not overcome the problem in the present context of overlapping group members in the McKay </w:t>
      </w:r>
      <w:r w:rsidR="005C4504" w:rsidRPr="004A39DA">
        <w:t>proceedings and the Basil proceedings.</w:t>
      </w:r>
      <w:r w:rsidR="005C4504">
        <w:t xml:space="preserve">  </w:t>
      </w:r>
      <w:r w:rsidR="004C3659">
        <w:t xml:space="preserve">I have an entirely different context.  I am closing the class in one </w:t>
      </w:r>
      <w:r w:rsidR="001A0B58">
        <w:t xml:space="preserve">of the </w:t>
      </w:r>
      <w:r w:rsidR="004C3659">
        <w:t>proceeding</w:t>
      </w:r>
      <w:r w:rsidR="001A0B58">
        <w:t>s</w:t>
      </w:r>
      <w:r w:rsidR="004C3659">
        <w:t xml:space="preserve"> to eliminate the duplication in group membership over both proceedings.  This will not involve barring orders as such.  Signed up group members in </w:t>
      </w:r>
      <w:r>
        <w:t>each of the</w:t>
      </w:r>
      <w:r w:rsidR="004C3659">
        <w:t xml:space="preserve"> proceedings will have the choice of remaining as such.  As for</w:t>
      </w:r>
      <w:r>
        <w:t xml:space="preserve"> presently</w:t>
      </w:r>
      <w:r w:rsidR="004C3659">
        <w:t xml:space="preserve"> unsigned group members</w:t>
      </w:r>
      <w:r>
        <w:t xml:space="preserve"> in both proceedings</w:t>
      </w:r>
      <w:r w:rsidR="004C3659">
        <w:t xml:space="preserve">, they will </w:t>
      </w:r>
      <w:r w:rsidR="00CC37D8">
        <w:t xml:space="preserve">(as I will explain shortly) </w:t>
      </w:r>
      <w:r w:rsidR="004C3659">
        <w:t xml:space="preserve">be captured by the McKay proceedings and </w:t>
      </w:r>
      <w:r w:rsidR="004C3659">
        <w:lastRenderedPageBreak/>
        <w:t xml:space="preserve">can choose to maintain membership thereof or opt out.  At this stage, there will be no </w:t>
      </w:r>
      <w:r w:rsidR="004C3659" w:rsidRPr="001A0B58">
        <w:t>registration protocol</w:t>
      </w:r>
      <w:r w:rsidR="001A0B58" w:rsidRPr="001A0B58">
        <w:t xml:space="preserve"> </w:t>
      </w:r>
      <w:r w:rsidR="000B4A18" w:rsidRPr="001A0B58">
        <w:t>put in place</w:t>
      </w:r>
      <w:r w:rsidR="00062DE4">
        <w:t>,</w:t>
      </w:r>
      <w:r w:rsidR="004C3659" w:rsidRPr="001A0B58">
        <w:t xml:space="preserve"> let alone barring orders superimposed on those who have not registered</w:t>
      </w:r>
      <w:r w:rsidR="001A0B58" w:rsidRPr="001A0B58">
        <w:t>.</w:t>
      </w:r>
      <w:r w:rsidR="008107AE" w:rsidRPr="001A0B58">
        <w:t xml:space="preserve">  </w:t>
      </w:r>
      <w:r>
        <w:t>Now t</w:t>
      </w:r>
      <w:r w:rsidR="008107AE" w:rsidRPr="001A0B58">
        <w:t>he McKay applicant has stressed the cautionary advice of the Full Court</w:t>
      </w:r>
      <w:r w:rsidR="001A0B58" w:rsidRPr="001A0B58">
        <w:t xml:space="preserve"> </w:t>
      </w:r>
      <w:r w:rsidR="000B4A18" w:rsidRPr="001A0B58">
        <w:t xml:space="preserve">in </w:t>
      </w:r>
      <w:r w:rsidR="000B4A18" w:rsidRPr="001A0B58">
        <w:rPr>
          <w:i/>
        </w:rPr>
        <w:t>Melbourne City Investments</w:t>
      </w:r>
      <w:r w:rsidR="008107AE" w:rsidRPr="001A0B58">
        <w:t xml:space="preserve"> (at [77</w:t>
      </w:r>
      <w:r w:rsidR="008107AE">
        <w:t xml:space="preserve">]).  But such </w:t>
      </w:r>
      <w:r w:rsidR="00CC37D8">
        <w:t>advice</w:t>
      </w:r>
      <w:r w:rsidR="008107AE">
        <w:t xml:space="preserve"> should not be </w:t>
      </w:r>
      <w:proofErr w:type="spellStart"/>
      <w:r w:rsidR="008107AE">
        <w:t>decontextualised</w:t>
      </w:r>
      <w:proofErr w:type="spellEnd"/>
      <w:r w:rsidR="008107AE">
        <w:t xml:space="preserve">.  </w:t>
      </w:r>
      <w:r>
        <w:t>Th</w:t>
      </w:r>
      <w:r w:rsidR="00CC37D8">
        <w:t xml:space="preserve">e matter is context dependent as to </w:t>
      </w:r>
      <w:r w:rsidR="008107AE">
        <w:t>why class closure is being addressed and at what time.  It may also be accepted that “[w]</w:t>
      </w:r>
      <w:proofErr w:type="spellStart"/>
      <w:r w:rsidR="008107AE">
        <w:t>hether</w:t>
      </w:r>
      <w:proofErr w:type="spellEnd"/>
      <w:r w:rsidR="008107AE">
        <w:t xml:space="preserve"> it is appropriate to order class closure is a question of balance and judicial </w:t>
      </w:r>
      <w:r w:rsidR="008107AE" w:rsidRPr="00F70546">
        <w:t>int</w:t>
      </w:r>
      <w:r w:rsidRPr="00F70546">
        <w:t>uition</w:t>
      </w:r>
      <w:r w:rsidR="008107AE" w:rsidRPr="00F70546">
        <w:t>”</w:t>
      </w:r>
      <w:r w:rsidR="00BD728B" w:rsidRPr="00F70546">
        <w:t xml:space="preserve"> (at [79])</w:t>
      </w:r>
      <w:r w:rsidR="008107AE" w:rsidRPr="00F70546">
        <w:t>,</w:t>
      </w:r>
      <w:r w:rsidR="008107AE">
        <w:t xml:space="preserve"> but the context is all important.  My context requires the application of a different </w:t>
      </w:r>
      <w:r w:rsidR="008107AE" w:rsidRPr="00D82246">
        <w:t>calculus</w:t>
      </w:r>
      <w:r w:rsidR="00D82246" w:rsidRPr="00D82246">
        <w:t xml:space="preserve"> </w:t>
      </w:r>
      <w:r w:rsidR="00A720E2" w:rsidRPr="00D82246">
        <w:t xml:space="preserve">and it </w:t>
      </w:r>
      <w:r w:rsidR="005C4504" w:rsidRPr="00D82246">
        <w:t>has some</w:t>
      </w:r>
      <w:r w:rsidR="005C4504">
        <w:t xml:space="preserve"> analogy with </w:t>
      </w:r>
      <w:r w:rsidR="00BD728B">
        <w:rPr>
          <w:i/>
        </w:rPr>
        <w:t>Smith</w:t>
      </w:r>
      <w:r w:rsidR="0010278C">
        <w:t>, although there is one significant difference.</w:t>
      </w:r>
    </w:p>
    <w:p w:rsidR="009B7A9C" w:rsidRDefault="004C3659" w:rsidP="00586C60">
      <w:pPr>
        <w:pStyle w:val="ParaNumbering"/>
      </w:pPr>
      <w:r>
        <w:t xml:space="preserve">In </w:t>
      </w:r>
      <w:r w:rsidRPr="004C3659">
        <w:rPr>
          <w:i/>
        </w:rPr>
        <w:t>Smith</w:t>
      </w:r>
      <w:r>
        <w:t>,</w:t>
      </w:r>
      <w:r w:rsidR="009B7A9C">
        <w:t xml:space="preserve"> there was an “ope</w:t>
      </w:r>
      <w:r w:rsidR="00B24A47">
        <w:t>n” class action (the Creighton p</w:t>
      </w:r>
      <w:r w:rsidR="009B7A9C">
        <w:t>roceeding) and a “c</w:t>
      </w:r>
      <w:r w:rsidR="00B24A47">
        <w:t>losed” class action (the Smith p</w:t>
      </w:r>
      <w:r w:rsidR="009B7A9C">
        <w:t xml:space="preserve">roceeding) which were both brought against Australian Executor </w:t>
      </w:r>
      <w:r w:rsidR="00B24A47">
        <w:t xml:space="preserve">Trustees Limited (AETL).  </w:t>
      </w:r>
      <w:r w:rsidR="009B7A9C">
        <w:t xml:space="preserve">All of </w:t>
      </w:r>
      <w:r w:rsidR="00B24A47">
        <w:t>the group members of the Smith p</w:t>
      </w:r>
      <w:r w:rsidR="009B7A9C">
        <w:t>roceeding (who had entered into funding agreements</w:t>
      </w:r>
      <w:r w:rsidR="00B24A47">
        <w:t xml:space="preserve"> with </w:t>
      </w:r>
      <w:proofErr w:type="spellStart"/>
      <w:r w:rsidR="00B24A47">
        <w:t>Litman</w:t>
      </w:r>
      <w:proofErr w:type="spellEnd"/>
      <w:r w:rsidR="00B24A47">
        <w:t xml:space="preserve"> Holdings Pty Ltd)</w:t>
      </w:r>
      <w:r w:rsidR="009B7A9C">
        <w:t xml:space="preserve"> were also </w:t>
      </w:r>
      <w:r w:rsidR="00B24A47">
        <w:t xml:space="preserve">group members of the Creighton proceeding.  </w:t>
      </w:r>
      <w:r w:rsidR="009B7A9C">
        <w:t>The differenc</w:t>
      </w:r>
      <w:r w:rsidR="00B24A47">
        <w:t xml:space="preserve">es in the two proceedings were </w:t>
      </w:r>
      <w:r w:rsidR="009B7A9C">
        <w:t>substanti</w:t>
      </w:r>
      <w:r w:rsidR="00B24A47">
        <w:t>al</w:t>
      </w:r>
      <w:r w:rsidR="009B7A9C">
        <w:t>, such that it was possible</w:t>
      </w:r>
      <w:r w:rsidR="003D3C23">
        <w:t xml:space="preserve"> that</w:t>
      </w:r>
      <w:r w:rsidR="009B7A9C">
        <w:t xml:space="preserve"> one </w:t>
      </w:r>
      <w:r w:rsidR="003D3C23">
        <w:t xml:space="preserve">proceeding </w:t>
      </w:r>
      <w:r w:rsidR="009B7A9C">
        <w:t>coul</w:t>
      </w:r>
      <w:r w:rsidR="00B24A47">
        <w:t xml:space="preserve">d succeed and the other </w:t>
      </w:r>
      <w:r w:rsidR="003D3C23" w:rsidRPr="00062DE4">
        <w:t>proceeding</w:t>
      </w:r>
      <w:r w:rsidR="00037A32" w:rsidRPr="00062DE4">
        <w:t xml:space="preserve"> could</w:t>
      </w:r>
      <w:r w:rsidR="003D3C23" w:rsidRPr="00062DE4">
        <w:t xml:space="preserve"> </w:t>
      </w:r>
      <w:r w:rsidR="00B24A47" w:rsidRPr="00062DE4">
        <w:t>fail</w:t>
      </w:r>
      <w:r w:rsidR="00B24A47">
        <w:t xml:space="preserve">.  </w:t>
      </w:r>
      <w:r w:rsidR="00BD728B">
        <w:t>I would note at this point that that is not my context</w:t>
      </w:r>
      <w:r w:rsidR="00CC37D8">
        <w:t>, but I would also note for completeness that the respondent before me sought to finesse too much out of this difference</w:t>
      </w:r>
      <w:r w:rsidR="00BD728B">
        <w:t xml:space="preserve">.  </w:t>
      </w:r>
      <w:r w:rsidR="0010278C">
        <w:t xml:space="preserve">Ball J had available to him an additional justification supporting both proceedings being allowed to continue, but its absence does not justify the reverse result in my context.  </w:t>
      </w:r>
      <w:r w:rsidR="009B7A9C">
        <w:t xml:space="preserve">AETL sought a permanent stay of one or other of the class actions. </w:t>
      </w:r>
      <w:r w:rsidR="00B24A47">
        <w:t xml:space="preserve"> </w:t>
      </w:r>
      <w:r w:rsidR="009B7A9C">
        <w:t>After consider</w:t>
      </w:r>
      <w:r w:rsidR="003D3C23">
        <w:t xml:space="preserve">ing </w:t>
      </w:r>
      <w:r w:rsidR="00BD728B">
        <w:t>various</w:t>
      </w:r>
      <w:r w:rsidR="003D3C23">
        <w:t xml:space="preserve"> factors, </w:t>
      </w:r>
      <w:r w:rsidR="009B7A9C">
        <w:t>Ball J accepted that “if only one proceeding is permitted to continue as a representative proceeding, that should</w:t>
      </w:r>
      <w:r w:rsidR="00B24A47">
        <w:t xml:space="preserve"> be the Creighton Proceeding” (at [43]).</w:t>
      </w:r>
      <w:r w:rsidR="009B7A9C">
        <w:t xml:space="preserve"> </w:t>
      </w:r>
      <w:r w:rsidR="00B24A47">
        <w:t xml:space="preserve"> </w:t>
      </w:r>
      <w:r w:rsidR="009B7A9C">
        <w:t>It appears that the principal reason for this conclusion was that the e</w:t>
      </w:r>
      <w:r w:rsidR="00B24A47">
        <w:t>ffect of staying the Creighton p</w:t>
      </w:r>
      <w:r w:rsidR="009B7A9C">
        <w:t xml:space="preserve">roceeding would be to deprive a substantial number of debenture holders of the benefit of being members of a representative action.  </w:t>
      </w:r>
      <w:r w:rsidR="00B24A47">
        <w:t xml:space="preserve"> If the Creighton p</w:t>
      </w:r>
      <w:r w:rsidR="009B7A9C">
        <w:t>roceeding was stayed, only members of the “c</w:t>
      </w:r>
      <w:r w:rsidR="00B24A47">
        <w:t>losed” class in the Smith pr</w:t>
      </w:r>
      <w:r w:rsidR="009B7A9C">
        <w:t>oceeding would remain members of a representative action</w:t>
      </w:r>
      <w:r w:rsidR="00B24A47">
        <w:t>.</w:t>
      </w:r>
      <w:r w:rsidR="00586C60">
        <w:t xml:space="preserve">  </w:t>
      </w:r>
      <w:r w:rsidR="009B7A9C">
        <w:t>Ball J then said that the choice</w:t>
      </w:r>
      <w:r w:rsidR="00B24A47">
        <w:t xml:space="preserve"> was between staying the Smith p</w:t>
      </w:r>
      <w:r w:rsidR="009B7A9C">
        <w:t>roceeding or giv</w:t>
      </w:r>
      <w:r w:rsidR="00B24A47">
        <w:t>ing group members of the Smith p</w:t>
      </w:r>
      <w:r w:rsidR="009B7A9C">
        <w:t>roceeding an o</w:t>
      </w:r>
      <w:r w:rsidR="00B24A47">
        <w:t>ption to continue in the Smith p</w:t>
      </w:r>
      <w:r w:rsidR="009B7A9C">
        <w:t>roceeding al</w:t>
      </w:r>
      <w:r w:rsidR="00B24A47">
        <w:t xml:space="preserve">one or in the Creighton proceeding alone.  </w:t>
      </w:r>
      <w:r w:rsidR="009B7A9C">
        <w:t>His Honour said that he</w:t>
      </w:r>
      <w:r w:rsidR="00B24A47">
        <w:t xml:space="preserve"> preferred the latter option.  </w:t>
      </w:r>
      <w:r w:rsidR="009B7A9C">
        <w:t>This was because “</w:t>
      </w:r>
      <w:r w:rsidR="00622E38">
        <w:t>[</w:t>
      </w:r>
      <w:r w:rsidR="009B7A9C">
        <w:t>t</w:t>
      </w:r>
      <w:r w:rsidR="00622E38">
        <w:t>]</w:t>
      </w:r>
      <w:r w:rsidR="009B7A9C">
        <w:t xml:space="preserve">he two proceedings offer true alternatives in the sense that they have different funding models and frame their cases in significantly different ways. </w:t>
      </w:r>
      <w:r w:rsidR="00EB60A2">
        <w:t xml:space="preserve"> </w:t>
      </w:r>
      <w:r w:rsidR="009B7A9C">
        <w:t>The choice is not simply which legal advisors should be permitted to advance what is ef</w:t>
      </w:r>
      <w:r w:rsidR="00EB60A2">
        <w:t xml:space="preserve">fectively the same proceeding” (at [47]).  </w:t>
      </w:r>
      <w:r w:rsidR="009B7A9C">
        <w:t>On this basis,</w:t>
      </w:r>
      <w:r w:rsidR="00EB60A2">
        <w:t xml:space="preserve"> rather than staying the Smith p</w:t>
      </w:r>
      <w:r w:rsidR="009B7A9C">
        <w:t xml:space="preserve">roceeding, Ball J considered that the appropriate course was to fix a </w:t>
      </w:r>
      <w:r w:rsidR="009B7A9C">
        <w:lastRenderedPageBreak/>
        <w:t xml:space="preserve">date by when class members </w:t>
      </w:r>
      <w:r w:rsidR="00BD728B">
        <w:t>were to</w:t>
      </w:r>
      <w:r w:rsidR="009B7A9C">
        <w:t xml:space="preserve"> opt</w:t>
      </w:r>
      <w:r w:rsidR="00BD728B">
        <w:t xml:space="preserve"> out of the proceeding</w:t>
      </w:r>
      <w:r w:rsidR="00F70546">
        <w:t>s</w:t>
      </w:r>
      <w:r w:rsidR="003D3C23">
        <w:t>, and mad</w:t>
      </w:r>
      <w:r w:rsidR="009B7A9C">
        <w:t xml:space="preserve">e an order that group members of the Smith </w:t>
      </w:r>
      <w:r w:rsidR="00EB60A2">
        <w:t>p</w:t>
      </w:r>
      <w:r w:rsidR="009B7A9C">
        <w:t xml:space="preserve">roceeding who did not opt out of the Smith </w:t>
      </w:r>
      <w:r w:rsidR="00EB60A2">
        <w:t>p</w:t>
      </w:r>
      <w:r w:rsidR="009B7A9C">
        <w:t>roceeding by a specified date would be taken to h</w:t>
      </w:r>
      <w:r w:rsidR="00EB60A2">
        <w:t>ave opted o</w:t>
      </w:r>
      <w:r w:rsidR="00BD728B">
        <w:t xml:space="preserve">ut of the Creighton proceeding.  </w:t>
      </w:r>
      <w:r w:rsidR="009B7A9C">
        <w:t>Such an order was made on the basis that “members of the [closed] Smith Class [had] in a sense specifically chosen to opt into that class by signing a funding agreement”</w:t>
      </w:r>
      <w:r w:rsidR="00EB60A2">
        <w:t xml:space="preserve"> (at [45]).</w:t>
      </w:r>
    </w:p>
    <w:p w:rsidR="00EB60A2" w:rsidRPr="004A39DA" w:rsidRDefault="009B7A9C" w:rsidP="009B7A9C">
      <w:pPr>
        <w:pStyle w:val="ParaNumbering"/>
      </w:pPr>
      <w:r>
        <w:t xml:space="preserve">It is open to </w:t>
      </w:r>
      <w:r w:rsidR="00EB60A2">
        <w:t>me</w:t>
      </w:r>
      <w:r w:rsidR="00BD728B">
        <w:t xml:space="preserve"> to make </w:t>
      </w:r>
      <w:r>
        <w:t>similar typ</w:t>
      </w:r>
      <w:r w:rsidR="00EB60A2">
        <w:t>e</w:t>
      </w:r>
      <w:r w:rsidR="00BD728B">
        <w:t>s</w:t>
      </w:r>
      <w:r w:rsidR="00EB60A2">
        <w:t xml:space="preserve"> of order</w:t>
      </w:r>
      <w:r w:rsidR="00BD728B">
        <w:t>s</w:t>
      </w:r>
      <w:r w:rsidR="00EB60A2">
        <w:t xml:space="preserve"> in the present case</w:t>
      </w:r>
      <w:r w:rsidR="00BD728B">
        <w:t xml:space="preserve"> to eliminate the duplication, although I accept that I have a different context given that in bo</w:t>
      </w:r>
      <w:r w:rsidR="00062DE4">
        <w:t>th of the proceedings before me</w:t>
      </w:r>
      <w:r w:rsidR="00BD728B">
        <w:t xml:space="preserve"> the same or very similar claims are being pursued.  In other words, if one of the </w:t>
      </w:r>
      <w:r w:rsidR="0010278C">
        <w:t xml:space="preserve">proceedings </w:t>
      </w:r>
      <w:r w:rsidR="00BD728B">
        <w:t>succeeds or fails, the result</w:t>
      </w:r>
      <w:r w:rsidR="00CC37D8">
        <w:t xml:space="preserve"> in the other </w:t>
      </w:r>
      <w:r w:rsidR="0010278C">
        <w:t>is most likely to</w:t>
      </w:r>
      <w:r w:rsidR="00CC37D8">
        <w:t xml:space="preserve"> mirror that</w:t>
      </w:r>
      <w:r w:rsidR="00BD728B">
        <w:t xml:space="preserve"> outcome</w:t>
      </w:r>
      <w:r w:rsidR="0010278C">
        <w:t xml:space="preserve"> on the common issues</w:t>
      </w:r>
      <w:r w:rsidR="00EB60A2">
        <w:t xml:space="preserve">.  I </w:t>
      </w:r>
      <w:r>
        <w:t xml:space="preserve">would first need to determine which of the McKay </w:t>
      </w:r>
      <w:r w:rsidR="00EB60A2">
        <w:t>proceeding</w:t>
      </w:r>
      <w:r w:rsidR="00586C60">
        <w:t>s</w:t>
      </w:r>
      <w:r w:rsidR="00EB60A2">
        <w:t xml:space="preserve"> </w:t>
      </w:r>
      <w:r w:rsidR="00951591">
        <w:t>or</w:t>
      </w:r>
      <w:r w:rsidR="00EB60A2">
        <w:t xml:space="preserve"> the Basil p</w:t>
      </w:r>
      <w:r>
        <w:t>roceeding</w:t>
      </w:r>
      <w:r w:rsidR="001135F5">
        <w:t>s were the preferable proceedings</w:t>
      </w:r>
      <w:r>
        <w:t xml:space="preserve"> </w:t>
      </w:r>
      <w:r w:rsidR="00EB60A2">
        <w:t xml:space="preserve">for group members </w:t>
      </w:r>
      <w:r>
        <w:t>based on an assessment of the</w:t>
      </w:r>
      <w:r w:rsidR="00BD728B">
        <w:t xml:space="preserve"> relevant</w:t>
      </w:r>
      <w:r>
        <w:t xml:space="preserve"> factors</w:t>
      </w:r>
      <w:r w:rsidR="00EB60A2">
        <w:t xml:space="preserve">.  </w:t>
      </w:r>
      <w:r w:rsidR="001135F5">
        <w:t xml:space="preserve">A suitable mechanism for achieving this result </w:t>
      </w:r>
      <w:r w:rsidR="00BD728B">
        <w:t>might</w:t>
      </w:r>
      <w:r w:rsidR="001135F5">
        <w:t xml:space="preserve"> be the following.  </w:t>
      </w:r>
      <w:r w:rsidR="00EB60A2">
        <w:t xml:space="preserve">Assume that the McKay </w:t>
      </w:r>
      <w:r w:rsidR="00EB60A2" w:rsidRPr="004A39DA">
        <w:t>proceeding</w:t>
      </w:r>
      <w:r w:rsidR="00951591" w:rsidRPr="004A39DA">
        <w:t>s</w:t>
      </w:r>
      <w:r w:rsidR="00EB60A2" w:rsidRPr="004A39DA">
        <w:t xml:space="preserve"> </w:t>
      </w:r>
      <w:r w:rsidR="004A39DA" w:rsidRPr="004A39DA">
        <w:t>are</w:t>
      </w:r>
      <w:r w:rsidR="00EB60A2" w:rsidRPr="004A39DA">
        <w:t xml:space="preserve"> </w:t>
      </w:r>
      <w:r w:rsidRPr="004A39DA">
        <w:t xml:space="preserve">the </w:t>
      </w:r>
      <w:r w:rsidR="001135F5" w:rsidRPr="004A39DA">
        <w:t>preferable</w:t>
      </w:r>
      <w:r w:rsidRPr="004A39DA">
        <w:t xml:space="preserve"> </w:t>
      </w:r>
      <w:r w:rsidRPr="00F70546">
        <w:t>proceeding</w:t>
      </w:r>
      <w:r w:rsidR="00951591" w:rsidRPr="00F70546">
        <w:t>s</w:t>
      </w:r>
      <w:r w:rsidRPr="00F70546">
        <w:t xml:space="preserve"> for </w:t>
      </w:r>
      <w:r w:rsidR="00BD728B" w:rsidRPr="00F70546">
        <w:t xml:space="preserve">at </w:t>
      </w:r>
      <w:r w:rsidR="00CD2808" w:rsidRPr="00F70546">
        <w:t xml:space="preserve">least the </w:t>
      </w:r>
      <w:r w:rsidR="00BD728B" w:rsidRPr="00F70546">
        <w:t>unsigned</w:t>
      </w:r>
      <w:r w:rsidR="00BD728B">
        <w:t xml:space="preserve"> </w:t>
      </w:r>
      <w:r w:rsidRPr="004A39DA">
        <w:t xml:space="preserve">group members. </w:t>
      </w:r>
      <w:r w:rsidR="00EB60A2" w:rsidRPr="004A39DA">
        <w:t xml:space="preserve"> </w:t>
      </w:r>
      <w:r w:rsidRPr="004A39DA">
        <w:t xml:space="preserve">On that basis, </w:t>
      </w:r>
      <w:r w:rsidR="001135F5" w:rsidRPr="004A39DA">
        <w:t>I could</w:t>
      </w:r>
      <w:r w:rsidRPr="004A39DA">
        <w:t xml:space="preserve"> fix a</w:t>
      </w:r>
      <w:r w:rsidR="001135F5" w:rsidRPr="004A39DA">
        <w:t xml:space="preserve"> date by which class members could</w:t>
      </w:r>
      <w:r w:rsidRPr="004A39DA">
        <w:t xml:space="preserve"> opt out of either or both proceeding</w:t>
      </w:r>
      <w:r w:rsidR="00622E38" w:rsidRPr="004A39DA">
        <w:t>s</w:t>
      </w:r>
      <w:r w:rsidRPr="004A39DA">
        <w:t xml:space="preserve"> </w:t>
      </w:r>
      <w:r w:rsidR="00F70546">
        <w:t xml:space="preserve">after </w:t>
      </w:r>
      <w:r w:rsidR="00F70546" w:rsidRPr="00A62719">
        <w:rPr>
          <w:i/>
        </w:rPr>
        <w:t>first</w:t>
      </w:r>
      <w:r w:rsidR="00F70546">
        <w:t xml:space="preserve"> </w:t>
      </w:r>
      <w:r w:rsidR="00BD728B">
        <w:t>modify</w:t>
      </w:r>
      <w:r w:rsidR="00F70546">
        <w:t>ing</w:t>
      </w:r>
      <w:r w:rsidR="00BD728B">
        <w:t xml:space="preserve"> the group descr</w:t>
      </w:r>
      <w:r w:rsidR="00F70546">
        <w:t>iption in the Basil proceedings.  I could m</w:t>
      </w:r>
      <w:r w:rsidR="00EB60A2" w:rsidRPr="004A39DA">
        <w:t>ake orders to the following effect:</w:t>
      </w:r>
    </w:p>
    <w:p w:rsidR="00F70546" w:rsidRDefault="00062DE4" w:rsidP="00CD1724">
      <w:pPr>
        <w:pStyle w:val="ListNo2"/>
        <w:numPr>
          <w:ilvl w:val="1"/>
          <w:numId w:val="27"/>
        </w:numPr>
      </w:pPr>
      <w:r>
        <w:t>The</w:t>
      </w:r>
      <w:r w:rsidR="00F70546">
        <w:t xml:space="preserve"> first step would be to modify the Basil group definition to close the class</w:t>
      </w:r>
      <w:r>
        <w:t>,</w:t>
      </w:r>
      <w:r w:rsidR="00F70546">
        <w:t xml:space="preserve"> so that it only includes signed up Basil group members.  After that I could then implement an opt out mechanism in both proceedings.</w:t>
      </w:r>
    </w:p>
    <w:p w:rsidR="00EB60A2" w:rsidRDefault="00EB60A2" w:rsidP="00CD1724">
      <w:pPr>
        <w:pStyle w:val="ListNo2"/>
        <w:numPr>
          <w:ilvl w:val="1"/>
          <w:numId w:val="27"/>
        </w:numPr>
      </w:pPr>
      <w:r w:rsidRPr="004A39DA">
        <w:t>Members</w:t>
      </w:r>
      <w:r w:rsidR="009B7A9C" w:rsidRPr="004A39DA">
        <w:t xml:space="preserve"> of the McKay </w:t>
      </w:r>
      <w:r w:rsidRPr="004A39DA">
        <w:t>p</w:t>
      </w:r>
      <w:r w:rsidR="009B7A9C" w:rsidRPr="004A39DA">
        <w:t>roceeding</w:t>
      </w:r>
      <w:r w:rsidR="00951591" w:rsidRPr="004A39DA">
        <w:t>s</w:t>
      </w:r>
      <w:r w:rsidR="00A62719">
        <w:t xml:space="preserve"> who had</w:t>
      </w:r>
      <w:r w:rsidR="009B7A9C" w:rsidRPr="004A39DA">
        <w:t xml:space="preserve"> not signed a funding agre</w:t>
      </w:r>
      <w:r w:rsidRPr="004A39DA">
        <w:t>ement with</w:t>
      </w:r>
      <w:r w:rsidR="00E9620B" w:rsidRPr="004A39DA">
        <w:t xml:space="preserve"> the</w:t>
      </w:r>
      <w:r w:rsidRPr="004A39DA">
        <w:t xml:space="preserve"> funder in the Basil p</w:t>
      </w:r>
      <w:r w:rsidR="009B7A9C" w:rsidRPr="004A39DA">
        <w:t>roceeding</w:t>
      </w:r>
      <w:r w:rsidR="00951591" w:rsidRPr="004A39DA">
        <w:t>s</w:t>
      </w:r>
      <w:r w:rsidR="009B7A9C" w:rsidRPr="004A39DA">
        <w:t xml:space="preserve"> (ICP</w:t>
      </w:r>
      <w:r w:rsidR="00A62719">
        <w:t xml:space="preserve"> Capital) and who had</w:t>
      </w:r>
      <w:r w:rsidR="009B7A9C">
        <w:t xml:space="preserve"> not opted out of </w:t>
      </w:r>
      <w:r w:rsidR="00F70546">
        <w:t>the McKay</w:t>
      </w:r>
      <w:r w:rsidR="00BD728B">
        <w:t xml:space="preserve"> </w:t>
      </w:r>
      <w:r w:rsidR="009B7A9C">
        <w:t>proceeding</w:t>
      </w:r>
      <w:r w:rsidR="00BD728B">
        <w:t>s</w:t>
      </w:r>
      <w:r w:rsidR="009B7A9C">
        <w:t xml:space="preserve"> by the opt out date </w:t>
      </w:r>
      <w:r w:rsidR="00F70546">
        <w:t>would be members of the McKay</w:t>
      </w:r>
      <w:r w:rsidR="009B7A9C">
        <w:t xml:space="preserve"> </w:t>
      </w:r>
      <w:r>
        <w:t>proceeding</w:t>
      </w:r>
      <w:r w:rsidR="00951591">
        <w:t>s</w:t>
      </w:r>
      <w:r>
        <w:t>.</w:t>
      </w:r>
      <w:r w:rsidR="00F70546">
        <w:t xml:space="preserve">  </w:t>
      </w:r>
      <w:r w:rsidR="00A62719">
        <w:t>By definition, such persons would not be members of the Basil proceedings by reason of step (a).  Such persons could be signed (</w:t>
      </w:r>
      <w:proofErr w:type="spellStart"/>
      <w:r w:rsidR="00CC37D8">
        <w:t>ie</w:t>
      </w:r>
      <w:proofErr w:type="spellEnd"/>
      <w:r w:rsidR="00CC37D8">
        <w:t xml:space="preserve"> parties to </w:t>
      </w:r>
      <w:r w:rsidR="00A62719">
        <w:t>IMF funding agreement</w:t>
      </w:r>
      <w:r w:rsidR="00CC37D8">
        <w:t>s</w:t>
      </w:r>
      <w:r w:rsidR="00A62719">
        <w:t xml:space="preserve">) or unsigned McKay group members.  </w:t>
      </w:r>
      <w:r w:rsidR="00F70546">
        <w:t xml:space="preserve">If such members did opt out of the McKay proceedings, then they would not be members of </w:t>
      </w:r>
      <w:r w:rsidR="00F70546" w:rsidRPr="00CC37D8">
        <w:rPr>
          <w:i/>
        </w:rPr>
        <w:t>any</w:t>
      </w:r>
      <w:r w:rsidR="00F70546">
        <w:t xml:space="preserve"> proceedings.</w:t>
      </w:r>
    </w:p>
    <w:p w:rsidR="00EB60A2" w:rsidRDefault="00EB60A2" w:rsidP="00CD1724">
      <w:pPr>
        <w:pStyle w:val="ListNo2"/>
        <w:numPr>
          <w:ilvl w:val="1"/>
          <w:numId w:val="27"/>
        </w:numPr>
      </w:pPr>
      <w:r>
        <w:t>Members of the Basil p</w:t>
      </w:r>
      <w:r w:rsidR="009B7A9C">
        <w:t>roceeding</w:t>
      </w:r>
      <w:r w:rsidR="00951591">
        <w:t>s</w:t>
      </w:r>
      <w:r w:rsidR="00A62719">
        <w:t xml:space="preserve"> who had</w:t>
      </w:r>
      <w:r w:rsidR="009B7A9C">
        <w:t xml:space="preserve"> signed a funding agreement with ICP Capital and who opt out of both the Basil </w:t>
      </w:r>
      <w:r>
        <w:t>p</w:t>
      </w:r>
      <w:r w:rsidR="009B7A9C">
        <w:t>roceeding</w:t>
      </w:r>
      <w:r w:rsidR="00951591">
        <w:t>s</w:t>
      </w:r>
      <w:r w:rsidR="009B7A9C">
        <w:t xml:space="preserve"> and the McKay </w:t>
      </w:r>
      <w:r>
        <w:t>p</w:t>
      </w:r>
      <w:r w:rsidR="009B7A9C">
        <w:t>roceeding</w:t>
      </w:r>
      <w:r w:rsidR="00951591">
        <w:t>s</w:t>
      </w:r>
      <w:r w:rsidR="00F70546">
        <w:t xml:space="preserve"> by the opt out date would</w:t>
      </w:r>
      <w:r w:rsidR="009B7A9C">
        <w:t xml:space="preserve"> no longer be me</w:t>
      </w:r>
      <w:r>
        <w:t xml:space="preserve">mbers of </w:t>
      </w:r>
      <w:r w:rsidRPr="00CC37D8">
        <w:rPr>
          <w:i/>
        </w:rPr>
        <w:t xml:space="preserve">either </w:t>
      </w:r>
      <w:r>
        <w:t>proceeding</w:t>
      </w:r>
      <w:r w:rsidR="00951591">
        <w:t>s</w:t>
      </w:r>
      <w:r>
        <w:t>.</w:t>
      </w:r>
    </w:p>
    <w:p w:rsidR="00EB60A2" w:rsidRDefault="00EB60A2" w:rsidP="00CD1724">
      <w:pPr>
        <w:pStyle w:val="ListNo2"/>
        <w:numPr>
          <w:ilvl w:val="1"/>
          <w:numId w:val="27"/>
        </w:numPr>
      </w:pPr>
      <w:r>
        <w:lastRenderedPageBreak/>
        <w:t>M</w:t>
      </w:r>
      <w:r w:rsidR="009B7A9C">
        <w:t xml:space="preserve">embers of the Basil </w:t>
      </w:r>
      <w:r w:rsidR="00031A04">
        <w:t>p</w:t>
      </w:r>
      <w:r w:rsidR="009B7A9C">
        <w:t>roceeding</w:t>
      </w:r>
      <w:r w:rsidR="00951591">
        <w:t>s</w:t>
      </w:r>
      <w:r w:rsidR="00A62719">
        <w:t xml:space="preserve"> who had</w:t>
      </w:r>
      <w:r w:rsidR="009B7A9C">
        <w:t xml:space="preserve"> signed a funding agreement with ICP Capital and w</w:t>
      </w:r>
      <w:r w:rsidR="00031A04">
        <w:t>ho opt out of the Basil p</w:t>
      </w:r>
      <w:r w:rsidR="009B7A9C">
        <w:t>roceeding</w:t>
      </w:r>
      <w:r w:rsidR="00951591">
        <w:t>s</w:t>
      </w:r>
      <w:r w:rsidR="009B7A9C">
        <w:t xml:space="preserve"> (but not the McKay </w:t>
      </w:r>
      <w:r w:rsidR="00031A04">
        <w:t>p</w:t>
      </w:r>
      <w:r w:rsidR="009B7A9C">
        <w:t>roceeding</w:t>
      </w:r>
      <w:r w:rsidR="00951591">
        <w:t>s</w:t>
      </w:r>
      <w:r w:rsidR="00062DE4">
        <w:t xml:space="preserve">) by the opt out date would </w:t>
      </w:r>
      <w:r w:rsidR="00F70546">
        <w:t xml:space="preserve">no longer </w:t>
      </w:r>
      <w:r w:rsidR="00062DE4">
        <w:t xml:space="preserve">be </w:t>
      </w:r>
      <w:r w:rsidR="009B7A9C">
        <w:t xml:space="preserve">members of the Basil </w:t>
      </w:r>
      <w:r w:rsidR="00031A04">
        <w:t>p</w:t>
      </w:r>
      <w:r w:rsidR="009B7A9C">
        <w:t>roceeding</w:t>
      </w:r>
      <w:r w:rsidR="00951591">
        <w:t>s</w:t>
      </w:r>
      <w:r w:rsidR="009B7A9C">
        <w:t xml:space="preserve"> but </w:t>
      </w:r>
      <w:r w:rsidR="00F70546">
        <w:t>would be</w:t>
      </w:r>
      <w:r w:rsidR="009B7A9C">
        <w:t xml:space="preserve"> members of the McKay </w:t>
      </w:r>
      <w:r w:rsidR="00031A04">
        <w:t>p</w:t>
      </w:r>
      <w:r w:rsidR="009B7A9C">
        <w:t>roceeding</w:t>
      </w:r>
      <w:r w:rsidR="00951591">
        <w:t>s</w:t>
      </w:r>
      <w:r w:rsidR="009B7A9C">
        <w:t>.  This would give fun</w:t>
      </w:r>
      <w:r w:rsidR="00031A04">
        <w:t>ded group members of the Basil p</w:t>
      </w:r>
      <w:r w:rsidR="009B7A9C">
        <w:t>roceeding</w:t>
      </w:r>
      <w:r w:rsidR="00951591">
        <w:t>s</w:t>
      </w:r>
      <w:r w:rsidR="009B7A9C">
        <w:t xml:space="preserve"> the option of electing </w:t>
      </w:r>
      <w:r w:rsidR="00031A04">
        <w:t xml:space="preserve">to </w:t>
      </w:r>
      <w:r w:rsidR="00F70546">
        <w:t>be</w:t>
      </w:r>
      <w:r w:rsidR="00031A04">
        <w:t xml:space="preserve"> members of the McKay p</w:t>
      </w:r>
      <w:r w:rsidR="009B7A9C">
        <w:t>roceeding</w:t>
      </w:r>
      <w:r w:rsidR="00951591">
        <w:t>s</w:t>
      </w:r>
      <w:r w:rsidR="009B7A9C">
        <w:t xml:space="preserve"> in circumstances where </w:t>
      </w:r>
      <w:r w:rsidR="00BD728B">
        <w:t>I</w:t>
      </w:r>
      <w:r w:rsidR="009B7A9C">
        <w:t xml:space="preserve"> had determined that the </w:t>
      </w:r>
      <w:r w:rsidR="009B7A9C" w:rsidRPr="004A39DA">
        <w:t xml:space="preserve">McKay </w:t>
      </w:r>
      <w:r w:rsidR="00031A04" w:rsidRPr="004A39DA">
        <w:t>p</w:t>
      </w:r>
      <w:r w:rsidR="009B7A9C" w:rsidRPr="004A39DA">
        <w:t>roceeding</w:t>
      </w:r>
      <w:r w:rsidR="00951591" w:rsidRPr="004A39DA">
        <w:t>s</w:t>
      </w:r>
      <w:r w:rsidR="004A39DA" w:rsidRPr="004A39DA">
        <w:t xml:space="preserve"> were</w:t>
      </w:r>
      <w:r w:rsidR="009B7A9C" w:rsidRPr="004A39DA">
        <w:t xml:space="preserve"> the </w:t>
      </w:r>
      <w:r w:rsidR="00BD728B">
        <w:t>preferable</w:t>
      </w:r>
      <w:r w:rsidR="009B7A9C" w:rsidRPr="004A39DA">
        <w:t xml:space="preserve"> proceeding</w:t>
      </w:r>
      <w:r w:rsidR="00951591" w:rsidRPr="004A39DA">
        <w:t>s</w:t>
      </w:r>
      <w:r w:rsidR="009B7A9C" w:rsidRPr="004A39DA">
        <w:t xml:space="preserve"> for</w:t>
      </w:r>
      <w:r w:rsidR="009B7A9C">
        <w:t xml:space="preserve"> group members and was to be the only open class action to go forward, notwithstanding that </w:t>
      </w:r>
      <w:r w:rsidR="00FA5041">
        <w:t>such Basil</w:t>
      </w:r>
      <w:r w:rsidR="009B7A9C">
        <w:t xml:space="preserve"> group members had signed funding agreements with ICP Capital</w:t>
      </w:r>
      <w:r w:rsidR="00062DE4">
        <w:t>.  A</w:t>
      </w:r>
      <w:r w:rsidR="009E317D">
        <w:t xml:space="preserve">ny contractual restraint on opt out </w:t>
      </w:r>
      <w:r w:rsidR="00F70546">
        <w:t>of the Basil proceedings would have</w:t>
      </w:r>
      <w:r w:rsidR="009E317D">
        <w:t xml:space="preserve"> no force or effect in the face of my orders or any statutory right to opt out.</w:t>
      </w:r>
    </w:p>
    <w:p w:rsidR="00EB60A2" w:rsidRDefault="00EB60A2" w:rsidP="00CD1724">
      <w:pPr>
        <w:pStyle w:val="ListNo2"/>
        <w:numPr>
          <w:ilvl w:val="1"/>
          <w:numId w:val="27"/>
        </w:numPr>
      </w:pPr>
      <w:r>
        <w:t>M</w:t>
      </w:r>
      <w:r w:rsidR="00031A04">
        <w:t>embers of the Basil p</w:t>
      </w:r>
      <w:r>
        <w:t>roceeding</w:t>
      </w:r>
      <w:r w:rsidR="00951591">
        <w:t>s</w:t>
      </w:r>
      <w:r w:rsidR="00F70546">
        <w:t xml:space="preserve"> who had</w:t>
      </w:r>
      <w:r>
        <w:t xml:space="preserve"> signed a funding agreement with ICP Capital and who opt</w:t>
      </w:r>
      <w:r w:rsidR="00FA5041">
        <w:t xml:space="preserve"> </w:t>
      </w:r>
      <w:r>
        <w:t xml:space="preserve">out of </w:t>
      </w:r>
      <w:r w:rsidR="00031A04">
        <w:t>the McKay proceeding</w:t>
      </w:r>
      <w:r w:rsidR="00951591">
        <w:t>s</w:t>
      </w:r>
      <w:r w:rsidR="00031A04">
        <w:t xml:space="preserve"> (but not the Basil p</w:t>
      </w:r>
      <w:r>
        <w:t>roceeding</w:t>
      </w:r>
      <w:r w:rsidR="00951591">
        <w:t>s</w:t>
      </w:r>
      <w:r>
        <w:t xml:space="preserve">) by the opt out date </w:t>
      </w:r>
      <w:r w:rsidR="00F70546">
        <w:t>would only</w:t>
      </w:r>
      <w:r>
        <w:t xml:space="preserve"> be members of the Basil </w:t>
      </w:r>
      <w:r w:rsidR="00031A04">
        <w:t>p</w:t>
      </w:r>
      <w:r>
        <w:t>roceeding</w:t>
      </w:r>
      <w:r w:rsidR="00951591">
        <w:t>s</w:t>
      </w:r>
      <w:r>
        <w:t>.</w:t>
      </w:r>
    </w:p>
    <w:p w:rsidR="009B7A9C" w:rsidRDefault="00EB60A2" w:rsidP="00CD1724">
      <w:pPr>
        <w:pStyle w:val="ListNo2"/>
        <w:numPr>
          <w:ilvl w:val="1"/>
          <w:numId w:val="27"/>
        </w:numPr>
      </w:pPr>
      <w:r>
        <w:t>M</w:t>
      </w:r>
      <w:r w:rsidR="00031A04">
        <w:t>embers of the Basil p</w:t>
      </w:r>
      <w:r>
        <w:t>roceeding</w:t>
      </w:r>
      <w:r w:rsidR="00951591">
        <w:t>s</w:t>
      </w:r>
      <w:r>
        <w:t xml:space="preserve"> who ha</w:t>
      </w:r>
      <w:r w:rsidR="00F70546">
        <w:t>d</w:t>
      </w:r>
      <w:r>
        <w:t xml:space="preserve"> signed a funding agreem</w:t>
      </w:r>
      <w:r w:rsidR="00FA5041">
        <w:t xml:space="preserve">ent with ICP Capital and who did </w:t>
      </w:r>
      <w:r>
        <w:t>not opt out of either</w:t>
      </w:r>
      <w:r w:rsidR="009E317D">
        <w:t xml:space="preserve"> of the</w:t>
      </w:r>
      <w:r>
        <w:t xml:space="preserve"> proceeding</w:t>
      </w:r>
      <w:r w:rsidR="009E317D">
        <w:t>s</w:t>
      </w:r>
      <w:r>
        <w:t xml:space="preserve"> by the opt out date </w:t>
      </w:r>
      <w:r w:rsidR="00F70546">
        <w:t>would be</w:t>
      </w:r>
      <w:r>
        <w:t xml:space="preserve"> taken </w:t>
      </w:r>
      <w:r w:rsidR="00031A04">
        <w:t>to have opted out of the McKay p</w:t>
      </w:r>
      <w:r>
        <w:t>roceeding</w:t>
      </w:r>
      <w:r w:rsidR="00951591">
        <w:t>s</w:t>
      </w:r>
      <w:r w:rsidR="00A62719">
        <w:t xml:space="preserve"> and be members of the Basil proceedings</w:t>
      </w:r>
      <w:r w:rsidR="00F70546">
        <w:t>.</w:t>
      </w:r>
    </w:p>
    <w:p w:rsidR="00EB60A2" w:rsidRDefault="00FA5041" w:rsidP="009B7A9C">
      <w:pPr>
        <w:pStyle w:val="ParaNumbering"/>
      </w:pPr>
      <w:r>
        <w:t>Orders</w:t>
      </w:r>
      <w:r w:rsidR="009B7A9C">
        <w:t xml:space="preserve"> of this kind would have the consequence t</w:t>
      </w:r>
      <w:r>
        <w:t>hat after the opt out date in each of the proceedings:</w:t>
      </w:r>
    </w:p>
    <w:p w:rsidR="00EB60A2" w:rsidRPr="009E317D" w:rsidRDefault="00031A04" w:rsidP="00CD1724">
      <w:pPr>
        <w:pStyle w:val="ListNo2"/>
        <w:numPr>
          <w:ilvl w:val="1"/>
          <w:numId w:val="28"/>
        </w:numPr>
      </w:pPr>
      <w:r>
        <w:t xml:space="preserve">the Basil </w:t>
      </w:r>
      <w:r w:rsidRPr="009E317D">
        <w:t>p</w:t>
      </w:r>
      <w:r w:rsidR="009B7A9C" w:rsidRPr="009E317D">
        <w:t>roceeding</w:t>
      </w:r>
      <w:r w:rsidR="003714B0" w:rsidRPr="009E317D">
        <w:t>s</w:t>
      </w:r>
      <w:r w:rsidR="009B7A9C" w:rsidRPr="009E317D">
        <w:t xml:space="preserve"> would </w:t>
      </w:r>
      <w:r w:rsidR="006C5865">
        <w:t>be</w:t>
      </w:r>
      <w:r w:rsidR="00EB60A2" w:rsidRPr="009E317D">
        <w:t xml:space="preserve"> a “closed” class action</w:t>
      </w:r>
      <w:r w:rsidR="006C5865">
        <w:t xml:space="preserve"> consisting of signed Basil group members</w:t>
      </w:r>
      <w:r w:rsidR="00FA5041">
        <w:t xml:space="preserve"> only</w:t>
      </w:r>
      <w:r w:rsidR="00EB60A2" w:rsidRPr="009E317D">
        <w:t>; and</w:t>
      </w:r>
    </w:p>
    <w:p w:rsidR="009B7A9C" w:rsidRDefault="00031A04" w:rsidP="00CD1724">
      <w:pPr>
        <w:pStyle w:val="ListNo2"/>
        <w:numPr>
          <w:ilvl w:val="1"/>
          <w:numId w:val="28"/>
        </w:numPr>
      </w:pPr>
      <w:r w:rsidRPr="009E317D">
        <w:t>the McKay p</w:t>
      </w:r>
      <w:r w:rsidR="009B7A9C" w:rsidRPr="009E317D">
        <w:t>roceeding</w:t>
      </w:r>
      <w:r w:rsidR="003714B0" w:rsidRPr="009E317D">
        <w:t>s</w:t>
      </w:r>
      <w:r w:rsidR="009B7A9C" w:rsidRPr="009E317D">
        <w:t xml:space="preserve"> would</w:t>
      </w:r>
      <w:r w:rsidR="009B7A9C">
        <w:t xml:space="preserve"> be the “default” open class action</w:t>
      </w:r>
      <w:r w:rsidR="006C5865">
        <w:t xml:space="preserve"> with both signed and unsigned McKay group members</w:t>
      </w:r>
      <w:r w:rsidR="009B7A9C">
        <w:t>.</w:t>
      </w:r>
    </w:p>
    <w:p w:rsidR="009B7A9C" w:rsidRDefault="00031A04" w:rsidP="009B7A9C">
      <w:pPr>
        <w:pStyle w:val="ParaNumbering"/>
      </w:pPr>
      <w:r>
        <w:t>Mr Michael Garner, counsel for the respondent in both proceedings</w:t>
      </w:r>
      <w:r w:rsidR="001135F5">
        <w:t xml:space="preserve">, </w:t>
      </w:r>
      <w:r>
        <w:t>submitted that I should not make a class cl</w:t>
      </w:r>
      <w:r w:rsidR="00062DE4">
        <w:t>osure order.  T</w:t>
      </w:r>
      <w:r w:rsidR="001135F5">
        <w:t>he respondent’s preferred option was a</w:t>
      </w:r>
      <w:r w:rsidR="009E317D">
        <w:t xml:space="preserve"> permanent</w:t>
      </w:r>
      <w:r w:rsidR="001135F5">
        <w:t xml:space="preserve"> stay of one of the proceedings</w:t>
      </w:r>
      <w:r w:rsidR="00062DE4">
        <w:t>,</w:t>
      </w:r>
      <w:r w:rsidR="009E317D">
        <w:t xml:space="preserve"> which I have rejected</w:t>
      </w:r>
      <w:r w:rsidR="001135F5">
        <w:t xml:space="preserve">.  Mr Garner </w:t>
      </w:r>
      <w:r>
        <w:t>adv</w:t>
      </w:r>
      <w:r w:rsidR="001135F5">
        <w:t>anced the following contentions.</w:t>
      </w:r>
    </w:p>
    <w:p w:rsidR="00031A04" w:rsidRPr="0036391A" w:rsidRDefault="001135F5" w:rsidP="001135F5">
      <w:pPr>
        <w:pStyle w:val="ParaNumbering"/>
      </w:pPr>
      <w:r>
        <w:lastRenderedPageBreak/>
        <w:t xml:space="preserve">First, if </w:t>
      </w:r>
      <w:r w:rsidR="009B7A9C" w:rsidRPr="0036391A">
        <w:t xml:space="preserve">one class is closed, then both proceedings will be heard in a joint trial. </w:t>
      </w:r>
      <w:r w:rsidR="00B1482A" w:rsidRPr="0036391A">
        <w:t xml:space="preserve"> </w:t>
      </w:r>
      <w:r>
        <w:t>But t</w:t>
      </w:r>
      <w:r w:rsidR="009B7A9C" w:rsidRPr="0036391A">
        <w:t xml:space="preserve">hat </w:t>
      </w:r>
      <w:r w:rsidR="006537FE" w:rsidRPr="0036391A">
        <w:t>would</w:t>
      </w:r>
      <w:r w:rsidR="009B7A9C" w:rsidRPr="0036391A">
        <w:t xml:space="preserve"> result in duplication of work, including in respect of pleadings, discovery and</w:t>
      </w:r>
      <w:r w:rsidR="00B1482A" w:rsidRPr="0036391A">
        <w:t xml:space="preserve"> interlocutory applications.  </w:t>
      </w:r>
      <w:r w:rsidR="009B7A9C" w:rsidRPr="0036391A">
        <w:t xml:space="preserve">There </w:t>
      </w:r>
      <w:r w:rsidR="006537FE" w:rsidRPr="0036391A">
        <w:t>would</w:t>
      </w:r>
      <w:r w:rsidR="00622E38" w:rsidRPr="0036391A">
        <w:t xml:space="preserve"> </w:t>
      </w:r>
      <w:r w:rsidR="009B7A9C" w:rsidRPr="0036391A">
        <w:t xml:space="preserve">be inefficiencies for </w:t>
      </w:r>
      <w:r w:rsidR="00622E38" w:rsidRPr="0036391A">
        <w:t xml:space="preserve">the respondent </w:t>
      </w:r>
      <w:r w:rsidR="009B7A9C" w:rsidRPr="0036391A">
        <w:t xml:space="preserve">(who </w:t>
      </w:r>
      <w:r w:rsidR="006537FE" w:rsidRPr="0036391A">
        <w:t>would</w:t>
      </w:r>
      <w:r w:rsidR="00622E38" w:rsidRPr="0036391A">
        <w:t xml:space="preserve"> </w:t>
      </w:r>
      <w:r w:rsidR="009B7A9C" w:rsidRPr="0036391A">
        <w:t>remain exposed to two sets of adverse costs orders</w:t>
      </w:r>
      <w:r w:rsidR="009E317D">
        <w:t>) and</w:t>
      </w:r>
      <w:r w:rsidR="00622E38" w:rsidRPr="0036391A">
        <w:t xml:space="preserve"> inefficiencies for the Court</w:t>
      </w:r>
      <w:r w:rsidR="009E317D">
        <w:t>.  Moreover,</w:t>
      </w:r>
      <w:r w:rsidR="009B7A9C" w:rsidRPr="0036391A">
        <w:t xml:space="preserve"> the potential return for group </w:t>
      </w:r>
      <w:r w:rsidR="00B1482A" w:rsidRPr="0036391A">
        <w:t>members may well be reduced.</w:t>
      </w:r>
      <w:r w:rsidR="00622E38" w:rsidRPr="0036391A">
        <w:t xml:space="preserve">  </w:t>
      </w:r>
      <w:r w:rsidR="006537FE" w:rsidRPr="0036391A">
        <w:t>It is said that s</w:t>
      </w:r>
      <w:r w:rsidR="009B7A9C" w:rsidRPr="0036391A">
        <w:t>uch outcomes are not justified.</w:t>
      </w:r>
      <w:r w:rsidR="00FA5041">
        <w:t xml:space="preserve">  Now I have addressed these matters earlier and there are steps that I propose to consider (as I discuss later) that will ameliorate these concerns.</w:t>
      </w:r>
      <w:r w:rsidR="009B7A9C" w:rsidRPr="0036391A">
        <w:t xml:space="preserve"> </w:t>
      </w:r>
      <w:r w:rsidR="00B1482A" w:rsidRPr="0036391A">
        <w:t xml:space="preserve"> </w:t>
      </w:r>
      <w:r>
        <w:t xml:space="preserve">It is </w:t>
      </w:r>
      <w:r w:rsidR="00FA5041">
        <w:t xml:space="preserve">also </w:t>
      </w:r>
      <w:r>
        <w:t>said that t</w:t>
      </w:r>
      <w:r w:rsidR="00B1482A" w:rsidRPr="0036391A">
        <w:t>he McKay p</w:t>
      </w:r>
      <w:r w:rsidR="009B7A9C" w:rsidRPr="0036391A">
        <w:t>roceeding</w:t>
      </w:r>
      <w:r>
        <w:t>s</w:t>
      </w:r>
      <w:r w:rsidR="009B7A9C" w:rsidRPr="0036391A">
        <w:t xml:space="preserve"> and Basil </w:t>
      </w:r>
      <w:r w:rsidR="00B1482A" w:rsidRPr="0036391A">
        <w:t>p</w:t>
      </w:r>
      <w:r w:rsidR="009B7A9C" w:rsidRPr="0036391A">
        <w:t>roceeding</w:t>
      </w:r>
      <w:r>
        <w:t>s are substantially the same and</w:t>
      </w:r>
      <w:r w:rsidR="009E317D">
        <w:t xml:space="preserve"> that</w:t>
      </w:r>
      <w:r>
        <w:t xml:space="preserve"> the present context </w:t>
      </w:r>
      <w:r w:rsidR="009B7A9C" w:rsidRPr="0036391A">
        <w:t xml:space="preserve">is not a </w:t>
      </w:r>
      <w:r>
        <w:t>scenario</w:t>
      </w:r>
      <w:r w:rsidR="009B7A9C" w:rsidRPr="0036391A">
        <w:t xml:space="preserve"> like </w:t>
      </w:r>
      <w:r w:rsidR="009B7A9C" w:rsidRPr="0036391A">
        <w:rPr>
          <w:i/>
        </w:rPr>
        <w:t>Smith</w:t>
      </w:r>
      <w:r w:rsidR="009B7A9C" w:rsidRPr="0036391A">
        <w:t>, where the two proceedings offer</w:t>
      </w:r>
      <w:r w:rsidR="009E317D">
        <w:t>ed true alternatives</w:t>
      </w:r>
      <w:r w:rsidR="009B7A9C" w:rsidRPr="0036391A">
        <w:t xml:space="preserve"> such that one could succeed and one could fail. </w:t>
      </w:r>
      <w:r w:rsidR="00B1482A" w:rsidRPr="0036391A">
        <w:t xml:space="preserve"> </w:t>
      </w:r>
      <w:r w:rsidR="009B7A9C" w:rsidRPr="0036391A">
        <w:t xml:space="preserve">Rather, </w:t>
      </w:r>
      <w:r>
        <w:t>it is said that in the present context</w:t>
      </w:r>
      <w:r w:rsidR="006537FE" w:rsidRPr="0036391A">
        <w:t xml:space="preserve"> </w:t>
      </w:r>
      <w:r w:rsidR="009B7A9C" w:rsidRPr="0036391A">
        <w:t>the choice is simply which legal advisors and funders should be permitted to advance what is effect</w:t>
      </w:r>
      <w:r w:rsidR="009E317D">
        <w:t>ively the same proceedings.</w:t>
      </w:r>
      <w:r w:rsidR="00FA5041">
        <w:t xml:space="preserve">  Now that is true so far as it goes but it ignores the signed up group members’ interests and the funding choices that they have made.</w:t>
      </w:r>
    </w:p>
    <w:p w:rsidR="00031A04" w:rsidRDefault="001135F5" w:rsidP="001135F5">
      <w:pPr>
        <w:pStyle w:val="ParaNumbering"/>
      </w:pPr>
      <w:r>
        <w:t>Second, it was contended</w:t>
      </w:r>
      <w:r w:rsidR="006537FE" w:rsidRPr="0036391A">
        <w:t xml:space="preserve"> that class closure of </w:t>
      </w:r>
      <w:r w:rsidR="00FA5041">
        <w:t>one of the proceedings</w:t>
      </w:r>
      <w:r w:rsidR="009B7A9C" w:rsidRPr="0036391A">
        <w:t xml:space="preserve"> would require there to be an opt </w:t>
      </w:r>
      <w:r w:rsidR="00622E38" w:rsidRPr="0036391A">
        <w:t>out process in both proceedings</w:t>
      </w:r>
      <w:r w:rsidR="009B7A9C" w:rsidRPr="0036391A">
        <w:t xml:space="preserve"> conducted sim</w:t>
      </w:r>
      <w:r w:rsidR="00062DE4">
        <w:t xml:space="preserve">ultaneously, which would be </w:t>
      </w:r>
      <w:r w:rsidR="009B7A9C" w:rsidRPr="0036391A">
        <w:t xml:space="preserve">expensive and confusing for group members. </w:t>
      </w:r>
      <w:r w:rsidR="00B1482A" w:rsidRPr="0036391A">
        <w:t xml:space="preserve"> </w:t>
      </w:r>
      <w:r w:rsidR="009B7A9C" w:rsidRPr="0036391A">
        <w:t xml:space="preserve">In addition, if a class closure order of the kind described above is made, there </w:t>
      </w:r>
      <w:r w:rsidR="006537FE" w:rsidRPr="0036391A">
        <w:t>would</w:t>
      </w:r>
      <w:r w:rsidR="00622E38" w:rsidRPr="0036391A">
        <w:t xml:space="preserve"> </w:t>
      </w:r>
      <w:r w:rsidR="009B7A9C" w:rsidRPr="0036391A">
        <w:t>inevitably be a ne</w:t>
      </w:r>
      <w:r w:rsidR="009E317D">
        <w:t xml:space="preserve">ed for a further </w:t>
      </w:r>
      <w:r w:rsidR="00B1482A" w:rsidRPr="0036391A">
        <w:t>conventional</w:t>
      </w:r>
      <w:r w:rsidR="009B7A9C" w:rsidRPr="0036391A">
        <w:t xml:space="preserve"> class closure </w:t>
      </w:r>
      <w:r w:rsidR="009E317D">
        <w:t xml:space="preserve">mechanism </w:t>
      </w:r>
      <w:r w:rsidR="009B7A9C" w:rsidRPr="0036391A">
        <w:t xml:space="preserve">at a later time in respect of the “default” open class, which </w:t>
      </w:r>
      <w:r w:rsidR="006537FE" w:rsidRPr="0036391A">
        <w:t>would</w:t>
      </w:r>
      <w:r w:rsidR="00622E38" w:rsidRPr="0036391A">
        <w:t xml:space="preserve"> </w:t>
      </w:r>
      <w:r w:rsidR="009B7A9C" w:rsidRPr="0036391A">
        <w:t>also occur at the expense of group m</w:t>
      </w:r>
      <w:r w:rsidR="00031A04" w:rsidRPr="0036391A">
        <w:t>embers.</w:t>
      </w:r>
      <w:r w:rsidR="006537FE" w:rsidRPr="0036391A">
        <w:t xml:space="preserve">  Accordingly, it </w:t>
      </w:r>
      <w:r w:rsidR="009E317D">
        <w:t>was contended</w:t>
      </w:r>
      <w:r w:rsidR="006537FE" w:rsidRPr="0036391A">
        <w:t xml:space="preserve"> that the class closure option for dealing with the problem of overlapping group members would likely result in two opt out regimes (one </w:t>
      </w:r>
      <w:r w:rsidR="006537FE" w:rsidRPr="006C5865">
        <w:t>initially in each</w:t>
      </w:r>
      <w:r w:rsidR="006C5865" w:rsidRPr="006C5865">
        <w:t xml:space="preserve"> </w:t>
      </w:r>
      <w:r w:rsidR="003714B0" w:rsidRPr="006C5865">
        <w:t>of the</w:t>
      </w:r>
      <w:r w:rsidR="006537FE" w:rsidRPr="006C5865">
        <w:t xml:space="preserve"> proceeding</w:t>
      </w:r>
      <w:r w:rsidR="003714B0" w:rsidRPr="006C5865">
        <w:t>s</w:t>
      </w:r>
      <w:r w:rsidR="006537FE" w:rsidRPr="006C5865">
        <w:t>),</w:t>
      </w:r>
      <w:r w:rsidR="006537FE" w:rsidRPr="0036391A">
        <w:t xml:space="preserve"> followed at</w:t>
      </w:r>
      <w:r w:rsidR="009E317D">
        <w:t xml:space="preserve"> a later time by a third conventional</w:t>
      </w:r>
      <w:r w:rsidR="006537FE">
        <w:t xml:space="preserve"> class closure regime in the “default” open class action.  It is said that th</w:t>
      </w:r>
      <w:r w:rsidR="00FA5041">
        <w:t>is can be contrasted with a permanent stay of one of the proceedings</w:t>
      </w:r>
      <w:r w:rsidR="006537FE">
        <w:t xml:space="preserve">, pursuant to which </w:t>
      </w:r>
      <w:r w:rsidR="006537FE" w:rsidRPr="00D82246">
        <w:t xml:space="preserve">there </w:t>
      </w:r>
      <w:r w:rsidR="00A720E2" w:rsidRPr="00D82246">
        <w:t xml:space="preserve">would </w:t>
      </w:r>
      <w:r w:rsidR="006537FE" w:rsidRPr="00D82246">
        <w:t xml:space="preserve">only be one opt out/class closure regime.  In short, it is said that the stay option </w:t>
      </w:r>
      <w:r w:rsidR="00A720E2" w:rsidRPr="00D82246">
        <w:t>would</w:t>
      </w:r>
      <w:r w:rsidR="006537FE" w:rsidRPr="00D82246">
        <w:t xml:space="preserve"> be</w:t>
      </w:r>
      <w:r w:rsidR="006537FE">
        <w:t xml:space="preserve"> much less expensive and much less confusing for group members than the class closure option.</w:t>
      </w:r>
      <w:r w:rsidR="00FA5041">
        <w:t xml:space="preserve">  These submissions are accurate to some extent but they do not compellingly support a case for a stay.</w:t>
      </w:r>
    </w:p>
    <w:p w:rsidR="009B7A9C" w:rsidRPr="0036391A" w:rsidRDefault="001135F5" w:rsidP="001135F5">
      <w:pPr>
        <w:pStyle w:val="ParaNumbering"/>
      </w:pPr>
      <w:r>
        <w:t>Third,</w:t>
      </w:r>
      <w:r w:rsidR="006537FE" w:rsidRPr="0036391A">
        <w:t xml:space="preserve"> it is said that</w:t>
      </w:r>
      <w:r w:rsidR="009B7A9C" w:rsidRPr="0036391A">
        <w:t xml:space="preserve"> if the Court adopts the class closure option, it </w:t>
      </w:r>
      <w:r w:rsidR="006537FE" w:rsidRPr="0036391A">
        <w:t>would</w:t>
      </w:r>
      <w:r w:rsidR="00622E38" w:rsidRPr="0036391A">
        <w:t xml:space="preserve"> </w:t>
      </w:r>
      <w:r w:rsidR="009B7A9C" w:rsidRPr="0036391A">
        <w:t xml:space="preserve">in any event be </w:t>
      </w:r>
      <w:r w:rsidR="009B7A9C" w:rsidRPr="00FD45E8">
        <w:t>required t</w:t>
      </w:r>
      <w:r w:rsidR="00B1482A" w:rsidRPr="00FD45E8">
        <w:t>o determine which of the McKay proceeding</w:t>
      </w:r>
      <w:r w:rsidRPr="00FD45E8">
        <w:t>s</w:t>
      </w:r>
      <w:r w:rsidR="00B1482A" w:rsidRPr="00FD45E8">
        <w:t xml:space="preserve"> and the Basil p</w:t>
      </w:r>
      <w:r w:rsidR="009B7A9C" w:rsidRPr="00FD45E8">
        <w:t>roceeding</w:t>
      </w:r>
      <w:r w:rsidRPr="00FD45E8">
        <w:t>s</w:t>
      </w:r>
      <w:r w:rsidR="009B7A9C" w:rsidRPr="00FD45E8">
        <w:t xml:space="preserve"> is the </w:t>
      </w:r>
      <w:r w:rsidR="00FA5041" w:rsidRPr="00FD45E8">
        <w:t>preferable</w:t>
      </w:r>
      <w:r w:rsidR="00B1482A" w:rsidRPr="00FD45E8">
        <w:t xml:space="preserve"> </w:t>
      </w:r>
      <w:r w:rsidR="00FA5041" w:rsidRPr="00FD45E8">
        <w:t xml:space="preserve">set of </w:t>
      </w:r>
      <w:r w:rsidR="00B1482A" w:rsidRPr="00FD45E8">
        <w:t>proceeding</w:t>
      </w:r>
      <w:r w:rsidR="00FA5041" w:rsidRPr="00FD45E8">
        <w:t>s</w:t>
      </w:r>
      <w:r w:rsidR="00B1482A" w:rsidRPr="00FD45E8">
        <w:t xml:space="preserve"> for group</w:t>
      </w:r>
      <w:r w:rsidR="00B1482A" w:rsidRPr="0036391A">
        <w:t xml:space="preserve"> members </w:t>
      </w:r>
      <w:r w:rsidR="009B7A9C" w:rsidRPr="0036391A">
        <w:t xml:space="preserve">so as to determine which of the two proceedings should be the “default” open class action. </w:t>
      </w:r>
      <w:r w:rsidR="0078645D" w:rsidRPr="0036391A">
        <w:t xml:space="preserve"> </w:t>
      </w:r>
      <w:r w:rsidR="006537FE" w:rsidRPr="0036391A">
        <w:t>It is said that i</w:t>
      </w:r>
      <w:r w:rsidR="009B7A9C" w:rsidRPr="0036391A">
        <w:t xml:space="preserve">f that determination is made, the </w:t>
      </w:r>
      <w:r w:rsidR="00FA5041">
        <w:t>appropriate</w:t>
      </w:r>
      <w:r w:rsidR="009B7A9C" w:rsidRPr="0036391A">
        <w:t xml:space="preserve"> course is for the Court </w:t>
      </w:r>
      <w:r w:rsidR="009B7A9C" w:rsidRPr="00FD45E8">
        <w:t xml:space="preserve">to allow the </w:t>
      </w:r>
      <w:r w:rsidR="00FA5041" w:rsidRPr="00FD45E8">
        <w:t>preferable</w:t>
      </w:r>
      <w:r w:rsidR="009B7A9C" w:rsidRPr="00FD45E8">
        <w:t xml:space="preserve"> proceeding</w:t>
      </w:r>
      <w:r w:rsidR="00FA5041" w:rsidRPr="00FD45E8">
        <w:t>s</w:t>
      </w:r>
      <w:r w:rsidR="009B7A9C" w:rsidRPr="00FD45E8">
        <w:t xml:space="preserve"> to c</w:t>
      </w:r>
      <w:r w:rsidR="00622E38" w:rsidRPr="00FD45E8">
        <w:t xml:space="preserve">ontinue </w:t>
      </w:r>
      <w:r w:rsidR="00622E38" w:rsidRPr="00FD45E8">
        <w:lastRenderedPageBreak/>
        <w:t>as an open class action</w:t>
      </w:r>
      <w:r w:rsidR="009B7A9C" w:rsidRPr="00FD45E8">
        <w:t xml:space="preserve"> and</w:t>
      </w:r>
      <w:r w:rsidR="006537FE" w:rsidRPr="00FD45E8">
        <w:t xml:space="preserve"> </w:t>
      </w:r>
      <w:r w:rsidR="00622E38" w:rsidRPr="00FD45E8">
        <w:t>to</w:t>
      </w:r>
      <w:r w:rsidR="006537FE" w:rsidRPr="00FD45E8">
        <w:t xml:space="preserve"> stay the other proceeding</w:t>
      </w:r>
      <w:r w:rsidR="009E317D" w:rsidRPr="00FD45E8">
        <w:t>s</w:t>
      </w:r>
      <w:r w:rsidR="006F2557" w:rsidRPr="00FD45E8">
        <w:t xml:space="preserve">.  But </w:t>
      </w:r>
      <w:r w:rsidR="00FA5041" w:rsidRPr="00FD45E8">
        <w:t xml:space="preserve">again this ignores the position of the </w:t>
      </w:r>
      <w:r w:rsidR="00FD45E8" w:rsidRPr="00FD45E8">
        <w:t xml:space="preserve">signed up group members in the </w:t>
      </w:r>
      <w:r w:rsidR="00FA5041" w:rsidRPr="00FD45E8">
        <w:t xml:space="preserve">proceedings to be </w:t>
      </w:r>
      <w:r w:rsidR="00FD45E8" w:rsidRPr="00FD45E8">
        <w:t>stayed</w:t>
      </w:r>
      <w:r w:rsidR="00FA5041" w:rsidRPr="00FD45E8">
        <w:t>.</w:t>
      </w:r>
    </w:p>
    <w:p w:rsidR="007407C8" w:rsidRDefault="006537FE" w:rsidP="001135F5">
      <w:pPr>
        <w:pStyle w:val="ParaNumbering"/>
      </w:pPr>
      <w:r>
        <w:t>Mr Garner’s subm</w:t>
      </w:r>
      <w:r w:rsidR="001135F5">
        <w:t>issions have considerable force, although his second and third submissions travel beyond the interests of the respondent.</w:t>
      </w:r>
      <w:r>
        <w:t xml:space="preserve">  </w:t>
      </w:r>
      <w:r w:rsidR="0078645D">
        <w:t xml:space="preserve">But as I have indicated, I do not consider that a proper basis has been shown for staying one of the proceedings if I eliminate the overlap in group membership and have one open class and one closed class.  </w:t>
      </w:r>
      <w:r w:rsidR="00062DE4">
        <w:t>T</w:t>
      </w:r>
      <w:r w:rsidR="0078645D">
        <w:t>he question that arises</w:t>
      </w:r>
      <w:r w:rsidR="00DB4CCC">
        <w:t xml:space="preserve"> is which</w:t>
      </w:r>
      <w:r w:rsidR="007407C8">
        <w:t xml:space="preserve"> class should be closed: the McKay class or the Basil class?</w:t>
      </w:r>
      <w:r w:rsidR="001135F5">
        <w:t xml:space="preserve">  </w:t>
      </w:r>
      <w:r w:rsidR="007407C8">
        <w:t>In answering that question, the principal and overriding consideration is the best interests of group members.  But what does this mean precisely in the present context?  On one analysis I have four classes of group members</w:t>
      </w:r>
      <w:r w:rsidR="001135F5">
        <w:t xml:space="preserve"> to consider</w:t>
      </w:r>
      <w:r w:rsidR="007407C8">
        <w:t xml:space="preserve"> being:</w:t>
      </w:r>
    </w:p>
    <w:p w:rsidR="007407C8" w:rsidRDefault="007407C8" w:rsidP="00CD1724">
      <w:pPr>
        <w:pStyle w:val="ListNo2"/>
        <w:numPr>
          <w:ilvl w:val="1"/>
          <w:numId w:val="29"/>
        </w:numPr>
      </w:pPr>
      <w:r>
        <w:t>the signed up group members</w:t>
      </w:r>
      <w:r w:rsidR="006537FE">
        <w:t xml:space="preserve"> in the McKay proceeding</w:t>
      </w:r>
      <w:r w:rsidR="001135F5">
        <w:t>s (</w:t>
      </w:r>
      <w:proofErr w:type="spellStart"/>
      <w:r w:rsidR="001135F5">
        <w:t>ie</w:t>
      </w:r>
      <w:proofErr w:type="spellEnd"/>
      <w:r w:rsidR="001135F5">
        <w:t xml:space="preserve"> those that </w:t>
      </w:r>
      <w:r>
        <w:t>have entered into litigation funding agreements and retainer agreement</w:t>
      </w:r>
      <w:r w:rsidR="006537FE">
        <w:t>s with IMF and Slater &amp; Gordon</w:t>
      </w:r>
      <w:r w:rsidR="001135F5">
        <w:t>)</w:t>
      </w:r>
      <w:r w:rsidR="006537FE">
        <w:t>;</w:t>
      </w:r>
    </w:p>
    <w:p w:rsidR="007407C8" w:rsidRDefault="007407C8" w:rsidP="00CD1724">
      <w:pPr>
        <w:pStyle w:val="ListNo2"/>
        <w:numPr>
          <w:ilvl w:val="1"/>
          <w:numId w:val="29"/>
        </w:numPr>
      </w:pPr>
      <w:r>
        <w:t>the balance of the group members in the McKay proceeding</w:t>
      </w:r>
      <w:r w:rsidR="001135F5">
        <w:t>s</w:t>
      </w:r>
      <w:r>
        <w:t>;</w:t>
      </w:r>
    </w:p>
    <w:p w:rsidR="007407C8" w:rsidRDefault="007407C8" w:rsidP="00CD1724">
      <w:pPr>
        <w:pStyle w:val="ListNo2"/>
        <w:numPr>
          <w:ilvl w:val="1"/>
          <w:numId w:val="29"/>
        </w:numPr>
      </w:pPr>
      <w:r>
        <w:t>the signed up group members (</w:t>
      </w:r>
      <w:r w:rsidRPr="006C5865">
        <w:t>with ICP</w:t>
      </w:r>
      <w:r w:rsidR="006C5865" w:rsidRPr="006C5865">
        <w:t xml:space="preserve"> </w:t>
      </w:r>
      <w:r w:rsidR="00D71186" w:rsidRPr="006C5865">
        <w:t>Capital</w:t>
      </w:r>
      <w:r w:rsidR="006C5865" w:rsidRPr="006C5865">
        <w:t xml:space="preserve"> </w:t>
      </w:r>
      <w:r w:rsidRPr="006C5865">
        <w:t>and</w:t>
      </w:r>
      <w:r>
        <w:t xml:space="preserve"> Maurice Blackburn) in the Basil proceeding</w:t>
      </w:r>
      <w:r w:rsidR="001135F5">
        <w:t>s</w:t>
      </w:r>
      <w:r>
        <w:t>;</w:t>
      </w:r>
      <w:r w:rsidR="0057508A">
        <w:t xml:space="preserve"> and</w:t>
      </w:r>
    </w:p>
    <w:p w:rsidR="007407C8" w:rsidRDefault="007407C8" w:rsidP="00CD1724">
      <w:pPr>
        <w:pStyle w:val="ListNo2"/>
        <w:numPr>
          <w:ilvl w:val="1"/>
          <w:numId w:val="29"/>
        </w:numPr>
      </w:pPr>
      <w:r>
        <w:t>the balance of the group members in the Basil proceeding</w:t>
      </w:r>
      <w:r w:rsidR="001135F5">
        <w:t>s</w:t>
      </w:r>
      <w:r>
        <w:t>.</w:t>
      </w:r>
    </w:p>
    <w:p w:rsidR="007407C8" w:rsidRDefault="00FA5041" w:rsidP="001135F5">
      <w:pPr>
        <w:pStyle w:val="ParaNumbering"/>
      </w:pPr>
      <w:r>
        <w:t>Now theoretically</w:t>
      </w:r>
      <w:r w:rsidR="007407C8">
        <w:t xml:space="preserve"> I should consider the best interests of the four classes both separately and collectively.  </w:t>
      </w:r>
      <w:r>
        <w:t xml:space="preserve">But two of these classes can be readily eliminated from further consideration if I allow both proceedings to go forward with one as an open class and the other as a closed class.  In that scenario, the signed up classes referred to in [70(a)] and [70(c)] will have their interests protected whichever class I close.  Therefore I need only further address the classes referred to in [70(b)] and [70(d)], </w:t>
      </w:r>
      <w:proofErr w:type="spellStart"/>
      <w:r>
        <w:t>ie</w:t>
      </w:r>
      <w:proofErr w:type="spellEnd"/>
      <w:r>
        <w:t xml:space="preserve"> the unsigned group members in each of the proceedings.  But these two classes can be reduced to one class for the purposes of </w:t>
      </w:r>
      <w:r w:rsidR="00FC7FC3">
        <w:t>the analysis.  Each may be separately formally stipulated, but in substance their boundaries and content are co-extensive; hence the duplication to be eliminated.  So the question (assuming the duplication is to be eliminated) is</w:t>
      </w:r>
      <w:r w:rsidR="00FD45E8">
        <w:t>:</w:t>
      </w:r>
      <w:r>
        <w:t xml:space="preserve"> which are the preferable proceedings for unsigned group members in both proceedings? What considerations are relevant to answering this question?</w:t>
      </w:r>
      <w:r w:rsidR="001135F5">
        <w:t xml:space="preserve">  </w:t>
      </w:r>
      <w:r w:rsidR="007407C8">
        <w:t>In my view, t</w:t>
      </w:r>
      <w:r w:rsidR="009B7A9C">
        <w:t xml:space="preserve">he following non-exhaustive </w:t>
      </w:r>
      <w:r w:rsidR="007407C8">
        <w:t>considerations are relevant:</w:t>
      </w:r>
    </w:p>
    <w:p w:rsidR="007407C8" w:rsidRDefault="009B7A9C" w:rsidP="00CD1724">
      <w:pPr>
        <w:pStyle w:val="ListNo2"/>
        <w:numPr>
          <w:ilvl w:val="1"/>
          <w:numId w:val="30"/>
        </w:numPr>
      </w:pPr>
      <w:r>
        <w:t>The experience of the practitioners seeking to brin</w:t>
      </w:r>
      <w:r w:rsidR="007407C8">
        <w:t xml:space="preserve">g the representative actions, </w:t>
      </w:r>
      <w:r>
        <w:t xml:space="preserve">although that factor may be confined to whether the practitioners have </w:t>
      </w:r>
      <w:r>
        <w:lastRenderedPageBreak/>
        <w:t xml:space="preserve">sufficient experience and competence to </w:t>
      </w:r>
      <w:r w:rsidRPr="00062DE4">
        <w:t>be able</w:t>
      </w:r>
      <w:r w:rsidR="0035605A" w:rsidRPr="00062DE4">
        <w:t xml:space="preserve"> to</w:t>
      </w:r>
      <w:r w:rsidRPr="00062DE4">
        <w:t xml:space="preserve"> properly</w:t>
      </w:r>
      <w:r>
        <w:t xml:space="preserve"> represent the in</w:t>
      </w:r>
      <w:r w:rsidR="007407C8">
        <w:t>terests of class members.</w:t>
      </w:r>
    </w:p>
    <w:p w:rsidR="007407C8" w:rsidRDefault="009B7A9C" w:rsidP="00CD1724">
      <w:pPr>
        <w:pStyle w:val="ListNo2"/>
        <w:numPr>
          <w:ilvl w:val="1"/>
          <w:numId w:val="30"/>
        </w:numPr>
      </w:pPr>
      <w:r>
        <w:t>The costs the practitioners expect to c</w:t>
      </w:r>
      <w:r w:rsidR="007407C8">
        <w:t>harge for all work performed.</w:t>
      </w:r>
    </w:p>
    <w:p w:rsidR="007407C8" w:rsidRDefault="009B7A9C" w:rsidP="00CD1724">
      <w:pPr>
        <w:pStyle w:val="ListNo2"/>
        <w:numPr>
          <w:ilvl w:val="1"/>
          <w:numId w:val="30"/>
        </w:numPr>
      </w:pPr>
      <w:r>
        <w:t xml:space="preserve">The funding terms in </w:t>
      </w:r>
      <w:r w:rsidRPr="006C5865">
        <w:t xml:space="preserve">each </w:t>
      </w:r>
      <w:r w:rsidR="003714B0" w:rsidRPr="006C5865">
        <w:t xml:space="preserve">of the </w:t>
      </w:r>
      <w:r w:rsidRPr="006C5865">
        <w:t>proceeding</w:t>
      </w:r>
      <w:r w:rsidR="003714B0" w:rsidRPr="006C5865">
        <w:t>s</w:t>
      </w:r>
      <w:r w:rsidRPr="006C5865">
        <w:t xml:space="preserve"> including</w:t>
      </w:r>
      <w:r>
        <w:t xml:space="preserve"> funding </w:t>
      </w:r>
      <w:r w:rsidR="006537FE">
        <w:t xml:space="preserve">terms and conditions and </w:t>
      </w:r>
      <w:r>
        <w:t>percentages.</w:t>
      </w:r>
    </w:p>
    <w:p w:rsidR="007407C8" w:rsidRDefault="009B7A9C" w:rsidP="00CD1724">
      <w:pPr>
        <w:pStyle w:val="ListNo2"/>
        <w:numPr>
          <w:ilvl w:val="1"/>
          <w:numId w:val="30"/>
        </w:numPr>
      </w:pPr>
      <w:r>
        <w:t xml:space="preserve">The resources made available by each firm of solicitors, and their accessibility to </w:t>
      </w:r>
      <w:r w:rsidR="007407C8">
        <w:t>clients.</w:t>
      </w:r>
    </w:p>
    <w:p w:rsidR="00D7407A" w:rsidRDefault="009B7A9C" w:rsidP="00CD1724">
      <w:pPr>
        <w:pStyle w:val="ListNo2"/>
        <w:numPr>
          <w:ilvl w:val="1"/>
          <w:numId w:val="30"/>
        </w:numPr>
      </w:pPr>
      <w:r>
        <w:t xml:space="preserve">Generally, the fact that one </w:t>
      </w:r>
      <w:r w:rsidR="009E317D">
        <w:t xml:space="preserve">of the </w:t>
      </w:r>
      <w:r>
        <w:t>proceeding</w:t>
      </w:r>
      <w:r w:rsidR="009E317D">
        <w:t>s</w:t>
      </w:r>
      <w:r>
        <w:t xml:space="preserve"> was commenced first in time carries littl</w:t>
      </w:r>
      <w:r w:rsidR="00D7407A">
        <w:t>e weight, h</w:t>
      </w:r>
      <w:r>
        <w:t>owever that</w:t>
      </w:r>
      <w:r w:rsidR="00D7407A">
        <w:t xml:space="preserve"> will not always be the case.  </w:t>
      </w:r>
      <w:r>
        <w:t>It may be relevant if one case has been on foot for signi</w:t>
      </w:r>
      <w:r w:rsidR="006537FE">
        <w:t xml:space="preserve">ficantly longer than the other </w:t>
      </w:r>
      <w:r>
        <w:t>and</w:t>
      </w:r>
      <w:r w:rsidR="006537FE">
        <w:t xml:space="preserve"> is therefore more advanced.</w:t>
      </w:r>
      <w:r w:rsidR="00D7407A">
        <w:t xml:space="preserve">  </w:t>
      </w:r>
      <w:r>
        <w:t>Accordingly, the state of preparation o</w:t>
      </w:r>
      <w:r w:rsidR="00D7407A">
        <w:t>f the proceedings is relevant,</w:t>
      </w:r>
      <w:r>
        <w:t xml:space="preserve"> but will not be determinative if both proceedings will be ready for</w:t>
      </w:r>
      <w:r w:rsidR="00D7407A">
        <w:t xml:space="preserve"> trial at the same time.</w:t>
      </w:r>
    </w:p>
    <w:p w:rsidR="00D7407A" w:rsidRDefault="009B7A9C" w:rsidP="00CD1724">
      <w:pPr>
        <w:pStyle w:val="ListNo2"/>
        <w:numPr>
          <w:ilvl w:val="1"/>
          <w:numId w:val="30"/>
        </w:numPr>
      </w:pPr>
      <w:r>
        <w:t>The number of g</w:t>
      </w:r>
      <w:r w:rsidR="009E317D">
        <w:t>roup members signed up to each of the</w:t>
      </w:r>
      <w:r>
        <w:t xml:space="preserve"> p</w:t>
      </w:r>
      <w:r w:rsidR="00D7407A">
        <w:t>roceeding</w:t>
      </w:r>
      <w:r w:rsidR="009E317D">
        <w:t>s.</w:t>
      </w:r>
    </w:p>
    <w:p w:rsidR="00D7407A" w:rsidRDefault="009B7A9C" w:rsidP="00CD1724">
      <w:pPr>
        <w:pStyle w:val="ListNo2"/>
        <w:numPr>
          <w:ilvl w:val="1"/>
          <w:numId w:val="30"/>
        </w:numPr>
      </w:pPr>
      <w:r>
        <w:t xml:space="preserve">Whether </w:t>
      </w:r>
      <w:r w:rsidR="006537FE">
        <w:t xml:space="preserve">each </w:t>
      </w:r>
      <w:r w:rsidR="009E317D">
        <w:t>of the</w:t>
      </w:r>
      <w:r w:rsidR="006537FE">
        <w:t xml:space="preserve"> proceeding</w:t>
      </w:r>
      <w:r w:rsidR="009E317D">
        <w:t>s</w:t>
      </w:r>
      <w:r>
        <w:t xml:space="preserve"> would proceed without a common fund </w:t>
      </w:r>
      <w:r w:rsidR="00D7407A">
        <w:t xml:space="preserve">order, and the </w:t>
      </w:r>
      <w:r>
        <w:t xml:space="preserve">terms of </w:t>
      </w:r>
      <w:r w:rsidR="006537FE">
        <w:t>any proposed common fund order that might be sought.</w:t>
      </w:r>
    </w:p>
    <w:p w:rsidR="00D7407A" w:rsidRDefault="009B7A9C" w:rsidP="00CD1724">
      <w:pPr>
        <w:pStyle w:val="ListNo2"/>
        <w:numPr>
          <w:ilvl w:val="1"/>
          <w:numId w:val="30"/>
        </w:numPr>
      </w:pPr>
      <w:r>
        <w:t>The position adopted by each funder on the q</w:t>
      </w:r>
      <w:r w:rsidR="006537FE">
        <w:t>uestion of security for costs and generally their resources to meet any adverse costs order.</w:t>
      </w:r>
    </w:p>
    <w:p w:rsidR="009B7A9C" w:rsidRDefault="006537FE" w:rsidP="009B7A9C">
      <w:pPr>
        <w:pStyle w:val="ParaNumbering"/>
      </w:pPr>
      <w:r>
        <w:t>In the present context</w:t>
      </w:r>
      <w:r w:rsidR="00D9606C">
        <w:t xml:space="preserve"> as to a comparison between both proceedings</w:t>
      </w:r>
      <w:r>
        <w:t>, c</w:t>
      </w:r>
      <w:r w:rsidR="009B7A9C">
        <w:t>riteria (a), (d), (e), (f) and</w:t>
      </w:r>
      <w:r w:rsidR="001135F5">
        <w:t xml:space="preserve"> the first aspect of</w:t>
      </w:r>
      <w:r w:rsidR="009B7A9C">
        <w:t xml:space="preserve"> (g) </w:t>
      </w:r>
      <w:r w:rsidR="001135F5">
        <w:t>are</w:t>
      </w:r>
      <w:r w:rsidR="009B7A9C">
        <w:t xml:space="preserve"> neutral.</w:t>
      </w:r>
    </w:p>
    <w:p w:rsidR="009B7A9C" w:rsidRDefault="009E317D" w:rsidP="009B7A9C">
      <w:pPr>
        <w:pStyle w:val="ParaNumbering"/>
      </w:pPr>
      <w:r>
        <w:t>First, a</w:t>
      </w:r>
      <w:r w:rsidR="00D7407A">
        <w:t>s to criterion (h),</w:t>
      </w:r>
      <w:r w:rsidR="001135F5">
        <w:t xml:space="preserve"> there are no difficulties concerning the McKay </w:t>
      </w:r>
      <w:r w:rsidR="001135F5" w:rsidRPr="004A39DA">
        <w:t>proceedings, but there are</w:t>
      </w:r>
      <w:r w:rsidR="001135F5">
        <w:t xml:space="preserve"> unresolved questions concerning the Basil proceedings.  I</w:t>
      </w:r>
      <w:r w:rsidR="00D7407A">
        <w:t xml:space="preserve">ssues have been raised </w:t>
      </w:r>
      <w:r w:rsidR="009B7A9C">
        <w:t>about the financial position of ICP Ca</w:t>
      </w:r>
      <w:r>
        <w:t xml:space="preserve">pital (the Basil funder), </w:t>
      </w:r>
      <w:r w:rsidR="009B7A9C">
        <w:t>which</w:t>
      </w:r>
      <w:r w:rsidR="00062DE4">
        <w:t xml:space="preserve"> are</w:t>
      </w:r>
      <w:r w:rsidR="009B7A9C">
        <w:t xml:space="preserve"> relevant to sec</w:t>
      </w:r>
      <w:r w:rsidR="00D7407A">
        <w:t xml:space="preserve">urity for costs </w:t>
      </w:r>
      <w:r w:rsidR="009B7A9C">
        <w:t xml:space="preserve">and the funding of </w:t>
      </w:r>
      <w:r w:rsidR="00D7407A">
        <w:t xml:space="preserve">adverse costs orders.  </w:t>
      </w:r>
      <w:r w:rsidR="009B7A9C">
        <w:t>ICP Capital was</w:t>
      </w:r>
      <w:r w:rsidR="00D7407A">
        <w:t xml:space="preserve"> registered in December 2016.  </w:t>
      </w:r>
      <w:r w:rsidR="009B7A9C">
        <w:t>I</w:t>
      </w:r>
      <w:r w:rsidR="00D7407A">
        <w:t>t has no financial accounts</w:t>
      </w:r>
      <w:r w:rsidR="00062DE4">
        <w:t xml:space="preserve"> and</w:t>
      </w:r>
      <w:r w:rsidR="001135F5">
        <w:t xml:space="preserve"> has</w:t>
      </w:r>
      <w:r w:rsidR="00D7407A">
        <w:t xml:space="preserve"> </w:t>
      </w:r>
      <w:r w:rsidR="009B7A9C">
        <w:t>paid up capital of $1 million</w:t>
      </w:r>
      <w:r w:rsidR="00062DE4">
        <w:t>,</w:t>
      </w:r>
      <w:r w:rsidR="009B7A9C">
        <w:t xml:space="preserve"> </w:t>
      </w:r>
      <w:r w:rsidR="001135F5">
        <w:t>but has $19 </w:t>
      </w:r>
      <w:r w:rsidR="009B7A9C">
        <w:t>million</w:t>
      </w:r>
      <w:r w:rsidR="006537FE">
        <w:t xml:space="preserve"> said to be </w:t>
      </w:r>
      <w:r w:rsidR="009B7A9C">
        <w:t>due and payable from its shareholders.</w:t>
      </w:r>
      <w:r w:rsidR="00D7407A">
        <w:t xml:space="preserve">  </w:t>
      </w:r>
      <w:r w:rsidR="00645C7C">
        <w:t>But t</w:t>
      </w:r>
      <w:r w:rsidR="00D7407A">
        <w:t xml:space="preserve">here is a lack of </w:t>
      </w:r>
      <w:r>
        <w:t xml:space="preserve">real detail (although there is some evidence) </w:t>
      </w:r>
      <w:r w:rsidR="00D7407A">
        <w:t xml:space="preserve">as to </w:t>
      </w:r>
      <w:r w:rsidR="009B7A9C">
        <w:t>the financial</w:t>
      </w:r>
      <w:r>
        <w:t xml:space="preserve"> capacity of those shareholders, </w:t>
      </w:r>
      <w:r w:rsidR="009B7A9C">
        <w:t xml:space="preserve">some of whom are foreign </w:t>
      </w:r>
      <w:r>
        <w:t>corporations,</w:t>
      </w:r>
      <w:r w:rsidR="009B7A9C">
        <w:t xml:space="preserve"> to contribute a further $19 million if </w:t>
      </w:r>
      <w:r w:rsidR="00D7407A">
        <w:t xml:space="preserve">required to do so.  </w:t>
      </w:r>
      <w:r w:rsidR="00645C7C">
        <w:t xml:space="preserve">Further, </w:t>
      </w:r>
      <w:r w:rsidR="009B7A9C">
        <w:t>ICP Capital has said</w:t>
      </w:r>
      <w:r w:rsidR="006537FE">
        <w:t xml:space="preserve"> that it will use the money due and payable</w:t>
      </w:r>
      <w:r w:rsidR="009B7A9C">
        <w:t xml:space="preserve"> from its </w:t>
      </w:r>
      <w:r w:rsidR="00D7407A">
        <w:t>shareholders to fund the Basil p</w:t>
      </w:r>
      <w:r w:rsidR="0057508A">
        <w:t>roceeding</w:t>
      </w:r>
      <w:r w:rsidR="00645C7C">
        <w:t>s</w:t>
      </w:r>
      <w:r w:rsidR="009B7A9C">
        <w:t xml:space="preserve"> and up to two more class actions</w:t>
      </w:r>
      <w:r w:rsidR="00062DE4">
        <w:t>,</w:t>
      </w:r>
      <w:r w:rsidR="009B7A9C">
        <w:t xml:space="preserve"> </w:t>
      </w:r>
      <w:r w:rsidR="00D7407A">
        <w:t xml:space="preserve">conditional on book build.  </w:t>
      </w:r>
      <w:r w:rsidR="00645C7C">
        <w:t>But i</w:t>
      </w:r>
      <w:r w:rsidR="009B7A9C">
        <w:t xml:space="preserve">t is not </w:t>
      </w:r>
      <w:r w:rsidR="00CF3DA9">
        <w:t xml:space="preserve">entirely </w:t>
      </w:r>
      <w:r w:rsidR="009B7A9C">
        <w:t>clear</w:t>
      </w:r>
      <w:r w:rsidR="00CF3DA9">
        <w:t xml:space="preserve"> to me how ICP Capital could fund </w:t>
      </w:r>
      <w:r w:rsidR="009B7A9C">
        <w:t>and provide security in</w:t>
      </w:r>
      <w:r w:rsidR="00062DE4">
        <w:t xml:space="preserve"> each of</w:t>
      </w:r>
      <w:r w:rsidR="009B7A9C">
        <w:t xml:space="preserve"> the Basil </w:t>
      </w:r>
      <w:r w:rsidR="00D7407A">
        <w:lastRenderedPageBreak/>
        <w:t>proceeding</w:t>
      </w:r>
      <w:r w:rsidR="00645C7C">
        <w:t>s</w:t>
      </w:r>
      <w:r w:rsidR="009B7A9C">
        <w:t xml:space="preserve"> a</w:t>
      </w:r>
      <w:r w:rsidR="00D7407A">
        <w:t>nd up to two more class actions</w:t>
      </w:r>
      <w:r w:rsidR="006537FE">
        <w:t xml:space="preserve">.  </w:t>
      </w:r>
      <w:r w:rsidR="00645C7C">
        <w:t xml:space="preserve">However, </w:t>
      </w:r>
      <w:r w:rsidR="009B7A9C">
        <w:t xml:space="preserve">ICP Capital proposes to take out an adverse costs insurance policy </w:t>
      </w:r>
      <w:r w:rsidR="00D7407A">
        <w:t>in the Basil proceeding</w:t>
      </w:r>
      <w:r w:rsidR="00645C7C">
        <w:t>s</w:t>
      </w:r>
      <w:r w:rsidR="00CF3DA9">
        <w:t xml:space="preserve">, </w:t>
      </w:r>
      <w:r w:rsidR="009B7A9C">
        <w:t>whi</w:t>
      </w:r>
      <w:r w:rsidR="00D7407A">
        <w:t>ch may or may not be adequate</w:t>
      </w:r>
      <w:r w:rsidR="00645C7C">
        <w:t>.</w:t>
      </w:r>
    </w:p>
    <w:p w:rsidR="0070431F" w:rsidRPr="004A39DA" w:rsidRDefault="00CF3DA9" w:rsidP="00CF3DA9">
      <w:pPr>
        <w:pStyle w:val="ParaNumbering"/>
      </w:pPr>
      <w:r>
        <w:t>The</w:t>
      </w:r>
      <w:r w:rsidR="001C10A9">
        <w:t xml:space="preserve"> McKay </w:t>
      </w:r>
      <w:r w:rsidR="001C10A9" w:rsidRPr="006C5865">
        <w:t>p</w:t>
      </w:r>
      <w:r w:rsidR="00381849" w:rsidRPr="006C5865">
        <w:t>roceeding</w:t>
      </w:r>
      <w:r w:rsidR="00645C7C" w:rsidRPr="006C5865">
        <w:t>s</w:t>
      </w:r>
      <w:r w:rsidR="00B058BB" w:rsidRPr="006C5865">
        <w:t xml:space="preserve"> offer</w:t>
      </w:r>
      <w:r w:rsidR="00381849" w:rsidRPr="006C5865">
        <w:t xml:space="preserve"> group</w:t>
      </w:r>
      <w:r w:rsidR="00381849" w:rsidRPr="00381849">
        <w:t xml:space="preserve"> members</w:t>
      </w:r>
      <w:r>
        <w:t xml:space="preserve"> greater</w:t>
      </w:r>
      <w:r w:rsidR="00381849" w:rsidRPr="00381849">
        <w:t xml:space="preserve"> certainty in respect of the adequate provision of security for costs and an assurance that their returns</w:t>
      </w:r>
      <w:r w:rsidR="00062DE4">
        <w:t xml:space="preserve"> will not be reduced by the expense</w:t>
      </w:r>
      <w:r w:rsidR="00381849" w:rsidRPr="00381849">
        <w:t xml:space="preserve"> of an adverse costs insurance policy.</w:t>
      </w:r>
      <w:r w:rsidR="006537FE">
        <w:t xml:space="preserve">  </w:t>
      </w:r>
      <w:r w:rsidR="001C10A9">
        <w:t>Contrastingly,</w:t>
      </w:r>
      <w:r w:rsidR="00381849" w:rsidRPr="00381849">
        <w:t xml:space="preserve"> there are</w:t>
      </w:r>
      <w:r w:rsidR="00E833BE">
        <w:t xml:space="preserve"> some</w:t>
      </w:r>
      <w:r w:rsidR="00381849" w:rsidRPr="00381849">
        <w:t xml:space="preserve"> </w:t>
      </w:r>
      <w:r>
        <w:t>risks</w:t>
      </w:r>
      <w:r w:rsidR="00381849" w:rsidRPr="00381849">
        <w:t xml:space="preserve"> with respect to security for </w:t>
      </w:r>
      <w:r w:rsidR="001C10A9">
        <w:t>costs in relation to the Basil p</w:t>
      </w:r>
      <w:r w:rsidR="006537FE">
        <w:t>roceeding</w:t>
      </w:r>
      <w:r w:rsidR="00645C7C">
        <w:t>s</w:t>
      </w:r>
      <w:r w:rsidR="006537FE">
        <w:t>.</w:t>
      </w:r>
      <w:r>
        <w:t xml:space="preserve">  In my view, </w:t>
      </w:r>
      <w:r w:rsidR="00381849" w:rsidRPr="00381849">
        <w:t>there is a</w:t>
      </w:r>
      <w:r>
        <w:t xml:space="preserve"> small</w:t>
      </w:r>
      <w:r w:rsidR="00381849" w:rsidRPr="00381849">
        <w:t xml:space="preserve"> risk that ICP</w:t>
      </w:r>
      <w:r w:rsidR="00645C7C">
        <w:t xml:space="preserve"> Capital</w:t>
      </w:r>
      <w:r w:rsidR="00381849" w:rsidRPr="00381849">
        <w:t xml:space="preserve"> </w:t>
      </w:r>
      <w:r>
        <w:t>may</w:t>
      </w:r>
      <w:r w:rsidR="00381849" w:rsidRPr="00381849">
        <w:t xml:space="preserve"> not ultimately be able to provide adequate security for costs. </w:t>
      </w:r>
      <w:r w:rsidR="00F04AC4">
        <w:t xml:space="preserve"> </w:t>
      </w:r>
      <w:r>
        <w:t>Accordingly, i</w:t>
      </w:r>
      <w:r w:rsidR="00381849" w:rsidRPr="00381849">
        <w:t xml:space="preserve">t is not in the best interests of group members that the McKay </w:t>
      </w:r>
      <w:r w:rsidR="00F04AC4">
        <w:t>p</w:t>
      </w:r>
      <w:r w:rsidR="00381849" w:rsidRPr="00381849">
        <w:t>roceeding</w:t>
      </w:r>
      <w:r w:rsidR="00645C7C">
        <w:t>s</w:t>
      </w:r>
      <w:r>
        <w:t>’ class be closed</w:t>
      </w:r>
      <w:r w:rsidR="006D5C94">
        <w:t xml:space="preserve"> </w:t>
      </w:r>
      <w:r w:rsidR="00381849" w:rsidRPr="00381849">
        <w:t xml:space="preserve">in circumstances where there exists uncertainty as to </w:t>
      </w:r>
      <w:r w:rsidR="00381849" w:rsidRPr="00645C7C">
        <w:t xml:space="preserve">whether the Basil </w:t>
      </w:r>
      <w:r w:rsidR="00F04AC4" w:rsidRPr="00645C7C">
        <w:t>p</w:t>
      </w:r>
      <w:r w:rsidR="00381849" w:rsidRPr="00645C7C">
        <w:t>roceeding</w:t>
      </w:r>
      <w:r w:rsidR="00645C7C" w:rsidRPr="00645C7C">
        <w:t>s</w:t>
      </w:r>
      <w:r w:rsidR="00381849" w:rsidRPr="00645C7C">
        <w:t xml:space="preserve"> will ultimately proceed.</w:t>
      </w:r>
      <w:r w:rsidR="0070431F" w:rsidRPr="00645C7C">
        <w:t xml:space="preserve">  </w:t>
      </w:r>
      <w:r w:rsidR="0070431F" w:rsidRPr="004A39DA">
        <w:t xml:space="preserve">If I were </w:t>
      </w:r>
      <w:r w:rsidR="006D5C94">
        <w:t>to close the class in</w:t>
      </w:r>
      <w:r w:rsidR="0070431F" w:rsidRPr="004A39DA">
        <w:t xml:space="preserve"> the McKay proceeding</w:t>
      </w:r>
      <w:r w:rsidR="00645C7C" w:rsidRPr="004A39DA">
        <w:t>s</w:t>
      </w:r>
      <w:r w:rsidR="0070431F" w:rsidRPr="004A39DA">
        <w:t xml:space="preserve"> </w:t>
      </w:r>
      <w:r w:rsidR="00645C7C" w:rsidRPr="004A39DA">
        <w:t>but</w:t>
      </w:r>
      <w:r w:rsidR="0070431F" w:rsidRPr="004A39DA">
        <w:t xml:space="preserve"> allow the Basil proceeding</w:t>
      </w:r>
      <w:r w:rsidR="00645C7C" w:rsidRPr="004A39DA">
        <w:t>s</w:t>
      </w:r>
      <w:r w:rsidR="0070431F" w:rsidRPr="004A39DA">
        <w:t xml:space="preserve"> to go forward as an open class </w:t>
      </w:r>
      <w:r w:rsidR="00645C7C" w:rsidRPr="004A39DA">
        <w:t>and</w:t>
      </w:r>
      <w:r w:rsidR="0070431F" w:rsidRPr="004A39DA">
        <w:t xml:space="preserve"> the </w:t>
      </w:r>
      <w:r w:rsidR="000C6264" w:rsidRPr="004A39DA">
        <w:t>Basil proceeding</w:t>
      </w:r>
      <w:r w:rsidR="00645C7C" w:rsidRPr="004A39DA">
        <w:t>s</w:t>
      </w:r>
      <w:r w:rsidR="004A39DA" w:rsidRPr="004A39DA">
        <w:t xml:space="preserve"> were</w:t>
      </w:r>
      <w:r w:rsidR="000C6264" w:rsidRPr="004A39DA">
        <w:t xml:space="preserve"> ultimately stayed for non-provision of security for costs, group members’ interests (the unsigned members at least)</w:t>
      </w:r>
      <w:r w:rsidR="00FA3920">
        <w:t xml:space="preserve"> in both proceedings </w:t>
      </w:r>
      <w:r w:rsidR="000C6264" w:rsidRPr="004A39DA">
        <w:t>would be significantly prejudiced.  Of course</w:t>
      </w:r>
      <w:r w:rsidR="00062DE4">
        <w:t>,</w:t>
      </w:r>
      <w:r w:rsidR="000C6264" w:rsidRPr="004A39DA">
        <w:t xml:space="preserve"> if that were to occur I could revisit any class closure of the McKay proceeding</w:t>
      </w:r>
      <w:r w:rsidR="003714B0">
        <w:t>s</w:t>
      </w:r>
      <w:r w:rsidR="000C6264" w:rsidRPr="004A39DA">
        <w:t>.  But that would be an uncertain and unsatisfactory outcome.</w:t>
      </w:r>
    </w:p>
    <w:p w:rsidR="00645C7C" w:rsidRDefault="00645C7C" w:rsidP="00381849">
      <w:pPr>
        <w:pStyle w:val="ParaNumbering"/>
      </w:pPr>
      <w:r w:rsidRPr="004A39DA">
        <w:t>Further and g</w:t>
      </w:r>
      <w:r w:rsidR="006537FE" w:rsidRPr="004A39DA">
        <w:t>enerally,</w:t>
      </w:r>
      <w:r w:rsidR="00381849" w:rsidRPr="004A39DA">
        <w:t xml:space="preserve"> </w:t>
      </w:r>
      <w:r w:rsidR="00F04AC4" w:rsidRPr="004A39DA">
        <w:t>in the McKay p</w:t>
      </w:r>
      <w:r w:rsidRPr="004A39DA">
        <w:t>roceeding</w:t>
      </w:r>
      <w:r w:rsidR="00801FD4" w:rsidRPr="004A39DA">
        <w:t>s</w:t>
      </w:r>
      <w:r w:rsidRPr="004A39DA">
        <w:t xml:space="preserve"> group members will not incur the costs of an application for security for costs.  </w:t>
      </w:r>
      <w:r w:rsidR="00062DE4">
        <w:t>In addition</w:t>
      </w:r>
      <w:r>
        <w:t>,</w:t>
      </w:r>
      <w:r w:rsidRPr="00645C7C">
        <w:t xml:space="preserve"> </w:t>
      </w:r>
      <w:r>
        <w:t>t</w:t>
      </w:r>
      <w:r w:rsidRPr="00381849">
        <w:t>here is no risk that any</w:t>
      </w:r>
      <w:r w:rsidR="00FA3920">
        <w:t xml:space="preserve"> relevant insurance</w:t>
      </w:r>
      <w:r w:rsidRPr="00381849">
        <w:t xml:space="preserve"> premium </w:t>
      </w:r>
      <w:r w:rsidR="00FA3920">
        <w:t>in respect of adverse costs</w:t>
      </w:r>
      <w:r w:rsidRPr="00381849">
        <w:t xml:space="preserve"> will be passed on to group members.</w:t>
      </w:r>
      <w:r w:rsidR="00FA3920">
        <w:t xml:space="preserve">  Contrastingly,</w:t>
      </w:r>
      <w:r>
        <w:t xml:space="preserve"> ICP Capital </w:t>
      </w:r>
      <w:r w:rsidRPr="00381849">
        <w:t xml:space="preserve">intends to pass on the cost of </w:t>
      </w:r>
      <w:r>
        <w:t>the relevant insurance</w:t>
      </w:r>
      <w:r w:rsidRPr="00381849">
        <w:t xml:space="preserve"> premium to the Basil </w:t>
      </w:r>
      <w:r>
        <w:t>applicant (and group members)</w:t>
      </w:r>
      <w:r w:rsidRPr="00381849">
        <w:t>, subject to an undocumented guarantee pursu</w:t>
      </w:r>
      <w:r>
        <w:t>ant to which the extent of the “passing on”</w:t>
      </w:r>
      <w:r w:rsidRPr="00381849">
        <w:t xml:space="preserve"> will b</w:t>
      </w:r>
      <w:r>
        <w:t>e capped at a certain level.  John Walker, CEO of ICP and ICP Capital, gave evidence of a</w:t>
      </w:r>
      <w:r w:rsidRPr="00381849">
        <w:t xml:space="preserve"> “pricing assurance” styled as</w:t>
      </w:r>
      <w:r>
        <w:t xml:space="preserve"> the “Net Benefits Warranty”.  </w:t>
      </w:r>
      <w:r w:rsidRPr="006C5865">
        <w:t>Apparently, ICP</w:t>
      </w:r>
      <w:r w:rsidR="004478D4" w:rsidRPr="006C5865">
        <w:t xml:space="preserve"> </w:t>
      </w:r>
      <w:r w:rsidR="00E80318" w:rsidRPr="006C5865">
        <w:t xml:space="preserve">and ICP </w:t>
      </w:r>
      <w:r w:rsidR="004478D4" w:rsidRPr="006C5865">
        <w:t>Capital</w:t>
      </w:r>
      <w:r w:rsidR="00E80318" w:rsidRPr="006C5865">
        <w:t xml:space="preserve"> have</w:t>
      </w:r>
      <w:r w:rsidR="006C5865" w:rsidRPr="006C5865">
        <w:t xml:space="preserve"> </w:t>
      </w:r>
      <w:r w:rsidRPr="006C5865">
        <w:t>now</w:t>
      </w:r>
      <w:r w:rsidRPr="00381849">
        <w:t xml:space="preserve"> agreed that </w:t>
      </w:r>
      <w:r w:rsidR="00DC35D8">
        <w:t>the sum of ICP’s fee plus ICP Capital’s fee plus any adverse costs order insurance premium will be no greater than IMF’s fees; if the sum is greater, the difference will be deducted from the fees of ICP and ICP Capital</w:t>
      </w:r>
      <w:r>
        <w:t xml:space="preserve">.  </w:t>
      </w:r>
      <w:r w:rsidRPr="00381849">
        <w:t xml:space="preserve">But </w:t>
      </w:r>
      <w:r>
        <w:t xml:space="preserve">as yet </w:t>
      </w:r>
      <w:r w:rsidRPr="00381849">
        <w:t xml:space="preserve">there is no evidence </w:t>
      </w:r>
      <w:r>
        <w:t xml:space="preserve">that </w:t>
      </w:r>
      <w:r w:rsidRPr="00381849">
        <w:t>the Net Benefits Warranty has been effected by way of amendment to the funding agreemen</w:t>
      </w:r>
      <w:r>
        <w:t xml:space="preserve">t signed by funded group members in the Basil proceedings.  Its </w:t>
      </w:r>
      <w:r w:rsidRPr="00381849">
        <w:t>existence, terms and enforceability remain opaque to Basil group members.</w:t>
      </w:r>
    </w:p>
    <w:p w:rsidR="00643FA5" w:rsidRDefault="006D5C94" w:rsidP="00FA3920">
      <w:pPr>
        <w:pStyle w:val="ParaNumbering"/>
      </w:pPr>
      <w:r>
        <w:t>Generally, t</w:t>
      </w:r>
      <w:r w:rsidR="00643FA5">
        <w:t xml:space="preserve">here is a small risk that ICP Capital may not have sufficient resources to fund the Basil proceedings or be able to procure full insurance coverage for adverse costs orders.  But I do accept that in the event ICP Capital is unable to continue funding, then Maurice </w:t>
      </w:r>
      <w:r w:rsidR="00643FA5">
        <w:lastRenderedPageBreak/>
        <w:t>Blackburn would conduct these proceedings on an unfunded basis.</w:t>
      </w:r>
      <w:r w:rsidR="00546608">
        <w:t xml:space="preserve">  </w:t>
      </w:r>
      <w:r w:rsidR="00E833BE">
        <w:t>On balance</w:t>
      </w:r>
      <w:r w:rsidR="00FC5C06">
        <w:t>, on criterion </w:t>
      </w:r>
      <w:r w:rsidR="00FD45E8">
        <w:t>(h</w:t>
      </w:r>
      <w:r w:rsidR="00546608">
        <w:t>) the McKay proceedings are favoured as the default open class.</w:t>
      </w:r>
    </w:p>
    <w:p w:rsidR="00381849" w:rsidRPr="00381849" w:rsidRDefault="00FA3920" w:rsidP="00FA3920">
      <w:pPr>
        <w:pStyle w:val="ParaNumbering"/>
      </w:pPr>
      <w:r>
        <w:t>Second, l</w:t>
      </w:r>
      <w:r w:rsidR="00381849" w:rsidRPr="00381849">
        <w:t>et me now elaborate on</w:t>
      </w:r>
      <w:r>
        <w:t xml:space="preserve"> criterion (c) and</w:t>
      </w:r>
      <w:r w:rsidR="00381849" w:rsidRPr="00381849">
        <w:t xml:space="preserve"> the funding arrangements.</w:t>
      </w:r>
      <w:r>
        <w:t xml:space="preserve">  The</w:t>
      </w:r>
      <w:r w:rsidR="00381849" w:rsidRPr="00381849">
        <w:t xml:space="preserve"> pricing model contain</w:t>
      </w:r>
      <w:r w:rsidR="00F04AC4">
        <w:t>ed in the IMF funding agreement</w:t>
      </w:r>
      <w:r w:rsidR="00381849" w:rsidRPr="00381849">
        <w:t xml:space="preserve"> and the p</w:t>
      </w:r>
      <w:r w:rsidR="00F04AC4">
        <w:t>roposed McKay funding model is</w:t>
      </w:r>
      <w:r w:rsidR="00F81FA7">
        <w:t xml:space="preserve"> relatively</w:t>
      </w:r>
      <w:r w:rsidR="00F04AC4">
        <w:t xml:space="preserve"> clear.  </w:t>
      </w:r>
      <w:r w:rsidR="0047567F">
        <w:t>Contrastingly</w:t>
      </w:r>
      <w:r w:rsidR="00381849" w:rsidRPr="00381849">
        <w:t>, the pricing model contained in the ICP</w:t>
      </w:r>
      <w:r w:rsidR="00F81FA7">
        <w:t xml:space="preserve"> Capital</w:t>
      </w:r>
      <w:r w:rsidR="00381849" w:rsidRPr="00381849">
        <w:t xml:space="preserve"> funding agreement is complex, uncertain and subject to </w:t>
      </w:r>
      <w:r>
        <w:t>various</w:t>
      </w:r>
      <w:r w:rsidR="00381849" w:rsidRPr="00381849">
        <w:t xml:space="preserve"> significant undocumente</w:t>
      </w:r>
      <w:r w:rsidR="00F04AC4">
        <w:t>d “riders”</w:t>
      </w:r>
      <w:r w:rsidR="00381849" w:rsidRPr="00381849">
        <w:t>, creating a further source of uncertainty for group members in assessing their likely financial returns should t</w:t>
      </w:r>
      <w:r w:rsidR="0047567F">
        <w:t>he matter successfully resolve.</w:t>
      </w:r>
      <w:r w:rsidR="00546608">
        <w:t xml:space="preserve">  On this point therefore,</w:t>
      </w:r>
      <w:r w:rsidR="00E833BE">
        <w:t xml:space="preserve"> on balance</w:t>
      </w:r>
      <w:r w:rsidR="00546608">
        <w:t xml:space="preserve"> the McKay proceedings are still favoured as the default open class.</w:t>
      </w:r>
    </w:p>
    <w:p w:rsidR="00DA124B" w:rsidRDefault="00DA124B" w:rsidP="00F81FA7">
      <w:pPr>
        <w:pStyle w:val="ParaNumbering"/>
      </w:pPr>
      <w:r>
        <w:t>The IMF funding agreement is in fairly standard terms.</w:t>
      </w:r>
      <w:r w:rsidR="006372FD">
        <w:t xml:space="preserve">  </w:t>
      </w:r>
      <w:r w:rsidR="00742AA7">
        <w:t>Varying c</w:t>
      </w:r>
      <w:r w:rsidR="006372FD">
        <w:t>ommission rates are proposed to</w:t>
      </w:r>
      <w:r w:rsidR="00742AA7">
        <w:t xml:space="preserve"> be charged on gross recoveries depending upon the timing of resolution; </w:t>
      </w:r>
      <w:r w:rsidR="006372FD">
        <w:t xml:space="preserve">there is no charging of a multiple of IMF’s investment </w:t>
      </w:r>
      <w:r w:rsidR="006372FD" w:rsidRPr="006C5865">
        <w:t xml:space="preserve">in the </w:t>
      </w:r>
      <w:r w:rsidR="003714B0" w:rsidRPr="006C5865">
        <w:t>McKay proceedings</w:t>
      </w:r>
      <w:r w:rsidR="006372FD" w:rsidRPr="006C5865">
        <w:t>.  Further</w:t>
      </w:r>
      <w:r w:rsidR="006372FD">
        <w:t xml:space="preserve">, a project management fee is not being charged.  IMF’s commission rates and caps compare favourably with the rates and caps used </w:t>
      </w:r>
      <w:r w:rsidR="006372FD" w:rsidRPr="00742AA7">
        <w:t>in other</w:t>
      </w:r>
      <w:r w:rsidR="00C35B99" w:rsidRPr="00742AA7">
        <w:t xml:space="preserve"> group</w:t>
      </w:r>
      <w:r w:rsidR="006372FD" w:rsidRPr="00742AA7">
        <w:t xml:space="preserve"> proceedings</w:t>
      </w:r>
      <w:r w:rsidR="006372FD">
        <w:t xml:space="preserve"> and approved by this Court.  IMF and the McKay applicant have also agreed that the terms sought in any common fund application will be on more favourable terms than under</w:t>
      </w:r>
      <w:r w:rsidR="00742AA7">
        <w:t xml:space="preserve"> the present funding agreements</w:t>
      </w:r>
      <w:r w:rsidR="00FA3920">
        <w:t>,</w:t>
      </w:r>
      <w:r w:rsidR="00742AA7">
        <w:t xml:space="preserve"> with entitlements to additional commission under the latter not pursued.</w:t>
      </w:r>
    </w:p>
    <w:p w:rsidR="00DC35D8" w:rsidRDefault="00DA124B" w:rsidP="00F81FA7">
      <w:pPr>
        <w:pStyle w:val="ParaNumbering"/>
      </w:pPr>
      <w:r>
        <w:t>Contrastingly, t</w:t>
      </w:r>
      <w:r w:rsidR="00381849" w:rsidRPr="00381849">
        <w:t>he ICP</w:t>
      </w:r>
      <w:r w:rsidR="00F81FA7">
        <w:t xml:space="preserve"> Capital</w:t>
      </w:r>
      <w:r w:rsidR="00381849" w:rsidRPr="00381849">
        <w:t xml:space="preserve"> funding arrangements operate on the basis of compli</w:t>
      </w:r>
      <w:r w:rsidR="00F04AC4">
        <w:t>cated formulae</w:t>
      </w:r>
      <w:r w:rsidR="00742AA7">
        <w:t xml:space="preserve">, </w:t>
      </w:r>
      <w:r w:rsidR="00F04AC4">
        <w:t>including</w:t>
      </w:r>
      <w:r w:rsidR="00742AA7">
        <w:t xml:space="preserve"> what has been described as</w:t>
      </w:r>
      <w:r w:rsidR="00F04AC4">
        <w:t xml:space="preserve"> the 3 </w:t>
      </w:r>
      <w:r w:rsidR="00381849" w:rsidRPr="00381849">
        <w:t>x Multiple Mod</w:t>
      </w:r>
      <w:r w:rsidR="00742AA7">
        <w:t>el</w:t>
      </w:r>
      <w:r w:rsidR="00062DE4">
        <w:t>,</w:t>
      </w:r>
      <w:r w:rsidR="00742AA7">
        <w:t xml:space="preserve"> which essentially allows a fee in respect of a </w:t>
      </w:r>
      <w:r w:rsidR="00742AA7" w:rsidRPr="006C5865">
        <w:t>particular claimant of three times the claimant’s share of project costs</w:t>
      </w:r>
      <w:r w:rsidR="00381849" w:rsidRPr="006C5865">
        <w:t xml:space="preserve">. </w:t>
      </w:r>
      <w:r w:rsidR="00F04AC4" w:rsidRPr="006C5865">
        <w:t xml:space="preserve"> </w:t>
      </w:r>
      <w:r w:rsidR="00546608">
        <w:t xml:space="preserve">But I should </w:t>
      </w:r>
      <w:r w:rsidR="00FA3920" w:rsidRPr="006C5865">
        <w:t xml:space="preserve">observe that the ICP Capital funding agreement relevantly provides for commission fees specified by the </w:t>
      </w:r>
      <w:r w:rsidR="00FA3920" w:rsidRPr="006C5865">
        <w:rPr>
          <w:i/>
        </w:rPr>
        <w:t>greater</w:t>
      </w:r>
      <w:r w:rsidR="00FA3920" w:rsidRPr="006C5865">
        <w:t xml:space="preserve"> of various rates, which are</w:t>
      </w:r>
      <w:r w:rsidR="00546608">
        <w:t xml:space="preserve"> in fact</w:t>
      </w:r>
      <w:r w:rsidR="00FA3920" w:rsidRPr="006C5865">
        <w:t xml:space="preserve"> lower than IMF’s rates, and the application of the 3 x Multiple Model.  Accordingly, given the operation of </w:t>
      </w:r>
      <w:proofErr w:type="spellStart"/>
      <w:r w:rsidR="00FA3920" w:rsidRPr="006C5865">
        <w:t>cll</w:t>
      </w:r>
      <w:proofErr w:type="spellEnd"/>
      <w:r w:rsidR="00FA3920" w:rsidRPr="006C5865">
        <w:t xml:space="preserve"> 6.1(c)(iii) and 6.1(c)(iv), a direct comparison of percentages between the two funders is superficial and incomplete.  </w:t>
      </w:r>
      <w:r w:rsidR="0047567F" w:rsidRPr="006C5865">
        <w:t>Further, d</w:t>
      </w:r>
      <w:r w:rsidR="00381849" w:rsidRPr="006C5865">
        <w:t>espite the existence of apparently comprehensive documents compris</w:t>
      </w:r>
      <w:r w:rsidR="00F04AC4" w:rsidRPr="006C5865">
        <w:t>ing the ICP</w:t>
      </w:r>
      <w:r w:rsidR="006C5865" w:rsidRPr="006C5865">
        <w:t xml:space="preserve"> </w:t>
      </w:r>
      <w:r w:rsidR="004478D4" w:rsidRPr="006C5865">
        <w:t>Capital</w:t>
      </w:r>
      <w:r w:rsidR="00F04AC4" w:rsidRPr="006C5865">
        <w:t xml:space="preserve"> funding</w:t>
      </w:r>
      <w:r w:rsidR="00F04AC4">
        <w:t xml:space="preserve"> agreement,</w:t>
      </w:r>
      <w:r w:rsidR="00381849" w:rsidRPr="00381849">
        <w:t xml:space="preserve"> </w:t>
      </w:r>
      <w:r w:rsidR="00F04AC4">
        <w:t xml:space="preserve">these documents are </w:t>
      </w:r>
      <w:r w:rsidR="00DC35D8">
        <w:t xml:space="preserve">to be read with </w:t>
      </w:r>
      <w:r w:rsidR="00381849" w:rsidRPr="00381849">
        <w:t>or subject to</w:t>
      </w:r>
      <w:r w:rsidR="00DC35D8">
        <w:t xml:space="preserve"> various pricing assurances</w:t>
      </w:r>
      <w:r w:rsidR="00381849" w:rsidRPr="00381849">
        <w:t>, described in the materials as the Net Benefits Warranty</w:t>
      </w:r>
      <w:r w:rsidR="00742AA7">
        <w:t>, which I have described,</w:t>
      </w:r>
      <w:r w:rsidR="00381849" w:rsidRPr="00381849">
        <w:t xml:space="preserve"> and</w:t>
      </w:r>
      <w:r w:rsidR="00DC35D8">
        <w:t xml:space="preserve"> what has been described as</w:t>
      </w:r>
      <w:r w:rsidR="00381849" w:rsidRPr="00381849">
        <w:t xml:space="preserve"> the Return Guarantee</w:t>
      </w:r>
      <w:r w:rsidR="00DC35D8">
        <w:t xml:space="preserve"> (or sometimes the Net Claim Proceeds Guarantee)</w:t>
      </w:r>
      <w:r w:rsidR="00381849" w:rsidRPr="00381849">
        <w:t>.</w:t>
      </w:r>
      <w:r w:rsidR="00F81FA7">
        <w:t xml:space="preserve">  </w:t>
      </w:r>
      <w:r w:rsidR="00742AA7">
        <w:t>The Return Guarantee provides for a cap on fees payable by a claimant such that the claimant receives at least 50% of what are defined</w:t>
      </w:r>
      <w:r w:rsidR="00FA3920">
        <w:t xml:space="preserve"> to be the Net Claim Proceeds.</w:t>
      </w:r>
    </w:p>
    <w:p w:rsidR="00381849" w:rsidRDefault="00DC35D8" w:rsidP="00F81FA7">
      <w:pPr>
        <w:pStyle w:val="ParaNumbering"/>
      </w:pPr>
      <w:r>
        <w:lastRenderedPageBreak/>
        <w:t>I would</w:t>
      </w:r>
      <w:r w:rsidR="00546608">
        <w:t xml:space="preserve"> also</w:t>
      </w:r>
      <w:r>
        <w:t xml:space="preserve"> note </w:t>
      </w:r>
      <w:r w:rsidRPr="001A0B58">
        <w:t>that</w:t>
      </w:r>
      <w:r w:rsidR="00381849" w:rsidRPr="001A0B58">
        <w:t xml:space="preserve"> the use of</w:t>
      </w:r>
      <w:r w:rsidR="00FC4A6F" w:rsidRPr="001A0B58">
        <w:t xml:space="preserve"> the</w:t>
      </w:r>
      <w:r w:rsidR="00381849" w:rsidRPr="001A0B58">
        <w:t xml:space="preserve"> 3 x Multiple</w:t>
      </w:r>
      <w:r w:rsidR="00381849" w:rsidRPr="00381849">
        <w:t xml:space="preserve"> Model</w:t>
      </w:r>
      <w:r w:rsidR="00FA3920">
        <w:t xml:space="preserve"> to determine commission rates may</w:t>
      </w:r>
      <w:r w:rsidR="00381849" w:rsidRPr="00381849">
        <w:t xml:space="preserve"> not </w:t>
      </w:r>
      <w:r w:rsidR="00FA3920">
        <w:t xml:space="preserve">necessarily </w:t>
      </w:r>
      <w:r w:rsidR="00381849" w:rsidRPr="00381849">
        <w:t>incentivise IC</w:t>
      </w:r>
      <w:r w:rsidR="009D3DA7">
        <w:t>P</w:t>
      </w:r>
      <w:r w:rsidR="00F81FA7">
        <w:t xml:space="preserve"> Capital</w:t>
      </w:r>
      <w:r w:rsidR="009D3DA7">
        <w:t xml:space="preserve"> to keep litigation costs low </w:t>
      </w:r>
      <w:r w:rsidR="00381849" w:rsidRPr="00381849">
        <w:t>or resolve the litigation at an</w:t>
      </w:r>
      <w:r w:rsidR="00546608">
        <w:t xml:space="preserve"> early stage of the proceedings</w:t>
      </w:r>
      <w:r w:rsidR="0051097B">
        <w:t>,</w:t>
      </w:r>
      <w:r w:rsidR="00546608">
        <w:t xml:space="preserve"> notwithstanding other provisions drawn to my attention that may act as a counterbalance.</w:t>
      </w:r>
    </w:p>
    <w:p w:rsidR="003307CE" w:rsidRDefault="00546608" w:rsidP="00DC35D8">
      <w:pPr>
        <w:pStyle w:val="ParaNumbering"/>
      </w:pPr>
      <w:r>
        <w:t>Now I accept that</w:t>
      </w:r>
      <w:r w:rsidR="00381849" w:rsidRPr="00381849">
        <w:t xml:space="preserve"> </w:t>
      </w:r>
      <w:r w:rsidR="00381849" w:rsidRPr="006C5865">
        <w:t xml:space="preserve">the ICP </w:t>
      </w:r>
      <w:r w:rsidR="004478D4" w:rsidRPr="006C5865">
        <w:t xml:space="preserve">Capital </w:t>
      </w:r>
      <w:r w:rsidR="00396CFC" w:rsidRPr="006C5865">
        <w:t>funding</w:t>
      </w:r>
      <w:r w:rsidR="00396CFC" w:rsidRPr="00DC35D8">
        <w:t xml:space="preserve"> agreement</w:t>
      </w:r>
      <w:r w:rsidR="00381849" w:rsidRPr="00DC35D8">
        <w:t xml:space="preserve"> </w:t>
      </w:r>
      <w:r w:rsidR="00215715">
        <w:t>caps</w:t>
      </w:r>
      <w:r w:rsidR="00DC35D8">
        <w:t xml:space="preserve"> the sum of</w:t>
      </w:r>
      <w:r w:rsidR="00215715">
        <w:t xml:space="preserve"> ICP’s </w:t>
      </w:r>
      <w:r w:rsidR="00DC35D8">
        <w:t xml:space="preserve">and ICP Capital’s fees at no more than the fees </w:t>
      </w:r>
      <w:r w:rsidR="00381849" w:rsidRPr="00215715">
        <w:t>proposed to be charged by</w:t>
      </w:r>
      <w:r w:rsidR="00381849" w:rsidRPr="00381849">
        <w:t xml:space="preserve"> any other funder that funds a filed claim against the </w:t>
      </w:r>
      <w:r w:rsidR="00215715">
        <w:t>respondent</w:t>
      </w:r>
      <w:r w:rsidR="00FA3920">
        <w:t>; this is now to be further modified as I have discussed earlier</w:t>
      </w:r>
      <w:r w:rsidR="00215715">
        <w:t>.</w:t>
      </w:r>
      <w:r w:rsidR="00DC35D8">
        <w:t xml:space="preserve">  In substance, the </w:t>
      </w:r>
      <w:r w:rsidR="003307CE">
        <w:t xml:space="preserve">Basil funding arrangements have the </w:t>
      </w:r>
      <w:r w:rsidR="00DC35D8">
        <w:t>effective cap</w:t>
      </w:r>
      <w:r w:rsidR="003307CE">
        <w:t xml:space="preserve"> that Basil group members will pay no more than if the alternative funding arrangements in the McKay proceedings applied.  So, it was said that, ceteris paribus, this was an argument in favour of the Basil model over the McKay mode</w:t>
      </w:r>
      <w:r w:rsidR="00DC31CE">
        <w:t>l</w:t>
      </w:r>
      <w:r w:rsidR="003307CE">
        <w:t xml:space="preserve">.  Simplistically this may be true in one sense, but two points.  First, such a rider adds some complexity and uncertainty as to how the Basil funding arrangements are to apply.  Second, what would happen if each competing funder had such a rider?  The effect and operation </w:t>
      </w:r>
      <w:r>
        <w:t xml:space="preserve">of each rider </w:t>
      </w:r>
      <w:r w:rsidR="003307CE">
        <w:t xml:space="preserve">would be circular and ineffectual.  For my part, whilst such a rider has </w:t>
      </w:r>
      <w:r w:rsidR="00FC7FC3">
        <w:t xml:space="preserve">some </w:t>
      </w:r>
      <w:r w:rsidR="003307CE">
        <w:t>appeal, I have not given it great weight in the balancing exercise in comparing funding models.</w:t>
      </w:r>
    </w:p>
    <w:p w:rsidR="00FA3920" w:rsidRDefault="00546608" w:rsidP="00FA3920">
      <w:pPr>
        <w:pStyle w:val="ParaNumbering"/>
      </w:pPr>
      <w:r>
        <w:t>Finally on this aspect dealing with the comparison between funding terms, the Basil applicant says</w:t>
      </w:r>
      <w:r w:rsidR="00FA3920" w:rsidRPr="006C5865">
        <w:t xml:space="preserve"> that under the ICP</w:t>
      </w:r>
      <w:r w:rsidR="006C5865" w:rsidRPr="006C5865">
        <w:t xml:space="preserve"> </w:t>
      </w:r>
      <w:r w:rsidR="00FA3920" w:rsidRPr="006C5865">
        <w:t>Capital</w:t>
      </w:r>
      <w:r w:rsidR="006C5865" w:rsidRPr="006C5865">
        <w:t xml:space="preserve"> </w:t>
      </w:r>
      <w:r w:rsidR="00FA3920" w:rsidRPr="006C5865">
        <w:t>funding</w:t>
      </w:r>
      <w:r w:rsidR="00FA3920" w:rsidRPr="00840D07">
        <w:t xml:space="preserve"> agreement, if ICP</w:t>
      </w:r>
      <w:r w:rsidR="00FA3920" w:rsidRPr="00D20427">
        <w:t xml:space="preserve"> (as the provider of management services) believes that circumstances have arisen such that ICP may be in a position of conflict wit</w:t>
      </w:r>
      <w:r w:rsidR="00062DE4">
        <w:t>h respect to any obligation owed</w:t>
      </w:r>
      <w:r w:rsidR="00FA3920" w:rsidRPr="00D20427">
        <w:t xml:space="preserve"> to ICP Capital and the oblig</w:t>
      </w:r>
      <w:r w:rsidR="00062DE4">
        <w:t>ations owed</w:t>
      </w:r>
      <w:r>
        <w:t xml:space="preserve"> to class members, </w:t>
      </w:r>
      <w:r w:rsidR="00062DE4" w:rsidRPr="00D20427">
        <w:t>ICP will act in</w:t>
      </w:r>
      <w:r w:rsidR="00062DE4">
        <w:t xml:space="preserve"> the class members’ interests</w:t>
      </w:r>
      <w:r w:rsidR="00062DE4" w:rsidRPr="00D20427">
        <w:t xml:space="preserve"> </w:t>
      </w:r>
      <w:r w:rsidR="00FA3920" w:rsidRPr="00D20427">
        <w:t>t</w:t>
      </w:r>
      <w:r>
        <w:t>o resolve that conflict</w:t>
      </w:r>
      <w:r w:rsidR="00FA3920">
        <w:t>.  It is said that s</w:t>
      </w:r>
      <w:r w:rsidR="00062DE4">
        <w:t xml:space="preserve">uch </w:t>
      </w:r>
      <w:r w:rsidR="00FA3920" w:rsidRPr="00D20427">
        <w:t>prote</w:t>
      </w:r>
      <w:r w:rsidR="00062DE4">
        <w:t xml:space="preserve">ction afforded </w:t>
      </w:r>
      <w:r w:rsidR="00FA3920">
        <w:t>group members</w:t>
      </w:r>
      <w:r w:rsidR="00FA3920" w:rsidRPr="00D20427">
        <w:t xml:space="preserve"> and pr</w:t>
      </w:r>
      <w:r w:rsidR="00FA3920">
        <w:t>ioritisation of their interests</w:t>
      </w:r>
      <w:r w:rsidR="00FA3920" w:rsidRPr="00D20427">
        <w:t xml:space="preserve"> is possible</w:t>
      </w:r>
      <w:r w:rsidR="00062DE4">
        <w:t>,</w:t>
      </w:r>
      <w:r w:rsidR="00FA3920" w:rsidRPr="00D20427">
        <w:t xml:space="preserve"> given the separate func</w:t>
      </w:r>
      <w:r>
        <w:t>tions of ICP and ICP Capital</w:t>
      </w:r>
      <w:r w:rsidR="00E833BE">
        <w:t xml:space="preserve">, but </w:t>
      </w:r>
      <w:r w:rsidR="00FA3920" w:rsidRPr="00D20427">
        <w:t>is not possible und</w:t>
      </w:r>
      <w:r w:rsidR="00FA3920">
        <w:t>er the IMF funding arrangements.</w:t>
      </w:r>
      <w:r>
        <w:t xml:space="preserve">  In the overall scheme of things, I do not consider that this is a significant relevant difference in favour of the Basil arrangements.</w:t>
      </w:r>
    </w:p>
    <w:p w:rsidR="00840D07" w:rsidRDefault="00381849" w:rsidP="00381849">
      <w:pPr>
        <w:pStyle w:val="ParaNumbering"/>
      </w:pPr>
      <w:r w:rsidRPr="00381849">
        <w:t>Let me now deal with some of the modelling evidence relevant to potential outcomes.</w:t>
      </w:r>
      <w:r w:rsidR="00DC35D8">
        <w:t xml:space="preserve">  Each of the applicants has filed a form of accounting or financial modelling </w:t>
      </w:r>
      <w:r w:rsidR="00840D07">
        <w:t>evidence seeking to justify how it is said that</w:t>
      </w:r>
      <w:r w:rsidR="00062DE4">
        <w:t>,</w:t>
      </w:r>
      <w:r w:rsidR="00840D07">
        <w:t xml:space="preserve"> in relation to the modelling of realistic scenarios, their funding arrangements ultimately lead to better returns for group members.  One might appreciate that various scenarios required modelling depending upon the assumed recoveries, the point at which the proceedings were resolve</w:t>
      </w:r>
      <w:r w:rsidR="00FC4A6F">
        <w:t>d</w:t>
      </w:r>
      <w:r w:rsidR="00840D07">
        <w:t xml:space="preserve"> and inputs involving estimates of legal costs and other </w:t>
      </w:r>
      <w:r w:rsidR="00840D07">
        <w:lastRenderedPageBreak/>
        <w:t>deductions that needed to be made from any gross recoveries.  Some prediction was also necessary concerning how the terms of the competing funding arrangements were to work.</w:t>
      </w:r>
    </w:p>
    <w:p w:rsidR="00381849" w:rsidRDefault="0047567F" w:rsidP="00381849">
      <w:pPr>
        <w:pStyle w:val="ParaNumbering"/>
      </w:pPr>
      <w:r>
        <w:t>At the outset, I would note that t</w:t>
      </w:r>
      <w:r w:rsidR="00381849" w:rsidRPr="00381849">
        <w:t xml:space="preserve">he inherent complexity of the terms of </w:t>
      </w:r>
      <w:r w:rsidR="00381849" w:rsidRPr="006C5865">
        <w:t xml:space="preserve">the ICP </w:t>
      </w:r>
      <w:r w:rsidR="004478D4" w:rsidRPr="006C5865">
        <w:t>Capital</w:t>
      </w:r>
      <w:r w:rsidR="004478D4">
        <w:t xml:space="preserve"> </w:t>
      </w:r>
      <w:r w:rsidR="00381849" w:rsidRPr="00381849">
        <w:t>funding agreement, combined with the effec</w:t>
      </w:r>
      <w:r w:rsidR="006A29F5">
        <w:t xml:space="preserve">t of </w:t>
      </w:r>
      <w:r w:rsidR="00FA3920">
        <w:t xml:space="preserve">various </w:t>
      </w:r>
      <w:r w:rsidR="00062DE4">
        <w:t xml:space="preserve">significant unwritten </w:t>
      </w:r>
      <w:r w:rsidR="006A29F5">
        <w:t xml:space="preserve">riders thereto render it difficult </w:t>
      </w:r>
      <w:r w:rsidR="00381849" w:rsidRPr="00381849">
        <w:t>to assess the impact of the funding and cost arrangements on possible outcomes for group members.</w:t>
      </w:r>
    </w:p>
    <w:p w:rsidR="00D20427" w:rsidRPr="00D20427" w:rsidRDefault="00840D07" w:rsidP="00FA3920">
      <w:pPr>
        <w:pStyle w:val="ParaNumbering"/>
      </w:pPr>
      <w:r>
        <w:t>Now t</w:t>
      </w:r>
      <w:r w:rsidR="004D2761">
        <w:t>he Basil applicant has contended that the most significant reason why the Basil proceedings are advantageous for g</w:t>
      </w:r>
      <w:r w:rsidR="00D97FAC">
        <w:t xml:space="preserve">roup members is that </w:t>
      </w:r>
      <w:r w:rsidR="00D97FAC" w:rsidRPr="00FA3920">
        <w:t>ICP</w:t>
      </w:r>
      <w:r w:rsidR="004478D4" w:rsidRPr="00FA3920">
        <w:t xml:space="preserve"> Capital</w:t>
      </w:r>
      <w:r w:rsidR="004D2761" w:rsidRPr="00FA3920">
        <w:t>’s</w:t>
      </w:r>
      <w:r w:rsidR="004D2761">
        <w:t xml:space="preserve"> funding arrangements in the Basil proceedings offer considerable advantages to claimants over IMF’s funding arrangements in the McKay proceedings.</w:t>
      </w:r>
      <w:r w:rsidR="00FA3920">
        <w:t xml:space="preserve">  It </w:t>
      </w:r>
      <w:r w:rsidR="00D97FAC">
        <w:t xml:space="preserve">is contended that </w:t>
      </w:r>
      <w:r w:rsidR="00215715">
        <w:t>“</w:t>
      </w:r>
      <w:r w:rsidR="00D20427" w:rsidRPr="00D20427">
        <w:t>careful, extensive and detailed</w:t>
      </w:r>
      <w:r w:rsidR="00215715">
        <w:t>”</w:t>
      </w:r>
      <w:r w:rsidR="00D20427" w:rsidRPr="00D20427">
        <w:t xml:space="preserve"> modelling of potential returns to group members in the two class actio</w:t>
      </w:r>
      <w:r w:rsidR="00D97FAC">
        <w:t xml:space="preserve">ns has been </w:t>
      </w:r>
      <w:r w:rsidR="00D97FAC" w:rsidRPr="00FA3920">
        <w:t>conducted by ICP</w:t>
      </w:r>
      <w:r w:rsidR="00FA3920" w:rsidRPr="00FA3920">
        <w:t xml:space="preserve"> </w:t>
      </w:r>
      <w:r w:rsidR="004478D4" w:rsidRPr="00FA3920">
        <w:t>Capital</w:t>
      </w:r>
      <w:r w:rsidR="00D97FAC" w:rsidRPr="00FA3920">
        <w:t>.</w:t>
      </w:r>
      <w:r w:rsidR="00D97FAC">
        <w:t xml:space="preserve">  </w:t>
      </w:r>
      <w:r w:rsidR="00D20427" w:rsidRPr="00D20427">
        <w:t>Of the</w:t>
      </w:r>
      <w:r w:rsidR="00D97FAC">
        <w:t xml:space="preserve"> </w:t>
      </w:r>
      <w:r w:rsidR="00D20427" w:rsidRPr="00D20427">
        <w:t>settlement sce</w:t>
      </w:r>
      <w:r w:rsidR="00D97FAC">
        <w:t>narios that have been modelled:</w:t>
      </w:r>
    </w:p>
    <w:p w:rsidR="00D97FAC" w:rsidRDefault="00FC7FC3" w:rsidP="00CD1724">
      <w:pPr>
        <w:pStyle w:val="ListNo2"/>
        <w:numPr>
          <w:ilvl w:val="1"/>
          <w:numId w:val="35"/>
        </w:numPr>
      </w:pPr>
      <w:r>
        <w:t>more than 50%</w:t>
      </w:r>
      <w:r w:rsidR="00D20427" w:rsidRPr="00D20427">
        <w:t xml:space="preserve"> result</w:t>
      </w:r>
      <w:r w:rsidR="00D97FAC">
        <w:t xml:space="preserve"> in group members in the Basil p</w:t>
      </w:r>
      <w:r w:rsidR="00D20427" w:rsidRPr="00D20427">
        <w:t>roceeding</w:t>
      </w:r>
      <w:r w:rsidR="00D97FAC">
        <w:t>s</w:t>
      </w:r>
      <w:r w:rsidR="00D20427" w:rsidRPr="00D20427">
        <w:t xml:space="preserve"> receiving a higher return than th</w:t>
      </w:r>
      <w:r w:rsidR="00D97FAC">
        <w:t>ose group members in the McKay p</w:t>
      </w:r>
      <w:r w:rsidR="00D20427" w:rsidRPr="00D20427">
        <w:t>roceeding</w:t>
      </w:r>
      <w:r w:rsidR="00D97FAC">
        <w:t>s</w:t>
      </w:r>
      <w:r w:rsidR="00D20427" w:rsidRPr="00D20427">
        <w:t>, with an average increase in return</w:t>
      </w:r>
      <w:r w:rsidR="00D97FAC">
        <w:t xml:space="preserve"> to group members in the Basil proceedings of some significance;</w:t>
      </w:r>
    </w:p>
    <w:p w:rsidR="00D20427" w:rsidRPr="00D20427" w:rsidRDefault="00FC7FC3" w:rsidP="00CD1724">
      <w:pPr>
        <w:pStyle w:val="ListNo2"/>
        <w:numPr>
          <w:ilvl w:val="1"/>
          <w:numId w:val="35"/>
        </w:numPr>
      </w:pPr>
      <w:r>
        <w:t xml:space="preserve">less than 50% </w:t>
      </w:r>
      <w:r w:rsidR="00D20427" w:rsidRPr="00D20427">
        <w:t>result</w:t>
      </w:r>
      <w:r w:rsidR="00D97FAC">
        <w:t xml:space="preserve"> in group members in the McKay p</w:t>
      </w:r>
      <w:r w:rsidR="00D20427" w:rsidRPr="00D20427">
        <w:t>roceeding</w:t>
      </w:r>
      <w:r w:rsidR="00D97FAC">
        <w:t>s</w:t>
      </w:r>
      <w:r w:rsidR="00D20427" w:rsidRPr="00D20427">
        <w:t xml:space="preserve"> receiving a higher return than those group members in the Basil </w:t>
      </w:r>
      <w:r w:rsidR="00D97FAC">
        <w:t>p</w:t>
      </w:r>
      <w:r w:rsidR="00D20427" w:rsidRPr="00D20427">
        <w:t>roceeding</w:t>
      </w:r>
      <w:r w:rsidR="00D97FAC">
        <w:t>s</w:t>
      </w:r>
      <w:r w:rsidR="00D20427" w:rsidRPr="00D20427">
        <w:t>, with an average increase in return</w:t>
      </w:r>
      <w:r w:rsidR="00D97FAC">
        <w:t xml:space="preserve"> to group members in the McKay p</w:t>
      </w:r>
      <w:r w:rsidR="00D20427" w:rsidRPr="00D20427">
        <w:t>roceeding</w:t>
      </w:r>
      <w:r w:rsidR="00D97FAC">
        <w:t xml:space="preserve">s of only a </w:t>
      </w:r>
      <w:r w:rsidR="00546608">
        <w:t>very modest</w:t>
      </w:r>
      <w:r w:rsidR="00D97FAC">
        <w:t xml:space="preserve"> difference.</w:t>
      </w:r>
    </w:p>
    <w:p w:rsidR="00D97FAC" w:rsidRDefault="00FA3920" w:rsidP="00D20427">
      <w:pPr>
        <w:pStyle w:val="ParaNumbering"/>
      </w:pPr>
      <w:r>
        <w:t>Further,</w:t>
      </w:r>
      <w:r w:rsidR="00D97FAC">
        <w:t xml:space="preserve"> </w:t>
      </w:r>
      <w:r w:rsidR="00546608">
        <w:t>the Basil applicant says</w:t>
      </w:r>
      <w:r w:rsidR="00D97FAC">
        <w:t xml:space="preserve"> that by reason of:</w:t>
      </w:r>
    </w:p>
    <w:p w:rsidR="00D97FAC" w:rsidRDefault="00D97FAC" w:rsidP="00CD1724">
      <w:pPr>
        <w:pStyle w:val="ListNo2"/>
        <w:numPr>
          <w:ilvl w:val="1"/>
          <w:numId w:val="36"/>
        </w:numPr>
      </w:pPr>
      <w:r>
        <w:t xml:space="preserve">the fact </w:t>
      </w:r>
      <w:r w:rsidRPr="00FA3920">
        <w:t>that ICP</w:t>
      </w:r>
      <w:r w:rsidR="00FA3920" w:rsidRPr="00FA3920">
        <w:t xml:space="preserve"> </w:t>
      </w:r>
      <w:r w:rsidR="004478D4" w:rsidRPr="00FA3920">
        <w:t>Capital</w:t>
      </w:r>
      <w:r w:rsidRPr="00FA3920">
        <w:t>’s</w:t>
      </w:r>
      <w:r>
        <w:t xml:space="preserve"> rates</w:t>
      </w:r>
      <w:r w:rsidR="00D20427" w:rsidRPr="00D20427">
        <w:t xml:space="preserve"> are lower</w:t>
      </w:r>
      <w:r w:rsidR="00215715">
        <w:t xml:space="preserve"> than IMF’s </w:t>
      </w:r>
      <w:r>
        <w:t>funding rate</w:t>
      </w:r>
      <w:r w:rsidR="00215715">
        <w:t>(s)</w:t>
      </w:r>
      <w:r>
        <w:t>;</w:t>
      </w:r>
    </w:p>
    <w:p w:rsidR="00D97FAC" w:rsidRDefault="00D20427" w:rsidP="00CD1724">
      <w:pPr>
        <w:pStyle w:val="ListNo2"/>
        <w:numPr>
          <w:ilvl w:val="1"/>
          <w:numId w:val="36"/>
        </w:numPr>
      </w:pPr>
      <w:r w:rsidRPr="00D20427">
        <w:t>the existence of the</w:t>
      </w:r>
      <w:r w:rsidR="00D97FAC">
        <w:t xml:space="preserve"> </w:t>
      </w:r>
      <w:r w:rsidR="00FA3920">
        <w:t>various guarantees and warranties</w:t>
      </w:r>
      <w:r w:rsidR="00D97FAC">
        <w:t>; and</w:t>
      </w:r>
    </w:p>
    <w:p w:rsidR="00D97FAC" w:rsidRPr="00FA3920" w:rsidRDefault="00D20427" w:rsidP="00CD1724">
      <w:pPr>
        <w:pStyle w:val="ListNo2"/>
        <w:numPr>
          <w:ilvl w:val="1"/>
          <w:numId w:val="36"/>
        </w:numPr>
      </w:pPr>
      <w:r w:rsidRPr="00D20427">
        <w:t xml:space="preserve">the common </w:t>
      </w:r>
      <w:r w:rsidR="00215715" w:rsidRPr="00FA3920">
        <w:t xml:space="preserve">fund </w:t>
      </w:r>
      <w:r w:rsidRPr="00FA3920">
        <w:t>order cap</w:t>
      </w:r>
      <w:r w:rsidR="00D97FAC" w:rsidRPr="00FA3920">
        <w:t xml:space="preserve"> that will be applied </w:t>
      </w:r>
      <w:r w:rsidR="00546608">
        <w:t>for</w:t>
      </w:r>
      <w:r w:rsidR="00D97FAC" w:rsidRPr="00FA3920">
        <w:t>,</w:t>
      </w:r>
    </w:p>
    <w:p w:rsidR="00D20427" w:rsidRPr="00381849" w:rsidRDefault="00D20427" w:rsidP="00D97FAC">
      <w:pPr>
        <w:pStyle w:val="ParaNumbering"/>
        <w:numPr>
          <w:ilvl w:val="0"/>
          <w:numId w:val="0"/>
        </w:numPr>
      </w:pPr>
      <w:r w:rsidRPr="00FA3920">
        <w:t>ICP</w:t>
      </w:r>
      <w:r w:rsidR="00FA3920" w:rsidRPr="00FA3920">
        <w:t xml:space="preserve"> </w:t>
      </w:r>
      <w:r w:rsidR="004478D4" w:rsidRPr="00FA3920">
        <w:t>Capital</w:t>
      </w:r>
      <w:r w:rsidR="00FA3920" w:rsidRPr="00FA3920">
        <w:t>’</w:t>
      </w:r>
      <w:r w:rsidRPr="00FA3920">
        <w:t>s funding arrangements</w:t>
      </w:r>
      <w:r w:rsidRPr="00D20427">
        <w:t xml:space="preserve"> provide at least an equal, and in many scenarios, a greater return to funded and unfunded group members than those proposed by IMF.</w:t>
      </w:r>
    </w:p>
    <w:p w:rsidR="00381849" w:rsidRPr="00381849" w:rsidRDefault="00546608" w:rsidP="00840D07">
      <w:pPr>
        <w:pStyle w:val="ParaNumbering"/>
      </w:pPr>
      <w:r>
        <w:t>In my view, at this stage i</w:t>
      </w:r>
      <w:r w:rsidR="00381849" w:rsidRPr="00381849">
        <w:t>t is difficult to meaningfully compare the modelling under</w:t>
      </w:r>
      <w:r w:rsidR="006A29F5">
        <w:t>taken by</w:t>
      </w:r>
      <w:r w:rsidR="00840D07">
        <w:t xml:space="preserve"> the parties.  </w:t>
      </w:r>
      <w:r w:rsidR="00381849" w:rsidRPr="00381849">
        <w:t>Each of the models worked through relies upon a number of assumptions concerning</w:t>
      </w:r>
      <w:r w:rsidR="001F09C8">
        <w:t xml:space="preserve"> the funding models, key inputs</w:t>
      </w:r>
      <w:r w:rsidR="00381849" w:rsidRPr="00381849">
        <w:t xml:space="preserve"> and the stage at which, and amount for which, the matter is resolved.</w:t>
      </w:r>
      <w:r w:rsidR="00840D07">
        <w:t xml:space="preserve">  </w:t>
      </w:r>
      <w:r w:rsidR="0047567F">
        <w:t>In my view, t</w:t>
      </w:r>
      <w:r w:rsidR="006A29F5">
        <w:t>he</w:t>
      </w:r>
      <w:r w:rsidR="00381849" w:rsidRPr="00381849">
        <w:t xml:space="preserve"> modelling should be treated conservatively as offering no </w:t>
      </w:r>
      <w:r w:rsidR="00381849" w:rsidRPr="00381849">
        <w:lastRenderedPageBreak/>
        <w:t xml:space="preserve">more than a guide to the range of possible outcomes for group members. </w:t>
      </w:r>
      <w:r w:rsidR="001F09C8">
        <w:t xml:space="preserve"> </w:t>
      </w:r>
      <w:r w:rsidR="00381849" w:rsidRPr="00381849">
        <w:t>In so far as any such comparative analysis is able to be undertaken,</w:t>
      </w:r>
      <w:r w:rsidR="00840D07">
        <w:t xml:space="preserve"> o</w:t>
      </w:r>
      <w:r w:rsidR="00381849" w:rsidRPr="00381849">
        <w:t>ne should have little regard to the scenarios whi</w:t>
      </w:r>
      <w:r>
        <w:t xml:space="preserve">ch may be regarded as outliers.  </w:t>
      </w:r>
      <w:r w:rsidR="00381849" w:rsidRPr="00381849">
        <w:t xml:space="preserve">It is more meaningful to focus on the scenarios which depict more conservative outcomes in terms of claim proceeds and which are focussed on the more likely stage at which </w:t>
      </w:r>
      <w:r w:rsidR="00381849" w:rsidRPr="004A39DA">
        <w:t>the proceeding</w:t>
      </w:r>
      <w:r w:rsidR="0047567F" w:rsidRPr="004A39DA">
        <w:t>s</w:t>
      </w:r>
      <w:r w:rsidR="00381849" w:rsidRPr="004A39DA">
        <w:t xml:space="preserve"> might</w:t>
      </w:r>
      <w:r w:rsidR="00381849" w:rsidRPr="00381849">
        <w:t xml:space="preserve"> resolve.</w:t>
      </w:r>
      <w:r w:rsidR="00840D07">
        <w:t xml:space="preserve">  </w:t>
      </w:r>
      <w:r w:rsidR="00381849" w:rsidRPr="00381849">
        <w:t>When one does so,</w:t>
      </w:r>
      <w:r>
        <w:t xml:space="preserve"> in my view</w:t>
      </w:r>
      <w:r w:rsidR="00381849" w:rsidRPr="00381849">
        <w:t xml:space="preserve"> there is a reasonable basis for concluding that the McKay funding model </w:t>
      </w:r>
      <w:r w:rsidR="00381849" w:rsidRPr="00546608">
        <w:rPr>
          <w:i/>
        </w:rPr>
        <w:t>may</w:t>
      </w:r>
      <w:r w:rsidR="00381849" w:rsidRPr="00381849">
        <w:t xml:space="preserve"> generate a more beneficial result for group members in the majority of those resolution scenarios which are more conservative. </w:t>
      </w:r>
      <w:r w:rsidR="006A29F5">
        <w:t xml:space="preserve"> </w:t>
      </w:r>
      <w:r>
        <w:t>In summary, at the present time I cannot confidently form the</w:t>
      </w:r>
      <w:r w:rsidR="00381849" w:rsidRPr="00381849">
        <w:t xml:space="preserve"> view that the Basil funding model (even adjusted by the recent warranties and guarantees proffered) will always, or even most often, deliver the superior result.</w:t>
      </w:r>
    </w:p>
    <w:p w:rsidR="00FA3920" w:rsidRDefault="00FA3920" w:rsidP="00FA3920">
      <w:pPr>
        <w:pStyle w:val="ParaNumbering"/>
      </w:pPr>
      <w:r>
        <w:t xml:space="preserve">I would make some additional </w:t>
      </w:r>
      <w:r w:rsidR="00546608">
        <w:t xml:space="preserve">general </w:t>
      </w:r>
      <w:r>
        <w:t xml:space="preserve">points on the question of funding.  First, comparisons between funding models at this stage is in some respects an unsatisfactory exercise.  I have not approved their terms or addressed any common fund order question.  Accordingly, any comparison proceeds on an unstable foundation.  It proceeds on the questionable assumption that </w:t>
      </w:r>
      <w:r w:rsidR="00546608">
        <w:t>either</w:t>
      </w:r>
      <w:r>
        <w:t xml:space="preserve"> model is what will be approved by me at a later stage either directly or through the determination of any common fund order application.  Second, notwithstanding the uncertain aspects of the Basil funding model, I see no difficulty in leaving Basil group members, who have been signed up, to the funding model that they have chosen in their proceedings, subject to any later approval question by me.  That result can be achieved by allowing the Basil proceedings to go forward but to close its class so that it only includes those who have </w:t>
      </w:r>
      <w:r w:rsidRPr="00FA3920">
        <w:rPr>
          <w:i/>
        </w:rPr>
        <w:t>presently</w:t>
      </w:r>
      <w:r>
        <w:t xml:space="preserve"> been signed up or ultimately a sub-set thereof (</w:t>
      </w:r>
      <w:proofErr w:type="spellStart"/>
      <w:r>
        <w:t>ie</w:t>
      </w:r>
      <w:proofErr w:type="spellEnd"/>
      <w:r>
        <w:t xml:space="preserve"> those who have signed up less those who have signed up but</w:t>
      </w:r>
      <w:r w:rsidR="00546608">
        <w:t xml:space="preserve"> then</w:t>
      </w:r>
      <w:r>
        <w:t xml:space="preserve"> opted out).  I see little advantage in permitting </w:t>
      </w:r>
      <w:r w:rsidR="00546608">
        <w:t>unsigned group members</w:t>
      </w:r>
      <w:r>
        <w:t xml:space="preserve"> (</w:t>
      </w:r>
      <w:proofErr w:type="spellStart"/>
      <w:r>
        <w:t>ie</w:t>
      </w:r>
      <w:proofErr w:type="spellEnd"/>
      <w:r>
        <w:t xml:space="preserve"> those who have not yet signed up in the Basil proceedings) to </w:t>
      </w:r>
      <w:r w:rsidR="00546608">
        <w:t>participate therein</w:t>
      </w:r>
      <w:r>
        <w:t xml:space="preserve">.  Now the Basil applicant contends that McKay group members who have not presently been signed up in the McKay proceedings should be permitted to </w:t>
      </w:r>
      <w:r w:rsidR="00546608">
        <w:t>participate in</w:t>
      </w:r>
      <w:r>
        <w:t xml:space="preserve"> the Basil proceedings to take advantage of the so-called advantages of the Basil funding model.  I disagree for the reasons that I will later elaborate on.  In essence, the assumption of the relative advantages of the Basil funding model is questionable.  Further, there can be no certainty in that model being ultimately approved by me or being the basis for any common fund order in any event.  Further, leaving such an option</w:t>
      </w:r>
      <w:r w:rsidR="00546608">
        <w:t xml:space="preserve"> open</w:t>
      </w:r>
      <w:r>
        <w:t xml:space="preserve"> will create considerable uncertainty for group members in terms of notification procedures.  In my view, unsigned group members in either of the proceedings should only have a choice of staying in or opting out of the McKay proceedings.</w:t>
      </w:r>
      <w:r w:rsidR="00546608">
        <w:t xml:space="preserve">  I will elaborate on this later.</w:t>
      </w:r>
    </w:p>
    <w:p w:rsidR="00381849" w:rsidRPr="00381849" w:rsidRDefault="00A84C03" w:rsidP="00381849">
      <w:pPr>
        <w:pStyle w:val="ParaNumbering"/>
      </w:pPr>
      <w:r>
        <w:lastRenderedPageBreak/>
        <w:t>Third, l</w:t>
      </w:r>
      <w:r w:rsidR="00381849" w:rsidRPr="00381849">
        <w:t xml:space="preserve">et me now address </w:t>
      </w:r>
      <w:r>
        <w:t xml:space="preserve">criterion (b) and the </w:t>
      </w:r>
      <w:r w:rsidR="00381849" w:rsidRPr="00381849">
        <w:t>l</w:t>
      </w:r>
      <w:r w:rsidR="001F09C8">
        <w:t>egal fees and evidence relevant</w:t>
      </w:r>
      <w:r w:rsidR="00381849" w:rsidRPr="00381849">
        <w:t xml:space="preserve"> to their projections.</w:t>
      </w:r>
      <w:r w:rsidR="00546608">
        <w:t xml:space="preserve">  In summary, this criterion is neutral</w:t>
      </w:r>
      <w:r w:rsidR="00FC7FC3">
        <w:t xml:space="preserve"> as between the two proceedings, notwithstanding the following matters.</w:t>
      </w:r>
    </w:p>
    <w:p w:rsidR="00381849" w:rsidRPr="00381849" w:rsidRDefault="00FC7FC3" w:rsidP="00381849">
      <w:pPr>
        <w:pStyle w:val="ParaNumbering"/>
      </w:pPr>
      <w:r>
        <w:t>Now I accept that t</w:t>
      </w:r>
      <w:r w:rsidR="00381849" w:rsidRPr="00381849">
        <w:t xml:space="preserve">he rates and the litigation budget for the McKay </w:t>
      </w:r>
      <w:r w:rsidR="006A29F5">
        <w:t>p</w:t>
      </w:r>
      <w:r w:rsidR="00381849" w:rsidRPr="00381849">
        <w:t>roceeding</w:t>
      </w:r>
      <w:r w:rsidR="0047567F">
        <w:t>s</w:t>
      </w:r>
      <w:r w:rsidR="00381849" w:rsidRPr="00381849">
        <w:t xml:space="preserve"> are both </w:t>
      </w:r>
      <w:r w:rsidR="001F09C8">
        <w:t>lower than those in the Basil p</w:t>
      </w:r>
      <w:r w:rsidR="00381849" w:rsidRPr="00381849">
        <w:t>roceeding</w:t>
      </w:r>
      <w:r w:rsidR="0047567F">
        <w:t>s</w:t>
      </w:r>
      <w:r w:rsidR="00381849" w:rsidRPr="00381849">
        <w:t xml:space="preserve">.  The lawyers’ rates are higher in the Basil </w:t>
      </w:r>
      <w:r w:rsidR="006A29F5">
        <w:t>proceeding</w:t>
      </w:r>
      <w:r w:rsidR="0047567F">
        <w:t>s</w:t>
      </w:r>
      <w:r w:rsidR="006A29F5">
        <w:t xml:space="preserve"> than in the McKay p</w:t>
      </w:r>
      <w:r w:rsidR="00381849" w:rsidRPr="00381849">
        <w:t>roceeding</w:t>
      </w:r>
      <w:r w:rsidR="0047567F">
        <w:t>s</w:t>
      </w:r>
      <w:r w:rsidR="00381849" w:rsidRPr="00381849">
        <w:t xml:space="preserve"> across all categories of personnel who might be involved. </w:t>
      </w:r>
      <w:r w:rsidR="006A29F5">
        <w:t xml:space="preserve"> </w:t>
      </w:r>
      <w:r w:rsidR="00381849" w:rsidRPr="00381849">
        <w:t>The differences range from 12% for a principal lawyer / consultant / special cou</w:t>
      </w:r>
      <w:r w:rsidR="006A29F5">
        <w:t xml:space="preserve">nsel, to 45% for a paralegal.  </w:t>
      </w:r>
      <w:r w:rsidR="00381849" w:rsidRPr="00381849">
        <w:t>The average difference between the rates proposed to be charged for equivalent legal staff is 27% higher in th</w:t>
      </w:r>
      <w:r w:rsidR="006A29F5">
        <w:t xml:space="preserve">e </w:t>
      </w:r>
      <w:r w:rsidR="0047567F">
        <w:t>Basil proceedings.  Further, t</w:t>
      </w:r>
      <w:r w:rsidR="00381849" w:rsidRPr="00381849">
        <w:t xml:space="preserve">he litigation budget </w:t>
      </w:r>
      <w:r w:rsidR="0047567F">
        <w:t>in the Basil proceedings</w:t>
      </w:r>
      <w:r w:rsidR="00381849" w:rsidRPr="00381849">
        <w:t xml:space="preserve"> is higher th</w:t>
      </w:r>
      <w:r w:rsidR="006A29F5">
        <w:t>an that in the McKay proceeding</w:t>
      </w:r>
      <w:r w:rsidR="0047567F">
        <w:t>s</w:t>
      </w:r>
      <w:r w:rsidR="006A29F5">
        <w:t>.</w:t>
      </w:r>
    </w:p>
    <w:p w:rsidR="00381849" w:rsidRDefault="00381849" w:rsidP="00381849">
      <w:pPr>
        <w:pStyle w:val="ParaNumbering"/>
      </w:pPr>
      <w:r w:rsidRPr="00381849">
        <w:t>Generally,</w:t>
      </w:r>
      <w:r w:rsidR="0047567F">
        <w:t xml:space="preserve"> on </w:t>
      </w:r>
      <w:r w:rsidR="0047567F" w:rsidRPr="0047567F">
        <w:rPr>
          <w:i/>
        </w:rPr>
        <w:t>current</w:t>
      </w:r>
      <w:r w:rsidR="0047567F">
        <w:t xml:space="preserve"> projections</w:t>
      </w:r>
      <w:r w:rsidR="00546608">
        <w:t xml:space="preserve"> it would appear that legal costs may</w:t>
      </w:r>
      <w:r w:rsidRPr="00381849">
        <w:t xml:space="preserve"> be lower in the McKay </w:t>
      </w:r>
      <w:r w:rsidR="006A29F5">
        <w:t>p</w:t>
      </w:r>
      <w:r w:rsidRPr="00381849">
        <w:t>roceeding</w:t>
      </w:r>
      <w:r w:rsidR="00694CF7">
        <w:t>s</w:t>
      </w:r>
      <w:r w:rsidRPr="00381849">
        <w:t xml:space="preserve"> than in the Basil </w:t>
      </w:r>
      <w:r w:rsidR="006A29F5">
        <w:t>p</w:t>
      </w:r>
      <w:r w:rsidRPr="00381849">
        <w:t>roceeding</w:t>
      </w:r>
      <w:r w:rsidR="00694CF7">
        <w:t>s</w:t>
      </w:r>
      <w:r w:rsidRPr="00381849">
        <w:t xml:space="preserve">, such that the returns to group members </w:t>
      </w:r>
      <w:r w:rsidR="00546608">
        <w:t>may</w:t>
      </w:r>
      <w:r w:rsidRPr="00381849">
        <w:t xml:space="preserve"> be higher in the McKay </w:t>
      </w:r>
      <w:r w:rsidR="006A29F5">
        <w:t>p</w:t>
      </w:r>
      <w:r w:rsidRPr="00381849">
        <w:t>roceeding</w:t>
      </w:r>
      <w:r w:rsidR="00694CF7">
        <w:t>s</w:t>
      </w:r>
      <w:r w:rsidRPr="00381849">
        <w:t>.</w:t>
      </w:r>
    </w:p>
    <w:p w:rsidR="00546608" w:rsidRDefault="00546608" w:rsidP="00546608">
      <w:pPr>
        <w:pStyle w:val="ParaNumbering"/>
      </w:pPr>
      <w:r>
        <w:t xml:space="preserve">But I do not consider it to be a useful discriminant at an early stage to compare solicitors’ charge out rates or legal costs budgets for the purpose of selecting the </w:t>
      </w:r>
      <w:r w:rsidRPr="004A39DA">
        <w:t>proceedings to go</w:t>
      </w:r>
      <w:r>
        <w:t xml:space="preserve"> forward with the lowest legal costs estimate, unless there is a very major discrepancy.  I say this for a number of reasons:</w:t>
      </w:r>
    </w:p>
    <w:p w:rsidR="00546608" w:rsidRDefault="00062DE4" w:rsidP="00546608">
      <w:pPr>
        <w:pStyle w:val="ListNo2"/>
        <w:numPr>
          <w:ilvl w:val="1"/>
          <w:numId w:val="33"/>
        </w:numPr>
      </w:pPr>
      <w:r>
        <w:t>First, charge out rate</w:t>
      </w:r>
      <w:r w:rsidR="00546608">
        <w:t xml:space="preserve"> comparisons are in some respects invidious and tell you little about the quality of the service delivered and the experience and quality of the personnel who are to deliver the service.  Indeed, a firm that has higher rates but is more efficient in terms of lower hours spent may be preferable.</w:t>
      </w:r>
    </w:p>
    <w:p w:rsidR="00546608" w:rsidRDefault="00546608" w:rsidP="00546608">
      <w:pPr>
        <w:pStyle w:val="ListNo2"/>
        <w:numPr>
          <w:ilvl w:val="1"/>
          <w:numId w:val="33"/>
        </w:numPr>
      </w:pPr>
      <w:r>
        <w:t>Second, legal budgets at an early stage of proceedings have too many imponderables to be a useful base or comparator for costs estimates in lengthy and complex group proceedings.</w:t>
      </w:r>
    </w:p>
    <w:p w:rsidR="00546608" w:rsidRDefault="00546608" w:rsidP="00546608">
      <w:pPr>
        <w:pStyle w:val="ListNo2"/>
        <w:numPr>
          <w:ilvl w:val="1"/>
          <w:numId w:val="33"/>
        </w:numPr>
      </w:pPr>
      <w:r>
        <w:t>Third, in any event if you use legal costs budgets as a comparator, one firm may be incentivised to give an unreasonably low initial estimate in order to gain approval for its action to go forward.</w:t>
      </w:r>
    </w:p>
    <w:p w:rsidR="00546608" w:rsidRDefault="00546608" w:rsidP="00546608">
      <w:pPr>
        <w:pStyle w:val="ListNo2"/>
        <w:numPr>
          <w:ilvl w:val="1"/>
          <w:numId w:val="33"/>
        </w:numPr>
      </w:pPr>
      <w:r>
        <w:t>Fourth, in any event the Court’s supervisory jurisdiction on costs can at all times be invoked to ensure that whatever budget is initially proffered, legal costs are kept at a reasonable and realistic level.  In other words, the Court can</w:t>
      </w:r>
      <w:r w:rsidR="00FC7FC3">
        <w:t xml:space="preserve"> in substance</w:t>
      </w:r>
      <w:r>
        <w:t xml:space="preserve"> factor out at a later stage any notional and hypothetical difference </w:t>
      </w:r>
      <w:r>
        <w:lastRenderedPageBreak/>
        <w:t>in costs estimates in relation to legal costs “charged” ultimately to group members.</w:t>
      </w:r>
    </w:p>
    <w:p w:rsidR="00381849" w:rsidRDefault="00A84C03" w:rsidP="00694CF7">
      <w:pPr>
        <w:pStyle w:val="ParaNumbering"/>
      </w:pPr>
      <w:r>
        <w:t>Finally and as I have indicated,</w:t>
      </w:r>
      <w:r w:rsidR="00694CF7">
        <w:t xml:space="preserve"> t</w:t>
      </w:r>
      <w:r w:rsidR="00381849" w:rsidRPr="00381849">
        <w:t>here are a number of other factors that seem to be equally balanced</w:t>
      </w:r>
      <w:r w:rsidR="00694CF7">
        <w:t xml:space="preserve"> as between the two proceedings.  First, in</w:t>
      </w:r>
      <w:r w:rsidR="00694CF7" w:rsidRPr="00694CF7">
        <w:t xml:space="preserve"> </w:t>
      </w:r>
      <w:r w:rsidR="00694CF7">
        <w:t>relation to s</w:t>
      </w:r>
      <w:r w:rsidR="00694CF7" w:rsidRPr="00381849">
        <w:t>ize (number or fina</w:t>
      </w:r>
      <w:r w:rsidR="00694CF7">
        <w:t>ncial stake) of group members, t</w:t>
      </w:r>
      <w:r w:rsidR="00694CF7" w:rsidRPr="00381849">
        <w:t>he signed up Mc</w:t>
      </w:r>
      <w:r w:rsidR="00062DE4">
        <w:t xml:space="preserve">Kay group members number 1,586 </w:t>
      </w:r>
      <w:r w:rsidR="00694CF7" w:rsidRPr="00381849">
        <w:t>compared wit</w:t>
      </w:r>
      <w:r w:rsidR="00062DE4">
        <w:t>h 1,008 Basil group members</w:t>
      </w:r>
      <w:r w:rsidR="00694CF7">
        <w:t>.  But i</w:t>
      </w:r>
      <w:r w:rsidR="00694CF7" w:rsidRPr="00381849">
        <w:t>t appears that the loss estimates for the groups, based on the application of an inflation per share loss methodology calculated on a L</w:t>
      </w:r>
      <w:r w:rsidR="00694CF7">
        <w:t xml:space="preserve">IFO basis, are </w:t>
      </w:r>
      <w:r w:rsidR="00215715">
        <w:t>of a similar order of magnitude</w:t>
      </w:r>
      <w:r w:rsidR="00694CF7">
        <w:t>.  Second, in relation to the</w:t>
      </w:r>
      <w:r w:rsidR="00694CF7" w:rsidRPr="00694CF7">
        <w:t xml:space="preserve"> </w:t>
      </w:r>
      <w:r w:rsidR="00694CF7" w:rsidRPr="00381849">
        <w:t>extent of involvement of the proposed repres</w:t>
      </w:r>
      <w:r w:rsidR="00694CF7">
        <w:t xml:space="preserve">entative applicants, both </w:t>
      </w:r>
      <w:r w:rsidR="00694CF7" w:rsidRPr="00381849">
        <w:t>representative applicant</w:t>
      </w:r>
      <w:r w:rsidR="00694CF7">
        <w:t>s</w:t>
      </w:r>
      <w:r w:rsidR="00694CF7" w:rsidRPr="00381849">
        <w:t xml:space="preserve"> </w:t>
      </w:r>
      <w:r w:rsidR="00694CF7">
        <w:t>are highly engaged and each</w:t>
      </w:r>
      <w:r w:rsidR="00694CF7" w:rsidRPr="00381849">
        <w:t xml:space="preserve"> makes a reliance-based claim as well as a </w:t>
      </w:r>
      <w:r w:rsidR="00694CF7">
        <w:t>market-based causation claim.  Third, as</w:t>
      </w:r>
      <w:r w:rsidR="00694CF7" w:rsidRPr="00694CF7">
        <w:t xml:space="preserve"> </w:t>
      </w:r>
      <w:r w:rsidR="00694CF7">
        <w:t>to the e</w:t>
      </w:r>
      <w:r w:rsidR="00694CF7" w:rsidRPr="00381849">
        <w:t>xperience of</w:t>
      </w:r>
      <w:r w:rsidR="00694CF7">
        <w:t xml:space="preserve"> the legal teams, both legal teams </w:t>
      </w:r>
      <w:r w:rsidR="00694CF7" w:rsidRPr="00381849">
        <w:t xml:space="preserve">are comprised of solicitors and counsel who are appropriately experienced </w:t>
      </w:r>
      <w:r w:rsidR="00694CF7">
        <w:t xml:space="preserve">to conduct the </w:t>
      </w:r>
      <w:r w:rsidR="00694CF7" w:rsidRPr="003A33F5">
        <w:t>proceeding</w:t>
      </w:r>
      <w:r w:rsidR="003714B0" w:rsidRPr="003A33F5">
        <w:t>s</w:t>
      </w:r>
      <w:r w:rsidR="00694CF7" w:rsidRPr="003A33F5">
        <w:t>.</w:t>
      </w:r>
      <w:r w:rsidR="00694CF7">
        <w:t xml:space="preserve">  </w:t>
      </w:r>
      <w:r w:rsidR="001A0B58">
        <w:t>Fortunately, the parties before me have refrained from making “scandalous” submissions about their rival lawyers’ competency (or lack thereof) (</w:t>
      </w:r>
      <w:proofErr w:type="spellStart"/>
      <w:r w:rsidR="001A0B58">
        <w:t>cf</w:t>
      </w:r>
      <w:proofErr w:type="spellEnd"/>
      <w:r w:rsidR="001A0B58">
        <w:t xml:space="preserve"> </w:t>
      </w:r>
      <w:proofErr w:type="spellStart"/>
      <w:r w:rsidR="001A0B58" w:rsidRPr="00A56E66">
        <w:rPr>
          <w:i/>
        </w:rPr>
        <w:t>Setterington</w:t>
      </w:r>
      <w:proofErr w:type="spellEnd"/>
      <w:r w:rsidR="001A0B58" w:rsidRPr="00A56E66">
        <w:rPr>
          <w:i/>
        </w:rPr>
        <w:t xml:space="preserve"> v Merck </w:t>
      </w:r>
      <w:proofErr w:type="spellStart"/>
      <w:r w:rsidR="001A0B58" w:rsidRPr="00A56E66">
        <w:rPr>
          <w:i/>
        </w:rPr>
        <w:t>Frosst</w:t>
      </w:r>
      <w:proofErr w:type="spellEnd"/>
      <w:r w:rsidR="001A0B58" w:rsidRPr="00A56E66">
        <w:rPr>
          <w:i/>
        </w:rPr>
        <w:t xml:space="preserve"> Canada Ltd</w:t>
      </w:r>
      <w:r w:rsidR="001A0B58">
        <w:t xml:space="preserve"> [2006] OJ No. 376 at [27] per Winkler J).  </w:t>
      </w:r>
      <w:r w:rsidR="00694CF7">
        <w:t>Fourth, as</w:t>
      </w:r>
      <w:r w:rsidR="00694CF7" w:rsidRPr="00694CF7">
        <w:t xml:space="preserve"> </w:t>
      </w:r>
      <w:r w:rsidR="00694CF7">
        <w:t>to the n</w:t>
      </w:r>
      <w:r w:rsidR="00694CF7" w:rsidRPr="00381849">
        <w:t>ature and scope of the causes of a</w:t>
      </w:r>
      <w:r w:rsidR="003A33F5">
        <w:t xml:space="preserve">ction advanced in each action, the case theories </w:t>
      </w:r>
      <w:r w:rsidR="00694CF7">
        <w:t xml:space="preserve">and the </w:t>
      </w:r>
      <w:r w:rsidR="00694CF7" w:rsidRPr="00A84C03">
        <w:t>stage each</w:t>
      </w:r>
      <w:r w:rsidR="00FA5797" w:rsidRPr="00A84C03">
        <w:t xml:space="preserve"> </w:t>
      </w:r>
      <w:r w:rsidRPr="00A84C03">
        <w:t>of the</w:t>
      </w:r>
      <w:r w:rsidR="00694CF7" w:rsidRPr="00A84C03">
        <w:t xml:space="preserve"> proceedings</w:t>
      </w:r>
      <w:r w:rsidR="00694CF7">
        <w:t xml:space="preserve"> have reached, such factors are equally balanced.</w:t>
      </w:r>
    </w:p>
    <w:p w:rsidR="00A84C03" w:rsidRDefault="00062DE4" w:rsidP="00694CF7">
      <w:pPr>
        <w:pStyle w:val="ParaNumbering"/>
      </w:pPr>
      <w:r>
        <w:t xml:space="preserve">On balance, and given </w:t>
      </w:r>
      <w:r w:rsidR="00A84C03">
        <w:t>my view that the duplication in group membership should be eliminated, it is appropriate to close the B</w:t>
      </w:r>
      <w:r w:rsidR="00643FA5">
        <w:t xml:space="preserve">asil class.  First, the ICP Capital funding arrangements are more opaque and evolving than the IMF funding arrangements.  Second, I have less confidence in the financial strength and capacity of ICP Capital than I do of IMF.  Relatedly, there are </w:t>
      </w:r>
      <w:r w:rsidR="00D30358">
        <w:t xml:space="preserve">some </w:t>
      </w:r>
      <w:r w:rsidR="00FC7FC3">
        <w:t>small</w:t>
      </w:r>
      <w:r w:rsidR="00D30358">
        <w:t xml:space="preserve"> risks</w:t>
      </w:r>
      <w:r w:rsidR="00643FA5">
        <w:t xml:space="preserve"> concerning its ability to deal with adverse costs order</w:t>
      </w:r>
      <w:r w:rsidR="00011967">
        <w:t>s</w:t>
      </w:r>
      <w:r w:rsidR="00643FA5">
        <w:t xml:space="preserve"> and </w:t>
      </w:r>
      <w:r w:rsidR="00D30358">
        <w:t xml:space="preserve">the question of insurance.  </w:t>
      </w:r>
      <w:r w:rsidR="00643FA5">
        <w:t>I am content to leave signed up Basil group members with the arrang</w:t>
      </w:r>
      <w:r w:rsidR="00D30358">
        <w:t>ements that they have chosen, b</w:t>
      </w:r>
      <w:r w:rsidR="00643FA5">
        <w:t xml:space="preserve">ut I do not consider that the Basil class should </w:t>
      </w:r>
      <w:r w:rsidR="003A33F5">
        <w:t>remain open.</w:t>
      </w:r>
    </w:p>
    <w:p w:rsidR="00412021" w:rsidRDefault="00D30358" w:rsidP="00CE0AF7">
      <w:pPr>
        <w:pStyle w:val="ParaNumbering"/>
      </w:pPr>
      <w:r>
        <w:t xml:space="preserve">Now </w:t>
      </w:r>
      <w:r w:rsidR="00A84C03">
        <w:t>before dealing with the precise class closure mechanism</w:t>
      </w:r>
      <w:r>
        <w:t>, it is appropriate at this point to make a number of other general observations.</w:t>
      </w:r>
    </w:p>
    <w:p w:rsidR="006576A0" w:rsidRDefault="00410B11" w:rsidP="00CE0AF7">
      <w:pPr>
        <w:pStyle w:val="ParaNumbering"/>
      </w:pPr>
      <w:r>
        <w:t xml:space="preserve">First, if I had been faced with the </w:t>
      </w:r>
      <w:r w:rsidR="00D30358">
        <w:t>scenario</w:t>
      </w:r>
      <w:r>
        <w:t xml:space="preserve"> of two open class proceedings which substantially overlapped as to both class membership and causes of action, with neither involving a substantial number of group members signed up to litigation funding and retainer agreements, I would have had no hesitation in staying one of the proceedings</w:t>
      </w:r>
      <w:r w:rsidR="00D45A90">
        <w:t>,</w:t>
      </w:r>
      <w:r w:rsidR="00A70FEE">
        <w:t xml:space="preserve"> and in essence</w:t>
      </w:r>
      <w:r>
        <w:t xml:space="preserve"> adopting a modified</w:t>
      </w:r>
      <w:r w:rsidR="00D30358">
        <w:t xml:space="preserve"> carriage motion model</w:t>
      </w:r>
      <w:r>
        <w:t>.</w:t>
      </w:r>
    </w:p>
    <w:p w:rsidR="002D2FA7" w:rsidRDefault="002D2FA7" w:rsidP="00CE0AF7">
      <w:pPr>
        <w:pStyle w:val="ParaNumbering"/>
      </w:pPr>
      <w:r>
        <w:lastRenderedPageBreak/>
        <w:t xml:space="preserve">Second, if I had been faced with the first scenario but with one of the proceedings involving a </w:t>
      </w:r>
      <w:r w:rsidR="006C5865">
        <w:t xml:space="preserve">very </w:t>
      </w:r>
      <w:r>
        <w:t>substantial number of group members</w:t>
      </w:r>
      <w:r w:rsidR="006C5865">
        <w:t xml:space="preserve"> signed up to funding agreements</w:t>
      </w:r>
      <w:r>
        <w:t xml:space="preserve"> and the other not, I would have, ceteris paribus in terms of the quality of the legal representation and the availability of resources, been inclined to stay the proceeding</w:t>
      </w:r>
      <w:r w:rsidR="005538E5">
        <w:t>s</w:t>
      </w:r>
      <w:r>
        <w:t xml:space="preserve"> that did not have such </w:t>
      </w:r>
      <w:r w:rsidR="005538E5">
        <w:t xml:space="preserve">a substantial number of </w:t>
      </w:r>
      <w:r>
        <w:t xml:space="preserve">signed up group members.  </w:t>
      </w:r>
      <w:r w:rsidR="005538E5">
        <w:t>But t</w:t>
      </w:r>
      <w:r w:rsidR="006C5865">
        <w:t>his observation should not be seen</w:t>
      </w:r>
      <w:r>
        <w:t xml:space="preserve"> as an incentive to sign up g</w:t>
      </w:r>
      <w:r w:rsidR="006C5865">
        <w:t xml:space="preserve">roup members before issue.  It simply reflects the reality that displacing contractual arrangements made by significant numbers of group members should </w:t>
      </w:r>
      <w:r w:rsidR="006C5865" w:rsidRPr="003A33F5">
        <w:t xml:space="preserve">be avoided </w:t>
      </w:r>
      <w:r w:rsidR="00D30358">
        <w:t>(</w:t>
      </w:r>
      <w:r w:rsidR="003E2897" w:rsidRPr="003A33F5">
        <w:t>if</w:t>
      </w:r>
      <w:r w:rsidR="006C5865" w:rsidRPr="003A33F5">
        <w:t xml:space="preserve"> possible</w:t>
      </w:r>
      <w:r w:rsidR="00D30358">
        <w:t>)</w:t>
      </w:r>
      <w:r w:rsidR="006C5865">
        <w:t xml:space="preserve"> where I can otherwise ensure that signed and unsigned group members’ interests are properly protected in any event.  </w:t>
      </w:r>
      <w:r>
        <w:t xml:space="preserve">Moreover, what I have said cannot be definitive in all cases, for example where the quality of the legal representation and the resources is substantially less in the </w:t>
      </w:r>
      <w:r w:rsidRPr="006C5865">
        <w:t>proceeding</w:t>
      </w:r>
      <w:r w:rsidR="003714B0" w:rsidRPr="006C5865">
        <w:t>s</w:t>
      </w:r>
      <w:r w:rsidRPr="006C5865">
        <w:t xml:space="preserve"> with the signed up group members as com</w:t>
      </w:r>
      <w:r w:rsidR="00211D4E" w:rsidRPr="006C5865">
        <w:t>pared with the other proceeding</w:t>
      </w:r>
      <w:r w:rsidR="003714B0" w:rsidRPr="006C5865">
        <w:t>s</w:t>
      </w:r>
      <w:r w:rsidRPr="006C5865">
        <w:t>; but this is an unlikely scenario as experience shows that if anything the r</w:t>
      </w:r>
      <w:r w:rsidR="00211D4E" w:rsidRPr="006C5865">
        <w:t>everse</w:t>
      </w:r>
      <w:r w:rsidR="003A33F5">
        <w:t xml:space="preserve"> is </w:t>
      </w:r>
      <w:r w:rsidRPr="006C5865">
        <w:t>likely to be the case.</w:t>
      </w:r>
    </w:p>
    <w:p w:rsidR="002D2FA7" w:rsidRDefault="002D2FA7" w:rsidP="00CE0AF7">
      <w:pPr>
        <w:pStyle w:val="ParaNumbering"/>
      </w:pPr>
      <w:r>
        <w:t>Now it will be appreciated that the</w:t>
      </w:r>
      <w:r w:rsidR="005538E5">
        <w:t xml:space="preserve"> present</w:t>
      </w:r>
      <w:r>
        <w:t xml:space="preserve"> cases </w:t>
      </w:r>
      <w:r w:rsidR="005538E5">
        <w:t>before me</w:t>
      </w:r>
      <w:r>
        <w:t xml:space="preserve"> do not involve either scenario.  Rather, </w:t>
      </w:r>
      <w:r w:rsidR="00D30358">
        <w:t>I am dealing with a</w:t>
      </w:r>
      <w:r>
        <w:t xml:space="preserve"> scenario where both proceedings have over 1000 signed up gr</w:t>
      </w:r>
      <w:r w:rsidR="00D30358">
        <w:t>oup members in each case.  E</w:t>
      </w:r>
      <w:r>
        <w:t>ven then, if I had been satisfied that the quality (experience) of the legal representation and the availability of resources in one cas</w:t>
      </w:r>
      <w:r w:rsidR="005538E5">
        <w:t>e was substantially less than for</w:t>
      </w:r>
      <w:r>
        <w:t xml:space="preserve"> the other, I would have stayed the former case.  But as I have indicated, in the two cases before me there is no</w:t>
      </w:r>
      <w:r w:rsidR="00D30358">
        <w:t xml:space="preserve"> such</w:t>
      </w:r>
      <w:r>
        <w:t xml:space="preserve"> significant disparity between the quality of the legal representation and the r</w:t>
      </w:r>
      <w:r w:rsidR="00D30358">
        <w:t xml:space="preserve">esources available in each case, </w:t>
      </w:r>
      <w:r w:rsidR="00FB110A">
        <w:t xml:space="preserve">subject to </w:t>
      </w:r>
      <w:r w:rsidR="00D30358">
        <w:t>the</w:t>
      </w:r>
      <w:r w:rsidR="00FC7FC3">
        <w:t xml:space="preserve"> small</w:t>
      </w:r>
      <w:r w:rsidR="00D30358">
        <w:t xml:space="preserve"> risks I have discussed earlier concerning the Basil proceedings</w:t>
      </w:r>
      <w:r w:rsidR="00FB110A">
        <w:t>.</w:t>
      </w:r>
    </w:p>
    <w:p w:rsidR="002D2FA7" w:rsidRPr="00215715" w:rsidRDefault="00D30358" w:rsidP="00CE0AF7">
      <w:pPr>
        <w:pStyle w:val="ParaNumbering"/>
      </w:pPr>
      <w:r>
        <w:t>Third,</w:t>
      </w:r>
      <w:r w:rsidR="00BB480B">
        <w:t xml:space="preserve"> I do not consider it to b</w:t>
      </w:r>
      <w:r w:rsidR="000B4916">
        <w:t xml:space="preserve">e an appropriate </w:t>
      </w:r>
      <w:r w:rsidR="000B4916" w:rsidRPr="00382F62">
        <w:t>discriminant</w:t>
      </w:r>
      <w:r w:rsidR="00382F62" w:rsidRPr="00382F62">
        <w:t xml:space="preserve"> </w:t>
      </w:r>
      <w:r w:rsidR="000B4916" w:rsidRPr="00382F62">
        <w:t>in</w:t>
      </w:r>
      <w:r w:rsidR="000B4916">
        <w:t xml:space="preserve"> </w:t>
      </w:r>
      <w:r w:rsidR="000B4916" w:rsidRPr="000B4916">
        <w:rPr>
          <w:i/>
        </w:rPr>
        <w:t>most</w:t>
      </w:r>
      <w:r w:rsidR="000B4916">
        <w:t xml:space="preserve"> cases, in terms of choosing at an </w:t>
      </w:r>
      <w:r w:rsidR="000B4916" w:rsidRPr="000B4916">
        <w:rPr>
          <w:i/>
        </w:rPr>
        <w:t>early</w:t>
      </w:r>
      <w:r w:rsidR="000B4916">
        <w:t xml:space="preserve"> stage which </w:t>
      </w:r>
      <w:r w:rsidR="000B4916" w:rsidRPr="00215715">
        <w:t>proceeding</w:t>
      </w:r>
      <w:r w:rsidR="00FB110A" w:rsidRPr="00215715">
        <w:t>s</w:t>
      </w:r>
      <w:r w:rsidR="000B4916" w:rsidRPr="00215715">
        <w:t xml:space="preserve"> to stay (or perhaps </w:t>
      </w:r>
      <w:r w:rsidR="00FB110A" w:rsidRPr="00215715">
        <w:t xml:space="preserve">which class to </w:t>
      </w:r>
      <w:r w:rsidR="000B4916" w:rsidRPr="00215715">
        <w:t>close), to endeavour to compare (in terms of assessing what is in the best interests of group members):</w:t>
      </w:r>
    </w:p>
    <w:p w:rsidR="000B4916" w:rsidRPr="00215715" w:rsidRDefault="000B4916" w:rsidP="00CD1724">
      <w:pPr>
        <w:pStyle w:val="ListNo2"/>
        <w:numPr>
          <w:ilvl w:val="1"/>
          <w:numId w:val="32"/>
        </w:numPr>
      </w:pPr>
      <w:r w:rsidRPr="00215715">
        <w:t xml:space="preserve">the terms of </w:t>
      </w:r>
      <w:r w:rsidR="00D30358">
        <w:t>possible competing common fund order scenarios</w:t>
      </w:r>
      <w:r w:rsidRPr="00215715">
        <w:t>;</w:t>
      </w:r>
      <w:r w:rsidR="004F7D36" w:rsidRPr="00215715">
        <w:t xml:space="preserve"> and</w:t>
      </w:r>
    </w:p>
    <w:p w:rsidR="000B4916" w:rsidRDefault="000B4916" w:rsidP="00CD1724">
      <w:pPr>
        <w:pStyle w:val="ListNo2"/>
        <w:numPr>
          <w:ilvl w:val="1"/>
          <w:numId w:val="32"/>
        </w:numPr>
      </w:pPr>
      <w:r>
        <w:t xml:space="preserve">the ultimate net recoveries that may be available to group members under different </w:t>
      </w:r>
      <w:r w:rsidR="00D30358">
        <w:t>common fund order scenarios</w:t>
      </w:r>
      <w:r>
        <w:t>.</w:t>
      </w:r>
    </w:p>
    <w:p w:rsidR="000B4916" w:rsidRDefault="000B4916" w:rsidP="000B4916">
      <w:pPr>
        <w:pStyle w:val="ParaNumbering"/>
      </w:pPr>
      <w:r>
        <w:t>In relation to (a), I say t</w:t>
      </w:r>
      <w:r w:rsidR="00D30358">
        <w:t>his because at an early stage</w:t>
      </w:r>
      <w:r w:rsidR="00FB110A">
        <w:t xml:space="preserve"> the</w:t>
      </w:r>
      <w:r>
        <w:t xml:space="preserve"> Court will not have approved the </w:t>
      </w:r>
      <w:r w:rsidRPr="00D82246">
        <w:t>funding model(s)</w:t>
      </w:r>
      <w:r w:rsidR="00A720E2" w:rsidRPr="00D82246">
        <w:t>,</w:t>
      </w:r>
      <w:r w:rsidRPr="00D82246">
        <w:t xml:space="preserve"> let alone</w:t>
      </w:r>
      <w:r>
        <w:t xml:space="preserve"> made any common fund order.  In other words, the comparison that (a) may entail would be </w:t>
      </w:r>
      <w:r w:rsidR="00FB110A">
        <w:t>based on an</w:t>
      </w:r>
      <w:r>
        <w:t xml:space="preserve"> insecure foundation at an early stage of the proceedings.</w:t>
      </w:r>
      <w:r w:rsidR="00011967">
        <w:t xml:space="preserve">  Various statements have been made by the Basil applicant / ICP Capital and the McKay applicant / IMF as to what position they would take concerning a common fund order </w:t>
      </w:r>
      <w:r w:rsidR="00011967">
        <w:lastRenderedPageBreak/>
        <w:t>application if their related proceedings, namely, the Basil proceedings and the McKay proceedings respectively, were to proceed as open class proceedings.  At this stage, and given that the terms of any such order (indeed whether I make one at all) are matters for</w:t>
      </w:r>
      <w:r w:rsidR="006C5865">
        <w:t xml:space="preserve"> later consideration by </w:t>
      </w:r>
      <w:r w:rsidR="006C5865" w:rsidRPr="006C5865">
        <w:t>the Court</w:t>
      </w:r>
      <w:r w:rsidR="00011967" w:rsidRPr="006C5865">
        <w:t>, the</w:t>
      </w:r>
      <w:r w:rsidR="00011967">
        <w:t xml:space="preserve"> position is too unclear to assess whether one set of proceedings should be favoured over the other (in terms of being the open class proceedings) by reason of this criterion.</w:t>
      </w:r>
    </w:p>
    <w:p w:rsidR="000B4916" w:rsidRDefault="000B4916" w:rsidP="000B4916">
      <w:pPr>
        <w:pStyle w:val="ParaNumbering"/>
      </w:pPr>
      <w:r>
        <w:t>In relation to (b), the problems are compoun</w:t>
      </w:r>
      <w:r w:rsidR="00683F24">
        <w:t>ded.  Not only would one have an insecure foundation in terms of assessing the terms of the funding models, but in terms of projections as to future recoveries</w:t>
      </w:r>
      <w:r w:rsidR="00FB110A">
        <w:t xml:space="preserve"> based on these models</w:t>
      </w:r>
      <w:r w:rsidR="00683F24">
        <w:t xml:space="preserve"> there would be uncertainty as to t</w:t>
      </w:r>
      <w:r w:rsidR="00FB110A">
        <w:t>he inputs into any calculations relating to gross recoveries, approved deductions (s 33V) and net recoveries.</w:t>
      </w:r>
    </w:p>
    <w:p w:rsidR="00683F24" w:rsidRDefault="00683F24" w:rsidP="000B4916">
      <w:pPr>
        <w:pStyle w:val="ParaNumbering"/>
      </w:pPr>
      <w:r>
        <w:t>But what I have said is subject to the rider that if in a particular case</w:t>
      </w:r>
      <w:r w:rsidR="00E833BE">
        <w:t xml:space="preserve"> </w:t>
      </w:r>
      <w:r>
        <w:t xml:space="preserve">matters </w:t>
      </w:r>
      <w:r w:rsidR="00D30358">
        <w:t>[99</w:t>
      </w:r>
      <w:r>
        <w:t>(a)</w:t>
      </w:r>
      <w:r w:rsidR="00D30358">
        <w:t>]</w:t>
      </w:r>
      <w:r>
        <w:t xml:space="preserve"> and </w:t>
      </w:r>
      <w:r w:rsidR="00D30358">
        <w:t>[99</w:t>
      </w:r>
      <w:r>
        <w:t>(b)</w:t>
      </w:r>
      <w:r w:rsidR="00D30358">
        <w:t>]</w:t>
      </w:r>
      <w:r>
        <w:t xml:space="preserve"> can at an early stage be determined with </w:t>
      </w:r>
      <w:r w:rsidR="00D30358">
        <w:t>a substantial degree of confidence,</w:t>
      </w:r>
      <w:r>
        <w:t xml:space="preserve"> with one of the proceedings being clearly and significantly advantageous to </w:t>
      </w:r>
      <w:r w:rsidR="00D30358">
        <w:t xml:space="preserve">unsigned </w:t>
      </w:r>
      <w:r>
        <w:t>group members over the other in terms of</w:t>
      </w:r>
      <w:r w:rsidR="00D30358">
        <w:t xml:space="preserve"> realistic</w:t>
      </w:r>
      <w:r>
        <w:t xml:space="preserve"> funding arrangements and projected ultimate net recoveries, then that may favour staying the </w:t>
      </w:r>
      <w:r w:rsidR="00FB110A">
        <w:t>less favourable proceedings</w:t>
      </w:r>
      <w:r w:rsidR="00D30358">
        <w:t xml:space="preserve"> or closing its class</w:t>
      </w:r>
      <w:r>
        <w:t>.  But in my view it would be an unusual case where this could be determined with confidence at an early stage.  I could not so determine in the matters before me.</w:t>
      </w:r>
      <w:r w:rsidR="00D30358">
        <w:t xml:space="preserve">  I am, nevertheless, closing the Basil class for other reasons.</w:t>
      </w:r>
    </w:p>
    <w:p w:rsidR="000C6264" w:rsidRDefault="00D30358" w:rsidP="000C6264">
      <w:pPr>
        <w:pStyle w:val="ParaNumbering"/>
      </w:pPr>
      <w:r>
        <w:t>Fourth</w:t>
      </w:r>
      <w:r w:rsidR="000C6264">
        <w:t xml:space="preserve">, I do not consider that any “first in time” criterion, even if it was a relevant consideration, has any weight in the present case. </w:t>
      </w:r>
      <w:r w:rsidR="00FC7FC3">
        <w:t xml:space="preserve"> It is well established that a race to the palace</w:t>
      </w:r>
      <w:r w:rsidR="000C6264">
        <w:t xml:space="preserve"> ought not to be encouraged by adopting such a criterion.  </w:t>
      </w:r>
      <w:r>
        <w:t>But</w:t>
      </w:r>
      <w:r w:rsidR="000C6264">
        <w:t xml:space="preserve"> where a second representative overlapping action has been instituted a significant time after the first such action, it may be relevant to consider the relative timing.  But to do so would not be to prefer the first in time for </w:t>
      </w:r>
      <w:r>
        <w:t>just being first</w:t>
      </w:r>
      <w:r w:rsidR="000C6264">
        <w:t>.  Rather, it may simply reflect the fact that significant work may have</w:t>
      </w:r>
      <w:r>
        <w:t xml:space="preserve"> already</w:t>
      </w:r>
      <w:r w:rsidR="000C6264">
        <w:t xml:space="preserve"> been done under the first action, such that the second action ought not be permitted to proceed because of the duplication in expense</w:t>
      </w:r>
      <w:r>
        <w:t>,</w:t>
      </w:r>
      <w:r w:rsidR="000C6264">
        <w:t xml:space="preserve"> inefficiencies</w:t>
      </w:r>
      <w:r>
        <w:t xml:space="preserve"> and delay</w:t>
      </w:r>
      <w:r w:rsidR="000C6264">
        <w:t xml:space="preserve"> involved which may be antitheti</w:t>
      </w:r>
      <w:r>
        <w:t>cal to group members’ interests</w:t>
      </w:r>
      <w:r w:rsidR="000C6264">
        <w:t>.  But in the present context, I am not fa</w:t>
      </w:r>
      <w:r w:rsidR="002A69BE">
        <w:t>ced with such a scenario</w:t>
      </w:r>
      <w:r>
        <w:t xml:space="preserve"> given that t</w:t>
      </w:r>
      <w:r w:rsidR="002A69BE">
        <w:t xml:space="preserve">he Basil </w:t>
      </w:r>
      <w:r w:rsidR="002A69BE" w:rsidRPr="004A39DA">
        <w:t>proceeding</w:t>
      </w:r>
      <w:r w:rsidR="00E56115" w:rsidRPr="004A39DA">
        <w:t>s</w:t>
      </w:r>
      <w:r w:rsidR="002A69BE" w:rsidRPr="004A39DA">
        <w:t xml:space="preserve"> </w:t>
      </w:r>
      <w:r w:rsidR="004A39DA" w:rsidRPr="004A39DA">
        <w:t>were</w:t>
      </w:r>
      <w:r w:rsidR="002A69BE">
        <w:t xml:space="preserve"> instituted shortly after the McKay proceeding</w:t>
      </w:r>
      <w:r w:rsidR="00E56115">
        <w:t>s</w:t>
      </w:r>
      <w:r w:rsidR="002A69BE">
        <w:t>.</w:t>
      </w:r>
    </w:p>
    <w:p w:rsidR="001A0B58" w:rsidRDefault="001A0B58" w:rsidP="00A07A57">
      <w:pPr>
        <w:pStyle w:val="Heading1"/>
      </w:pPr>
      <w:r>
        <w:t xml:space="preserve">WHAT </w:t>
      </w:r>
      <w:r w:rsidRPr="00A84C03">
        <w:rPr>
          <w:i/>
        </w:rPr>
        <w:t>TYPE</w:t>
      </w:r>
      <w:r>
        <w:t xml:space="preserve"> OF CLASS CLOSURE?</w:t>
      </w:r>
    </w:p>
    <w:p w:rsidR="001A0B58" w:rsidRDefault="001A0B58" w:rsidP="001A0B58">
      <w:pPr>
        <w:pStyle w:val="ParaNumbering"/>
      </w:pPr>
      <w:r>
        <w:t xml:space="preserve">One issue that has troubled me in closing the class in the Basil proceedings concerns whether if I close that class I should allow </w:t>
      </w:r>
      <w:r w:rsidRPr="00A84C03">
        <w:t xml:space="preserve">before closure, say, </w:t>
      </w:r>
      <w:r w:rsidRPr="00A84C03">
        <w:rPr>
          <w:i/>
        </w:rPr>
        <w:t xml:space="preserve">unsigned </w:t>
      </w:r>
      <w:r w:rsidR="00C428BC" w:rsidRPr="00A84C03">
        <w:t>group members</w:t>
      </w:r>
      <w:r w:rsidR="00D30358">
        <w:t xml:space="preserve"> in both </w:t>
      </w:r>
      <w:r w:rsidR="00D30358">
        <w:lastRenderedPageBreak/>
        <w:t>proceedings</w:t>
      </w:r>
      <w:r w:rsidR="00C428BC" w:rsidRPr="00A84C03">
        <w:t xml:space="preserve"> </w:t>
      </w:r>
      <w:r w:rsidRPr="00A84C03">
        <w:t xml:space="preserve">(perhaps indeed also signed </w:t>
      </w:r>
      <w:r w:rsidR="00D30358">
        <w:t xml:space="preserve">McKay </w:t>
      </w:r>
      <w:r w:rsidR="000E2E29" w:rsidRPr="00A84C03">
        <w:t xml:space="preserve">group members </w:t>
      </w:r>
      <w:r w:rsidRPr="00A84C03">
        <w:t>if the carve out in the cu</w:t>
      </w:r>
      <w:r w:rsidR="00D30358">
        <w:t xml:space="preserve">rrent Basil class description </w:t>
      </w:r>
      <w:r w:rsidR="00FE7482">
        <w:t>was</w:t>
      </w:r>
      <w:r w:rsidR="00D30358">
        <w:t xml:space="preserve"> to be</w:t>
      </w:r>
      <w:r w:rsidRPr="00A84C03">
        <w:t xml:space="preserve"> removed) to, in effect, opt out of the McKay proceedings</w:t>
      </w:r>
      <w:r>
        <w:t xml:space="preserve"> and remain in the Basil pr</w:t>
      </w:r>
      <w:r w:rsidR="00D30358">
        <w:t xml:space="preserve">oceedings </w:t>
      </w:r>
      <w:r>
        <w:t>by virtue of not opting out of the Basil proceedings</w:t>
      </w:r>
      <w:r w:rsidR="00D30358">
        <w:t>.  In other words, should such</w:t>
      </w:r>
      <w:r>
        <w:t xml:space="preserve"> group members be given the choice of electing, in substance, for the ICP Capital type funding model over the IMF model?  After all, the Basil applicant says that the ICP Capital model is the preferable model.</w:t>
      </w:r>
    </w:p>
    <w:p w:rsidR="001A0B58" w:rsidRDefault="001A0B58" w:rsidP="001A0B58">
      <w:pPr>
        <w:pStyle w:val="ParaNumbering"/>
      </w:pPr>
      <w:r>
        <w:t>In terms of the m</w:t>
      </w:r>
      <w:r w:rsidR="000E2E29">
        <w:t>echanism to achieve that result</w:t>
      </w:r>
      <w:r w:rsidR="00D30358">
        <w:t xml:space="preserve">, </w:t>
      </w:r>
      <w:r>
        <w:t>group mem</w:t>
      </w:r>
      <w:r w:rsidR="000E2E29">
        <w:t>bers</w:t>
      </w:r>
      <w:r w:rsidR="00D30358">
        <w:t xml:space="preserve"> (unsigned and signed (if I remove the Basil </w:t>
      </w:r>
      <w:r w:rsidR="00726E10" w:rsidRPr="00D82246">
        <w:t xml:space="preserve">class description </w:t>
      </w:r>
      <w:r w:rsidR="00D30358" w:rsidRPr="00D82246">
        <w:t>carve</w:t>
      </w:r>
      <w:r w:rsidR="00D30358">
        <w:t xml:space="preserve"> out))</w:t>
      </w:r>
      <w:r w:rsidR="000E2E29">
        <w:t xml:space="preserve"> in the McKay proceedings c</w:t>
      </w:r>
      <w:r>
        <w:t xml:space="preserve">ould be given this choice if I were to do nothing more than adopt a plain vanilla opt </w:t>
      </w:r>
      <w:r w:rsidRPr="00A84C03">
        <w:t>out process</w:t>
      </w:r>
      <w:r w:rsidR="000E2E29" w:rsidRPr="00A84C03">
        <w:t xml:space="preserve"> </w:t>
      </w:r>
      <w:r w:rsidR="007664F0" w:rsidRPr="00A84C03">
        <w:t>running</w:t>
      </w:r>
      <w:r w:rsidR="000E2E29" w:rsidRPr="00A84C03">
        <w:t xml:space="preserve"> concurrently</w:t>
      </w:r>
      <w:r w:rsidR="000E2E29">
        <w:t xml:space="preserve"> in each of the proceedings.  The</w:t>
      </w:r>
      <w:r>
        <w:t xml:space="preserve"> </w:t>
      </w:r>
      <w:r w:rsidR="00197FC3">
        <w:t>group members in the McKay proceedings could opt out of the McKay proceedings, not opt out of the Basil proceedings, and thereby achieve the result of remaining group members in the Basil proceedings only</w:t>
      </w:r>
      <w:r w:rsidR="00FC7FC3">
        <w:t>,</w:t>
      </w:r>
      <w:r w:rsidR="00197FC3">
        <w:t xml:space="preserve"> with the benefit of the ICP Capital funding model with its virtues extolled by the Basil applicant.</w:t>
      </w:r>
    </w:p>
    <w:p w:rsidR="00197FC3" w:rsidRDefault="00197FC3" w:rsidP="001A0B58">
      <w:pPr>
        <w:pStyle w:val="ParaNumbering"/>
      </w:pPr>
      <w:r>
        <w:t>But I could deny such</w:t>
      </w:r>
      <w:r w:rsidR="00B01B6A">
        <w:t xml:space="preserve"> a choice by the following mechanism.  First and before any opt out mechanism being put in place for either of the proceedings, I could modify the group description in the Basil proceedings to in essence close it by limiting it to only those who are presently signed up group members in the Basil proceedings.  Now one</w:t>
      </w:r>
      <w:r w:rsidR="00A35EA9">
        <w:t xml:space="preserve"> would not normally do this without proper notice and the unsigned</w:t>
      </w:r>
      <w:r w:rsidR="00A84C03">
        <w:t xml:space="preserve"> Basil</w:t>
      </w:r>
      <w:r w:rsidR="00A35EA9">
        <w:t xml:space="preserve"> group members being heard, as it would usually prejudice their interests.  But in this case it would not, because the foundational assumption is that they would also and in any event be members of the McKay proceedings which pursues the same claims and causes o</w:t>
      </w:r>
      <w:r w:rsidR="00FC7FC3">
        <w:t xml:space="preserve">f action.  They would lose the </w:t>
      </w:r>
      <w:r w:rsidR="00A35EA9">
        <w:t>benefit of a common fund</w:t>
      </w:r>
      <w:r w:rsidR="000E2E29">
        <w:t xml:space="preserve"> order</w:t>
      </w:r>
      <w:r w:rsidR="00A35EA9">
        <w:t xml:space="preserve"> mechanism following the ICP Capital model in the Basil proceedings, but th</w:t>
      </w:r>
      <w:r w:rsidR="00D30358">
        <w:t xml:space="preserve">at may be an illusory benefit </w:t>
      </w:r>
      <w:r w:rsidR="00A35EA9">
        <w:t xml:space="preserve">in any event for there would be no certainty in </w:t>
      </w:r>
      <w:r w:rsidR="00A84C03">
        <w:t>the</w:t>
      </w:r>
      <w:r w:rsidR="00A35EA9">
        <w:t xml:space="preserve"> funding arrangements I would approve or make in the Basil proceedings.  Moreover, it assumes that the ICP Capital model is preferable to the IMF model, which is a contestable proposition in any event.  Second and following the modification of the Basil group description to close it, </w:t>
      </w:r>
      <w:proofErr w:type="spellStart"/>
      <w:r w:rsidR="00FC7FC3">
        <w:t>ie</w:t>
      </w:r>
      <w:proofErr w:type="spellEnd"/>
      <w:r w:rsidR="00A35EA9">
        <w:t xml:space="preserve"> limiting its universe, I could then proceed to adopt an opt out protocol for </w:t>
      </w:r>
      <w:r w:rsidR="00A35EA9" w:rsidRPr="00A35EA9">
        <w:rPr>
          <w:i/>
        </w:rPr>
        <w:t xml:space="preserve">both </w:t>
      </w:r>
      <w:r w:rsidR="00A35EA9">
        <w:t>proceedings.  That would achieve the result that the Basil class could then decrease, but it would not increase.</w:t>
      </w:r>
      <w:r w:rsidR="00D30358">
        <w:t xml:space="preserve">  I have set out greater detail in [64] of the dimensions of this mechanism.</w:t>
      </w:r>
    </w:p>
    <w:p w:rsidR="00A35EA9" w:rsidRDefault="00D45576" w:rsidP="001A0B58">
      <w:pPr>
        <w:pStyle w:val="ParaNumbering"/>
      </w:pPr>
      <w:r>
        <w:t>Ultimately, I have decided to take this latter course.  This option does not prejudice the signed Basil group members directly</w:t>
      </w:r>
      <w:r w:rsidR="00FC7FC3">
        <w:t xml:space="preserve">; perhaps it may be said that additional unsigned members could enable a spreading of the burden of fees and costs, but the signed members </w:t>
      </w:r>
      <w:r w:rsidR="00FC7FC3">
        <w:lastRenderedPageBreak/>
        <w:t>chose to sign up without any such guarantee.  Now this latter course</w:t>
      </w:r>
      <w:r>
        <w:t xml:space="preserve"> does of course remove an option for</w:t>
      </w:r>
      <w:r w:rsidR="00D30358">
        <w:t xml:space="preserve"> McKay group members and</w:t>
      </w:r>
      <w:r>
        <w:t xml:space="preserve"> the unsigned</w:t>
      </w:r>
      <w:r w:rsidR="00A84C03">
        <w:t xml:space="preserve"> Basil</w:t>
      </w:r>
      <w:r>
        <w:t xml:space="preserve"> group members including group members who have registered their interest, whatever that </w:t>
      </w:r>
      <w:r w:rsidR="00A84C03">
        <w:t>entails</w:t>
      </w:r>
      <w:r>
        <w:t>, bu</w:t>
      </w:r>
      <w:r w:rsidR="000E2E29">
        <w:t>t have not yet signed.  But they</w:t>
      </w:r>
      <w:r>
        <w:t xml:space="preserve"> can be members of the McKay proceeding</w:t>
      </w:r>
      <w:r w:rsidR="000E2E29">
        <w:t>s</w:t>
      </w:r>
      <w:r>
        <w:t xml:space="preserve">.  Moreover, if there are aspects of the Basil funding mechanism that are useful, these can be drawn to my attention as part of any common fund </w:t>
      </w:r>
      <w:r w:rsidR="00D30358">
        <w:t xml:space="preserve">order </w:t>
      </w:r>
      <w:r>
        <w:t>application in the McKay proceeding</w:t>
      </w:r>
      <w:r w:rsidR="000E2E29">
        <w:t>s</w:t>
      </w:r>
      <w:r>
        <w:t>.</w:t>
      </w:r>
    </w:p>
    <w:p w:rsidR="00D45576" w:rsidRDefault="00D45576" w:rsidP="001A0B58">
      <w:pPr>
        <w:pStyle w:val="ParaNumbering"/>
      </w:pPr>
      <w:r>
        <w:t>This latter course in my view</w:t>
      </w:r>
      <w:r w:rsidR="00D42DAA">
        <w:t xml:space="preserve"> is desirable to avoid the considerable complexity and confusion that may otherwise result if I took the course of not modifying in the first instance the Basil group description.  </w:t>
      </w:r>
      <w:r w:rsidR="00D30358">
        <w:t>If I did not so modify, u</w:t>
      </w:r>
      <w:r w:rsidR="00D42DAA">
        <w:t>nsigned McKay group members</w:t>
      </w:r>
      <w:r w:rsidR="00D30358">
        <w:t xml:space="preserve"> (and signed if I was to remove the </w:t>
      </w:r>
      <w:r w:rsidR="00D30358" w:rsidRPr="00D82246">
        <w:t xml:space="preserve">Basil </w:t>
      </w:r>
      <w:r w:rsidR="00726E10" w:rsidRPr="00D82246">
        <w:t xml:space="preserve">class description </w:t>
      </w:r>
      <w:r w:rsidR="00D30358" w:rsidRPr="00D82246">
        <w:t>carve</w:t>
      </w:r>
      <w:r w:rsidR="00D30358">
        <w:t xml:space="preserve"> out)</w:t>
      </w:r>
      <w:r w:rsidR="00D42DAA">
        <w:t xml:space="preserve"> would then be able to opt out of the McKay proceedings and remain in the Basil proceedings.  </w:t>
      </w:r>
      <w:r w:rsidR="00A84C03">
        <w:t xml:space="preserve">Likewise, Basil unsigned group members could also remain in the Basil proceedings.  </w:t>
      </w:r>
      <w:r w:rsidR="00D30358">
        <w:t>But such group members</w:t>
      </w:r>
      <w:r w:rsidR="00D42DAA">
        <w:t xml:space="preserve"> may be unclear as to which is the preferable funding mechanism.  Moreover, although notifications t</w:t>
      </w:r>
      <w:r w:rsidR="00D30358">
        <w:t xml:space="preserve">o group members under </w:t>
      </w:r>
      <w:proofErr w:type="spellStart"/>
      <w:r w:rsidR="00D30358">
        <w:t>ss</w:t>
      </w:r>
      <w:proofErr w:type="spellEnd"/>
      <w:r w:rsidR="00D30358">
        <w:t> </w:t>
      </w:r>
      <w:r w:rsidR="00D42DAA">
        <w:t>33X and 33Y of the Act are to ensure that group members can make informed decisions concerning their rights, at the end of the day such notices must preference clarity and simplicity (</w:t>
      </w:r>
      <w:r w:rsidR="00D42DAA" w:rsidRPr="00D42DAA">
        <w:rPr>
          <w:i/>
        </w:rPr>
        <w:t>Melbourne City Investments</w:t>
      </w:r>
      <w:r w:rsidR="00D42DAA">
        <w:t xml:space="preserve"> at [88]).</w:t>
      </w:r>
    </w:p>
    <w:p w:rsidR="00011967" w:rsidRDefault="00011967" w:rsidP="001A0B58">
      <w:pPr>
        <w:pStyle w:val="ParaNumbering"/>
      </w:pPr>
      <w:r>
        <w:t>I do not propose to give advice in any notice</w:t>
      </w:r>
      <w:r w:rsidR="006C5865">
        <w:t xml:space="preserve"> to group members as to which</w:t>
      </w:r>
      <w:r w:rsidR="00D30358">
        <w:t xml:space="preserve"> proceedings</w:t>
      </w:r>
      <w:r w:rsidR="006C5865">
        <w:t xml:space="preserve"> are</w:t>
      </w:r>
      <w:r>
        <w:t xml:space="preserve"> the better proceeding</w:t>
      </w:r>
      <w:r w:rsidR="006C5865">
        <w:t>s</w:t>
      </w:r>
      <w:r>
        <w:t xml:space="preserve"> in terms of funding or returns.  </w:t>
      </w:r>
      <w:r w:rsidR="0024652E">
        <w:t>And in any event,</w:t>
      </w:r>
      <w:r>
        <w:t xml:space="preserve"> if I </w:t>
      </w:r>
      <w:r w:rsidRPr="006C5865">
        <w:t xml:space="preserve">close off the Basil </w:t>
      </w:r>
      <w:r w:rsidR="008F1EAF" w:rsidRPr="006C5865">
        <w:t>class</w:t>
      </w:r>
      <w:r w:rsidR="006C5865" w:rsidRPr="006C5865">
        <w:t xml:space="preserve"> </w:t>
      </w:r>
      <w:r w:rsidRPr="006C5865">
        <w:t>first</w:t>
      </w:r>
      <w:r>
        <w:t xml:space="preserve"> to </w:t>
      </w:r>
      <w:r w:rsidR="008F1EAF">
        <w:t xml:space="preserve">only </w:t>
      </w:r>
      <w:r>
        <w:t>those that have signed up, then McKay group members</w:t>
      </w:r>
      <w:r w:rsidR="0024652E">
        <w:t xml:space="preserve"> (and the unsigned Basil group members who overlap)</w:t>
      </w:r>
      <w:r>
        <w:t xml:space="preserve"> will not be able to join </w:t>
      </w:r>
      <w:r w:rsidR="0024652E">
        <w:t xml:space="preserve">(or remain in) </w:t>
      </w:r>
      <w:r>
        <w:t>the Basil proceedings.  Accordingly, such</w:t>
      </w:r>
      <w:r w:rsidR="0024652E">
        <w:t xml:space="preserve"> group</w:t>
      </w:r>
      <w:r>
        <w:t xml:space="preserve"> members will not need such comparative advice.  Moreover, the signed up Basil group members who may opt out of the Basil proceedings can take their own advice on </w:t>
      </w:r>
      <w:r w:rsidR="0024652E">
        <w:t>such questions</w:t>
      </w:r>
      <w:r>
        <w:t>, particularly given that they were sophisticated enough to make their own choice in the first place by signing up to the Basil proceedings.</w:t>
      </w:r>
    </w:p>
    <w:p w:rsidR="00011967" w:rsidRDefault="00011967" w:rsidP="001A0B58">
      <w:pPr>
        <w:pStyle w:val="ParaNumbering"/>
      </w:pPr>
      <w:r>
        <w:t>In relation to the notification to McKay group members, it may be necessary to say that a common fund application may be made, but the terms of this will be too unclear to stipulate.</w:t>
      </w:r>
    </w:p>
    <w:p w:rsidR="00011967" w:rsidRPr="001A0B58" w:rsidRDefault="0024652E" w:rsidP="001A0B58">
      <w:pPr>
        <w:pStyle w:val="ParaNumbering"/>
      </w:pPr>
      <w:r>
        <w:t>Finally, t</w:t>
      </w:r>
      <w:r w:rsidR="00011967">
        <w:t>he notifications to group members in both proceedings will need to stipulate that individuals should take their own legal advice, if necessary.</w:t>
      </w:r>
    </w:p>
    <w:p w:rsidR="00A07A57" w:rsidRDefault="00A07A57" w:rsidP="00A07A57">
      <w:pPr>
        <w:pStyle w:val="Heading1"/>
      </w:pPr>
      <w:r>
        <w:t>FUTURE CASE MANAGEMENT</w:t>
      </w:r>
    </w:p>
    <w:p w:rsidR="00A07A57" w:rsidRDefault="00826A03" w:rsidP="000C6264">
      <w:pPr>
        <w:pStyle w:val="ParaNumbering"/>
      </w:pPr>
      <w:r>
        <w:t>It is</w:t>
      </w:r>
      <w:r w:rsidR="00A07A57">
        <w:t xml:space="preserve"> likely that in the case manag</w:t>
      </w:r>
      <w:r>
        <w:t>ement of both proceedings I may</w:t>
      </w:r>
      <w:r w:rsidR="00A07A57">
        <w:t xml:space="preserve"> give directions to achieve the fo</w:t>
      </w:r>
      <w:r>
        <w:t>llowing efficiencies after</w:t>
      </w:r>
      <w:r w:rsidR="00A07A57">
        <w:t xml:space="preserve"> discussing the matter further with counsel.</w:t>
      </w:r>
    </w:p>
    <w:p w:rsidR="00A07A57" w:rsidRDefault="00A07A57" w:rsidP="000C6264">
      <w:pPr>
        <w:pStyle w:val="ParaNumbering"/>
      </w:pPr>
      <w:r>
        <w:lastRenderedPageBreak/>
        <w:t>First, the Basil applicant and the McKay applicant</w:t>
      </w:r>
      <w:r w:rsidR="00826A03">
        <w:t xml:space="preserve"> should</w:t>
      </w:r>
      <w:r>
        <w:t xml:space="preserve"> have only one counsel team between them, subject to any direction to the contrary whe</w:t>
      </w:r>
      <w:r w:rsidR="0024652E">
        <w:t>re a specific need is justified</w:t>
      </w:r>
      <w:r w:rsidR="008D1D4D">
        <w:t xml:space="preserve"> </w:t>
      </w:r>
      <w:r w:rsidR="0024652E">
        <w:t>(</w:t>
      </w:r>
      <w:r w:rsidR="008D1D4D">
        <w:t>for example</w:t>
      </w:r>
      <w:r w:rsidR="004830D0">
        <w:t>,</w:t>
      </w:r>
      <w:r w:rsidR="008D1D4D">
        <w:t xml:space="preserve"> because of issues arising specifically from the different constitution of each of the proceedings in terms of group membership or funding</w:t>
      </w:r>
      <w:r w:rsidR="0024652E">
        <w:t>)</w:t>
      </w:r>
      <w:r w:rsidR="008D1D4D">
        <w:t>.</w:t>
      </w:r>
    </w:p>
    <w:p w:rsidR="00A07A57" w:rsidRDefault="00A07A57" w:rsidP="000C6264">
      <w:pPr>
        <w:pStyle w:val="ParaNumbering"/>
      </w:pPr>
      <w:r>
        <w:t xml:space="preserve">Second, the Basil applicant and the McKay applicant </w:t>
      </w:r>
      <w:r w:rsidR="008D1D4D">
        <w:t xml:space="preserve">should </w:t>
      </w:r>
      <w:r>
        <w:t>negotiate as one with the respondent on an electronic discovery protocol and categories for discovery.</w:t>
      </w:r>
    </w:p>
    <w:p w:rsidR="00A07A57" w:rsidRDefault="00A07A57" w:rsidP="000C6264">
      <w:pPr>
        <w:pStyle w:val="ParaNumbering"/>
      </w:pPr>
      <w:r>
        <w:t xml:space="preserve">Third, </w:t>
      </w:r>
      <w:r w:rsidR="0024652E">
        <w:t xml:space="preserve">there should be a joint trial of both proceedings.  Relatedly, </w:t>
      </w:r>
      <w:r>
        <w:t>the evidence in each</w:t>
      </w:r>
      <w:r w:rsidR="008D1D4D">
        <w:t xml:space="preserve"> of the proceedings should </w:t>
      </w:r>
      <w:r>
        <w:t>be treated as evidence in both.</w:t>
      </w:r>
    </w:p>
    <w:p w:rsidR="00A07A57" w:rsidRDefault="00A07A57" w:rsidP="000C6264">
      <w:pPr>
        <w:pStyle w:val="ParaNumbering"/>
      </w:pPr>
      <w:r>
        <w:t xml:space="preserve">Fourth, the lawyers for the Basil applicant and McKay applicant </w:t>
      </w:r>
      <w:r w:rsidR="008D1D4D">
        <w:t>should</w:t>
      </w:r>
      <w:r>
        <w:t>:</w:t>
      </w:r>
    </w:p>
    <w:p w:rsidR="00D5432C" w:rsidRDefault="00D5432C" w:rsidP="008D1D4D">
      <w:pPr>
        <w:pStyle w:val="ListNo2"/>
        <w:numPr>
          <w:ilvl w:val="1"/>
          <w:numId w:val="37"/>
        </w:numPr>
      </w:pPr>
      <w:r>
        <w:t>use re</w:t>
      </w:r>
      <w:r w:rsidR="008D1D4D">
        <w:t xml:space="preserve">asonable endeavours to agree on </w:t>
      </w:r>
      <w:r>
        <w:t>the areas of experti</w:t>
      </w:r>
      <w:r w:rsidR="008D1D4D">
        <w:t xml:space="preserve">se required for expert evidence, </w:t>
      </w:r>
      <w:r>
        <w:t>the identity of particular</w:t>
      </w:r>
      <w:r w:rsidR="008D1D4D">
        <w:t xml:space="preserve"> experts to be briefed and </w:t>
      </w:r>
      <w:r>
        <w:t>the contents of any briefs and letters of instruction to the expert</w:t>
      </w:r>
      <w:r w:rsidR="00315968">
        <w:t>s</w:t>
      </w:r>
      <w:r>
        <w:t>;</w:t>
      </w:r>
    </w:p>
    <w:p w:rsidR="00D5432C" w:rsidRDefault="00D5432C" w:rsidP="00D5432C">
      <w:pPr>
        <w:pStyle w:val="ListNo2"/>
      </w:pPr>
      <w:r>
        <w:t>consult with each other before preparing, filing and serving any evidence;</w:t>
      </w:r>
    </w:p>
    <w:p w:rsidR="00D5432C" w:rsidRDefault="00D5432C" w:rsidP="00D5432C">
      <w:pPr>
        <w:pStyle w:val="ListNo2"/>
      </w:pPr>
      <w:r>
        <w:t>use reasonable endeavours to progress each</w:t>
      </w:r>
      <w:r w:rsidR="008D1D4D">
        <w:t xml:space="preserve"> of the</w:t>
      </w:r>
      <w:r>
        <w:t xml:space="preserve"> proceedings in a similar manner;</w:t>
      </w:r>
    </w:p>
    <w:p w:rsidR="00D5432C" w:rsidRDefault="00315968" w:rsidP="00D5432C">
      <w:pPr>
        <w:pStyle w:val="ListNo2"/>
      </w:pPr>
      <w:r>
        <w:t>co</w:t>
      </w:r>
      <w:r w:rsidR="00D5432C">
        <w:t>operate in the conduct of or response t</w:t>
      </w:r>
      <w:r w:rsidR="008D1D4D">
        <w:t>o any interlocutory application</w:t>
      </w:r>
      <w:r w:rsidR="00D5432C">
        <w:t xml:space="preserve"> in</w:t>
      </w:r>
      <w:r w:rsidR="008D1D4D">
        <w:t xml:space="preserve"> either of</w:t>
      </w:r>
      <w:r w:rsidR="00D5432C">
        <w:t xml:space="preserve"> the proceedings;</w:t>
      </w:r>
    </w:p>
    <w:p w:rsidR="00D5432C" w:rsidRDefault="00D5432C" w:rsidP="00D5432C">
      <w:pPr>
        <w:pStyle w:val="ListNo2"/>
      </w:pPr>
      <w:r>
        <w:t>notify the other in the event that an interlocutory application is deemed prudent or necessary within a reasonable time before such application is filed; and</w:t>
      </w:r>
    </w:p>
    <w:p w:rsidR="00D5432C" w:rsidRDefault="00D5432C" w:rsidP="00D5432C">
      <w:pPr>
        <w:pStyle w:val="ListNo2"/>
      </w:pPr>
      <w:r>
        <w:t>confer about key dates.</w:t>
      </w:r>
    </w:p>
    <w:p w:rsidR="00D5432C" w:rsidRDefault="00D5432C" w:rsidP="00D5432C">
      <w:pPr>
        <w:pStyle w:val="ParaNumbering"/>
      </w:pPr>
      <w:r>
        <w:t>As an ancillary step to the foregoing d</w:t>
      </w:r>
      <w:r w:rsidR="008D1D4D">
        <w:t xml:space="preserve">irections and in the absence of cooperation between the applicants and their </w:t>
      </w:r>
      <w:r w:rsidR="008D1D4D" w:rsidRPr="00A84C03">
        <w:t xml:space="preserve">advisers in both </w:t>
      </w:r>
      <w:r w:rsidR="00A84C03" w:rsidRPr="00A84C03">
        <w:t>proceedings</w:t>
      </w:r>
      <w:r w:rsidR="0024652E">
        <w:t xml:space="preserve"> in achieving</w:t>
      </w:r>
      <w:r w:rsidR="008D1D4D">
        <w:t xml:space="preserve"> these objectives, </w:t>
      </w:r>
      <w:r w:rsidR="0049017C">
        <w:t>i</w:t>
      </w:r>
      <w:r w:rsidR="0024652E">
        <w:t>t may</w:t>
      </w:r>
      <w:r w:rsidR="008D1D4D">
        <w:t xml:space="preserve"> be appropriate for an independent lawyer </w:t>
      </w:r>
      <w:r w:rsidR="0049017C">
        <w:t>to b</w:t>
      </w:r>
      <w:r w:rsidR="008D1D4D">
        <w:t>e appointed as an auditor</w:t>
      </w:r>
      <w:r w:rsidR="0049017C">
        <w:t xml:space="preserve"> to liaise with the </w:t>
      </w:r>
      <w:r w:rsidR="0049017C" w:rsidRPr="00215715">
        <w:t>lawyers and funders in each case</w:t>
      </w:r>
      <w:r w:rsidR="008D1D4D">
        <w:t xml:space="preserve"> to </w:t>
      </w:r>
      <w:r w:rsidR="0049017C" w:rsidRPr="00215715">
        <w:t>monitor</w:t>
      </w:r>
      <w:r w:rsidR="0049017C">
        <w:t xml:space="preserve"> at a high level the legal work done and resources deployed so as to</w:t>
      </w:r>
      <w:r w:rsidR="008D1D4D">
        <w:t xml:space="preserve"> be able to report to the Court, </w:t>
      </w:r>
      <w:r w:rsidR="0049017C">
        <w:t xml:space="preserve">with such frequency as </w:t>
      </w:r>
      <w:r w:rsidR="008D1D4D">
        <w:t>is directed, the</w:t>
      </w:r>
      <w:r w:rsidR="0049017C">
        <w:t xml:space="preserve"> steps taken or that could </w:t>
      </w:r>
      <w:r w:rsidR="008D1D4D">
        <w:t>reasonably be taken to eliminate</w:t>
      </w:r>
      <w:r w:rsidR="0049017C">
        <w:t xml:space="preserve"> the duplication of work across both actions.</w:t>
      </w:r>
      <w:r w:rsidR="0024652E">
        <w:t xml:space="preserve">  But s</w:t>
      </w:r>
      <w:r w:rsidR="008D1D4D">
        <w:t>uch an appointment would only be made where it was cost effective to do so and in circumstances where the Court was not able to monitor these matters directly.</w:t>
      </w:r>
    </w:p>
    <w:p w:rsidR="0049017C" w:rsidRDefault="0049017C" w:rsidP="00D5432C">
      <w:pPr>
        <w:pStyle w:val="ParaNumbering"/>
      </w:pPr>
      <w:r>
        <w:lastRenderedPageBreak/>
        <w:t xml:space="preserve">The above steps </w:t>
      </w:r>
      <w:r w:rsidR="0024652E">
        <w:t>are</w:t>
      </w:r>
      <w:r w:rsidR="008D1D4D">
        <w:t xml:space="preserve"> designed to</w:t>
      </w:r>
      <w:r>
        <w:t xml:space="preserve"> reduce the overall costs that may ultimately be borne by group members across both proceedings in respect of the applicants’ </w:t>
      </w:r>
      <w:r w:rsidR="00215715">
        <w:t xml:space="preserve">own </w:t>
      </w:r>
      <w:r w:rsidR="008D1D4D">
        <w:t>costs in each action.  But s</w:t>
      </w:r>
      <w:r>
        <w:t>uch steps may also reduce the</w:t>
      </w:r>
      <w:r w:rsidR="008D1D4D">
        <w:t xml:space="preserve"> potential</w:t>
      </w:r>
      <w:r>
        <w:t xml:space="preserve"> overall adverse costs</w:t>
      </w:r>
      <w:r w:rsidR="008D1D4D">
        <w:t xml:space="preserve"> order</w:t>
      </w:r>
      <w:r>
        <w:t xml:space="preserve"> burden of the respondent</w:t>
      </w:r>
      <w:r w:rsidR="008D1D4D">
        <w:t xml:space="preserve"> (and indeed its own costs)</w:t>
      </w:r>
      <w:r>
        <w:t xml:space="preserve"> across both actions.  Indeed, I expressed my view to counsel at the hearing of the stay applications that in </w:t>
      </w:r>
      <w:r w:rsidR="008D1D4D">
        <w:t>relation to</w:t>
      </w:r>
      <w:r>
        <w:t xml:space="preserve"> any </w:t>
      </w:r>
      <w:r w:rsidR="008D1D4D">
        <w:t xml:space="preserve">potential exposure to an adverse costs order, </w:t>
      </w:r>
      <w:r>
        <w:t>I may consider making orders to achieve th</w:t>
      </w:r>
      <w:r w:rsidR="00215715">
        <w:t>e result that the respondent be</w:t>
      </w:r>
      <w:r>
        <w:t xml:space="preserve"> only exposed to one set of legal costs vis-à-vis the </w:t>
      </w:r>
      <w:r w:rsidR="008D1D4D">
        <w:t xml:space="preserve">applicants as if there had </w:t>
      </w:r>
      <w:r>
        <w:t>been</w:t>
      </w:r>
      <w:r w:rsidR="008D1D4D">
        <w:t xml:space="preserve"> only</w:t>
      </w:r>
      <w:r>
        <w:t xml:space="preserve"> one set of proceedings.</w:t>
      </w:r>
    </w:p>
    <w:p w:rsidR="0049017C" w:rsidRDefault="0049017C" w:rsidP="0049017C">
      <w:pPr>
        <w:pStyle w:val="Heading1"/>
      </w:pPr>
      <w:r>
        <w:t>CONCLUSION</w:t>
      </w:r>
    </w:p>
    <w:p w:rsidR="0049017C" w:rsidRDefault="0049017C" w:rsidP="00D5432C">
      <w:pPr>
        <w:pStyle w:val="ParaNumbering"/>
      </w:pPr>
      <w:r>
        <w:t>In summary:</w:t>
      </w:r>
    </w:p>
    <w:p w:rsidR="0049017C" w:rsidRDefault="0049017C" w:rsidP="00CD1724">
      <w:pPr>
        <w:pStyle w:val="ListNo2"/>
        <w:numPr>
          <w:ilvl w:val="1"/>
          <w:numId w:val="38"/>
        </w:numPr>
      </w:pPr>
      <w:r>
        <w:t>I refuse the stay applications in each</w:t>
      </w:r>
      <w:r w:rsidR="008D1D4D">
        <w:t xml:space="preserve"> of the</w:t>
      </w:r>
      <w:r>
        <w:t xml:space="preserve"> proceeding</w:t>
      </w:r>
      <w:r w:rsidR="008D1D4D">
        <w:t>s</w:t>
      </w:r>
      <w:r>
        <w:t>.</w:t>
      </w:r>
    </w:p>
    <w:p w:rsidR="0049017C" w:rsidRDefault="0049017C" w:rsidP="00CD1724">
      <w:pPr>
        <w:pStyle w:val="ListNo2"/>
        <w:numPr>
          <w:ilvl w:val="1"/>
          <w:numId w:val="38"/>
        </w:numPr>
      </w:pPr>
      <w:r>
        <w:t>I will give directions after hearing further from the parties concerning the steps necessary to close the class in the Basil proceedings, and to implement necessary notification and opt out mechanisms in both the McKay procee</w:t>
      </w:r>
      <w:r w:rsidR="0024652E">
        <w:t>dings and the Basil proceedings in accordance with my reasons at [64], [106] and [107].</w:t>
      </w:r>
    </w:p>
    <w:p w:rsidR="0049017C" w:rsidRDefault="0049017C" w:rsidP="00CD1724">
      <w:pPr>
        <w:pStyle w:val="ListNo2"/>
        <w:numPr>
          <w:ilvl w:val="1"/>
          <w:numId w:val="38"/>
        </w:numPr>
      </w:pPr>
      <w:r>
        <w:t>I will make case management directions for the joint management of both proceedings</w:t>
      </w:r>
      <w:r w:rsidR="0024652E">
        <w:t xml:space="preserve"> consistently with my reasons at [112] to [118], but only</w:t>
      </w:r>
      <w:r>
        <w:t xml:space="preserve"> after hearing further from the parties.</w:t>
      </w:r>
    </w:p>
    <w:p w:rsidR="0049017C" w:rsidRDefault="0049017C" w:rsidP="0049017C">
      <w:pPr>
        <w:pStyle w:val="ParaNumbering"/>
      </w:pPr>
      <w:r>
        <w:t>As to the costs of the present applications</w:t>
      </w:r>
      <w:r w:rsidR="008D1D4D">
        <w:t>, I would propose that all parties’</w:t>
      </w:r>
      <w:r w:rsidR="00C65D77">
        <w:t xml:space="preserve"> costs b</w:t>
      </w:r>
      <w:r w:rsidR="008D1D4D">
        <w:t xml:space="preserve">e their costs in the cause.  Each </w:t>
      </w:r>
      <w:r w:rsidR="00C65D77">
        <w:t>party has had some success.  Moreover, it was necessary for the Court to address the</w:t>
      </w:r>
      <w:r w:rsidR="00765143">
        <w:t>se</w:t>
      </w:r>
      <w:r w:rsidR="00C65D77">
        <w:t xml:space="preserve"> </w:t>
      </w:r>
      <w:r w:rsidR="00765143">
        <w:t>matters in any event under Part </w:t>
      </w:r>
      <w:r w:rsidR="00C65D77">
        <w:t xml:space="preserve">IVA and at an early stage.  But I will give any party the opportunity to address me further on </w:t>
      </w:r>
      <w:r w:rsidR="008D1D4D">
        <w:t>costs</w:t>
      </w:r>
      <w:r w:rsidR="00C65D77" w:rsidRPr="00215715">
        <w:t xml:space="preserve"> if they so choose</w:t>
      </w:r>
      <w:r w:rsidR="00C65D77">
        <w:t>.</w:t>
      </w:r>
    </w:p>
    <w:p w:rsidR="00626829" w:rsidRDefault="00626829" w:rsidP="006B3EF2">
      <w:pPr>
        <w:pStyle w:val="Small-TableswithinQuotes"/>
      </w:pPr>
      <w:bookmarkStart w:id="19" w:name="_GoBack"/>
      <w:bookmarkEnd w:id="19"/>
    </w:p>
    <w:tbl>
      <w:tblPr>
        <w:tblW w:w="0" w:type="auto"/>
        <w:tblLook w:val="04A0" w:firstRow="1" w:lastRow="0" w:firstColumn="1" w:lastColumn="0" w:noHBand="0" w:noVBand="1"/>
      </w:tblPr>
      <w:tblGrid>
        <w:gridCol w:w="3794"/>
      </w:tblGrid>
      <w:tr w:rsidR="002D1826" w:rsidTr="00C1790D">
        <w:tc>
          <w:tcPr>
            <w:tcW w:w="3794" w:type="dxa"/>
          </w:tcPr>
          <w:p w:rsidR="002D1826" w:rsidRDefault="002D1826" w:rsidP="002D1826">
            <w:pPr>
              <w:pStyle w:val="Normal1linespace"/>
            </w:pPr>
            <w:r>
              <w:t xml:space="preserve">I certify that the preceding one hundred and twenty (120) </w:t>
            </w:r>
            <w:bookmarkStart w:id="20" w:name="CertPara"/>
            <w:r>
              <w:t>numbered paragraphs</w:t>
            </w:r>
            <w:bookmarkEnd w:id="20"/>
            <w:r>
              <w:t xml:space="preserve"> are a true copy of the Reasons for Judgment herein of the Honourable </w:t>
            </w:r>
            <w:bookmarkStart w:id="21" w:name="Justice"/>
            <w:r>
              <w:t>Justice</w:t>
            </w:r>
            <w:bookmarkEnd w:id="21"/>
            <w:r>
              <w:t xml:space="preserve"> Beach.</w:t>
            </w:r>
          </w:p>
        </w:tc>
      </w:tr>
    </w:tbl>
    <w:p w:rsidR="002D1826" w:rsidRDefault="002D1826" w:rsidP="002D1826">
      <w:pPr>
        <w:pStyle w:val="Normal1linespace"/>
      </w:pPr>
    </w:p>
    <w:p w:rsidR="002D1826" w:rsidRDefault="002D1826" w:rsidP="002D1826">
      <w:pPr>
        <w:pStyle w:val="Normal1linespace"/>
      </w:pPr>
      <w:r>
        <w:t xml:space="preserve">Associate: </w:t>
      </w:r>
    </w:p>
    <w:p w:rsidR="00C5579C" w:rsidRDefault="00C5579C" w:rsidP="002D1826">
      <w:pPr>
        <w:pStyle w:val="Normal1linespace"/>
      </w:pPr>
    </w:p>
    <w:p w:rsidR="002D1826" w:rsidRDefault="002D1826" w:rsidP="002D1826">
      <w:pPr>
        <w:pStyle w:val="Normal1linespace"/>
      </w:pPr>
    </w:p>
    <w:p w:rsidR="002D1826" w:rsidRPr="00381849" w:rsidRDefault="00626829" w:rsidP="00626829">
      <w:pPr>
        <w:pStyle w:val="Normal1linespace"/>
      </w:pPr>
      <w:r>
        <w:br/>
      </w:r>
      <w:r w:rsidR="002D1826">
        <w:t>Dated: 18 August 2017</w:t>
      </w:r>
    </w:p>
    <w:sectPr w:rsidR="002D1826" w:rsidRPr="00381849">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90D" w:rsidRDefault="00C1790D">
      <w:pPr>
        <w:spacing w:line="20" w:lineRule="exact"/>
      </w:pPr>
    </w:p>
    <w:p w:rsidR="00C1790D" w:rsidRDefault="00C1790D"/>
    <w:p w:rsidR="00C1790D" w:rsidRDefault="00C1790D"/>
  </w:endnote>
  <w:endnote w:type="continuationSeparator" w:id="0">
    <w:p w:rsidR="00C1790D" w:rsidRDefault="00C1790D">
      <w:r>
        <w:t xml:space="preserve"> </w:t>
      </w:r>
    </w:p>
    <w:p w:rsidR="00C1790D" w:rsidRDefault="00C1790D"/>
    <w:p w:rsidR="00C1790D" w:rsidRDefault="00C1790D"/>
  </w:endnote>
  <w:endnote w:type="continuationNotice" w:id="1">
    <w:p w:rsidR="00C1790D" w:rsidRDefault="00C1790D">
      <w:r>
        <w:t xml:space="preserve"> </w:t>
      </w:r>
    </w:p>
    <w:p w:rsidR="00C1790D" w:rsidRDefault="00C1790D"/>
    <w:p w:rsidR="00C1790D" w:rsidRDefault="00C17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Pr="002D1F13" w:rsidRDefault="00C1790D" w:rsidP="002D1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Pr="002D1F13" w:rsidRDefault="00C1790D" w:rsidP="002D1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90D" w:rsidRDefault="00C1790D"/>
    <w:p w:rsidR="00C1790D" w:rsidRDefault="00C1790D"/>
    <w:p w:rsidR="00C1790D" w:rsidRDefault="00C1790D"/>
  </w:footnote>
  <w:footnote w:type="continuationSeparator" w:id="0">
    <w:p w:rsidR="00C1790D" w:rsidRDefault="00C1790D">
      <w:r>
        <w:continuationSeparator/>
      </w:r>
    </w:p>
    <w:p w:rsidR="00C1790D" w:rsidRDefault="00C1790D"/>
    <w:p w:rsidR="00C1790D" w:rsidRDefault="00C179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Default="00C1790D">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Default="00C1790D">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Default="00C1790D">
    <w:pPr>
      <w:tabs>
        <w:tab w:val="center" w:pos="4512"/>
      </w:tabs>
      <w:suppressAutoHyphens/>
    </w:pPr>
    <w:r>
      <w:tab/>
      <w:t xml:space="preserve">- </w:t>
    </w:r>
    <w:r>
      <w:fldChar w:fldCharType="begin"/>
    </w:r>
    <w:r>
      <w:instrText xml:space="preserve"> PAGE   \* MERGEFORMAT </w:instrText>
    </w:r>
    <w:r>
      <w:fldChar w:fldCharType="separate"/>
    </w:r>
    <w:r>
      <w:t>iv</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Default="00C1790D" w:rsidP="00381849">
    <w:pPr>
      <w:tabs>
        <w:tab w:val="center" w:pos="4512"/>
      </w:tabs>
      <w:suppressAutoHyphens/>
    </w:pPr>
    <w:r>
      <w:tab/>
      <w:t xml:space="preserve">- </w:t>
    </w:r>
    <w:r>
      <w:fldChar w:fldCharType="begin"/>
    </w:r>
    <w:r>
      <w:instrText xml:space="preserve"> PAGE   \* MERGEFORMAT </w:instrText>
    </w:r>
    <w:r>
      <w:fldChar w:fldCharType="separate"/>
    </w:r>
    <w:r w:rsidR="006B3EF2">
      <w:rPr>
        <w:noProof/>
      </w:rPr>
      <w:t>ii</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Default="00C1790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Default="00C1790D">
    <w:pPr>
      <w:tabs>
        <w:tab w:val="center" w:pos="4512"/>
      </w:tabs>
      <w:suppressAutoHyphens/>
    </w:pPr>
    <w:r>
      <w:tab/>
      <w:t xml:space="preserve">- </w:t>
    </w:r>
    <w:r>
      <w:fldChar w:fldCharType="begin"/>
    </w:r>
    <w:r>
      <w:instrText>page \* arabic</w:instrText>
    </w:r>
    <w:r>
      <w:fldChar w:fldCharType="separate"/>
    </w:r>
    <w:r w:rsidR="006B3EF2">
      <w:rPr>
        <w:noProof/>
      </w:rPr>
      <w:t>40</w:t>
    </w:r>
    <w:r>
      <w:fldChar w:fldCharType="end"/>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0D" w:rsidRDefault="00C1790D">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McKay Super Solutions Pty Ltd (ACN 110 853 024) (as trustee for the McKay Super Solutions Fund)"/>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163 of 2017_x000d_VID 213 of 2017"/>
    <w:docVar w:name="Initiators" w:val="(and another named in the Schedule)"/>
    <w:docVar w:name="Judgdate" w:val="## June 2017"/>
    <w:docVar w:name="Judge" w:val="Beach"/>
    <w:docVar w:name="NSD" w:val="NSD "/>
    <w:docVar w:name="NumApps"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Bellamy's Australia Limited (ACN 124 272 108)"/>
    <w:docVar w:name="ResState" w:val="Victoria"/>
    <w:docVar w:name="SubArea" w:val="Corporations and Corporate Insolvency (C &amp; C)"/>
  </w:docVars>
  <w:rsids>
    <w:rsidRoot w:val="0037369A"/>
    <w:rsid w:val="00003FEC"/>
    <w:rsid w:val="00011967"/>
    <w:rsid w:val="0001276D"/>
    <w:rsid w:val="0001469E"/>
    <w:rsid w:val="00015993"/>
    <w:rsid w:val="00016F4A"/>
    <w:rsid w:val="00022289"/>
    <w:rsid w:val="00031A04"/>
    <w:rsid w:val="00032F9F"/>
    <w:rsid w:val="00033C98"/>
    <w:rsid w:val="00037092"/>
    <w:rsid w:val="00037A32"/>
    <w:rsid w:val="00041C07"/>
    <w:rsid w:val="00045BB7"/>
    <w:rsid w:val="00047801"/>
    <w:rsid w:val="00050D6A"/>
    <w:rsid w:val="00055719"/>
    <w:rsid w:val="0005641B"/>
    <w:rsid w:val="00057D46"/>
    <w:rsid w:val="00062A2A"/>
    <w:rsid w:val="00062DE4"/>
    <w:rsid w:val="00075248"/>
    <w:rsid w:val="00081497"/>
    <w:rsid w:val="00086377"/>
    <w:rsid w:val="0008729D"/>
    <w:rsid w:val="0009534F"/>
    <w:rsid w:val="000A1B20"/>
    <w:rsid w:val="000A2E76"/>
    <w:rsid w:val="000A4807"/>
    <w:rsid w:val="000A4BE4"/>
    <w:rsid w:val="000B4916"/>
    <w:rsid w:val="000B4A18"/>
    <w:rsid w:val="000C023E"/>
    <w:rsid w:val="000C1B85"/>
    <w:rsid w:val="000C5195"/>
    <w:rsid w:val="000C6264"/>
    <w:rsid w:val="000C62EF"/>
    <w:rsid w:val="000C6AEF"/>
    <w:rsid w:val="000D2137"/>
    <w:rsid w:val="000D3FD2"/>
    <w:rsid w:val="000E215A"/>
    <w:rsid w:val="000E2867"/>
    <w:rsid w:val="000E2E29"/>
    <w:rsid w:val="000E7BAE"/>
    <w:rsid w:val="000E7F0A"/>
    <w:rsid w:val="000F133D"/>
    <w:rsid w:val="000F6114"/>
    <w:rsid w:val="0010278C"/>
    <w:rsid w:val="0010536B"/>
    <w:rsid w:val="00107626"/>
    <w:rsid w:val="0011145C"/>
    <w:rsid w:val="001128BD"/>
    <w:rsid w:val="001135F5"/>
    <w:rsid w:val="0011419D"/>
    <w:rsid w:val="00116925"/>
    <w:rsid w:val="001237C7"/>
    <w:rsid w:val="0012689B"/>
    <w:rsid w:val="001311D0"/>
    <w:rsid w:val="00132054"/>
    <w:rsid w:val="0015723A"/>
    <w:rsid w:val="00157399"/>
    <w:rsid w:val="00157429"/>
    <w:rsid w:val="001638CD"/>
    <w:rsid w:val="00167BD0"/>
    <w:rsid w:val="001727A4"/>
    <w:rsid w:val="0017376C"/>
    <w:rsid w:val="001738AB"/>
    <w:rsid w:val="0017478C"/>
    <w:rsid w:val="001765E0"/>
    <w:rsid w:val="00176C19"/>
    <w:rsid w:val="00177759"/>
    <w:rsid w:val="00177E96"/>
    <w:rsid w:val="001824B8"/>
    <w:rsid w:val="00185E6B"/>
    <w:rsid w:val="00187BBC"/>
    <w:rsid w:val="001932F3"/>
    <w:rsid w:val="00197FC3"/>
    <w:rsid w:val="001A0B58"/>
    <w:rsid w:val="001A4309"/>
    <w:rsid w:val="001A6B6B"/>
    <w:rsid w:val="001B1053"/>
    <w:rsid w:val="001B14AC"/>
    <w:rsid w:val="001B7940"/>
    <w:rsid w:val="001C10A9"/>
    <w:rsid w:val="001C37CA"/>
    <w:rsid w:val="001D3FBF"/>
    <w:rsid w:val="001D4303"/>
    <w:rsid w:val="001D4873"/>
    <w:rsid w:val="001D6746"/>
    <w:rsid w:val="001E3B49"/>
    <w:rsid w:val="001E7388"/>
    <w:rsid w:val="001E77B0"/>
    <w:rsid w:val="001F09C8"/>
    <w:rsid w:val="001F13DD"/>
    <w:rsid w:val="001F2DBC"/>
    <w:rsid w:val="001F473D"/>
    <w:rsid w:val="001F7B69"/>
    <w:rsid w:val="0020262C"/>
    <w:rsid w:val="00211D4E"/>
    <w:rsid w:val="00215715"/>
    <w:rsid w:val="00217343"/>
    <w:rsid w:val="00224537"/>
    <w:rsid w:val="002264D3"/>
    <w:rsid w:val="00235956"/>
    <w:rsid w:val="0024652E"/>
    <w:rsid w:val="00247C9A"/>
    <w:rsid w:val="0025160C"/>
    <w:rsid w:val="00251630"/>
    <w:rsid w:val="00253318"/>
    <w:rsid w:val="002535D0"/>
    <w:rsid w:val="002539B3"/>
    <w:rsid w:val="00253F02"/>
    <w:rsid w:val="00255C25"/>
    <w:rsid w:val="00257C3E"/>
    <w:rsid w:val="002602C2"/>
    <w:rsid w:val="002666C9"/>
    <w:rsid w:val="00270136"/>
    <w:rsid w:val="00272505"/>
    <w:rsid w:val="00274F5B"/>
    <w:rsid w:val="0027742B"/>
    <w:rsid w:val="00280836"/>
    <w:rsid w:val="00282E1A"/>
    <w:rsid w:val="00283C60"/>
    <w:rsid w:val="0029113B"/>
    <w:rsid w:val="002934C0"/>
    <w:rsid w:val="00293805"/>
    <w:rsid w:val="002A1B50"/>
    <w:rsid w:val="002A2311"/>
    <w:rsid w:val="002A69BE"/>
    <w:rsid w:val="002A75B0"/>
    <w:rsid w:val="002B0E91"/>
    <w:rsid w:val="002B6779"/>
    <w:rsid w:val="002B71C0"/>
    <w:rsid w:val="002B7A34"/>
    <w:rsid w:val="002C31AD"/>
    <w:rsid w:val="002C7385"/>
    <w:rsid w:val="002D0193"/>
    <w:rsid w:val="002D1826"/>
    <w:rsid w:val="002D1F13"/>
    <w:rsid w:val="002D2DBB"/>
    <w:rsid w:val="002D2FA7"/>
    <w:rsid w:val="002D54A6"/>
    <w:rsid w:val="002E6A7A"/>
    <w:rsid w:val="002F04E8"/>
    <w:rsid w:val="002F1CAE"/>
    <w:rsid w:val="002F1E49"/>
    <w:rsid w:val="002F30B5"/>
    <w:rsid w:val="002F4E9C"/>
    <w:rsid w:val="002F79B0"/>
    <w:rsid w:val="002F7E97"/>
    <w:rsid w:val="00300A88"/>
    <w:rsid w:val="003065E9"/>
    <w:rsid w:val="00306FF1"/>
    <w:rsid w:val="0031216E"/>
    <w:rsid w:val="0031256C"/>
    <w:rsid w:val="00314D6C"/>
    <w:rsid w:val="00315968"/>
    <w:rsid w:val="00316D2A"/>
    <w:rsid w:val="00322A7C"/>
    <w:rsid w:val="003307CE"/>
    <w:rsid w:val="00330975"/>
    <w:rsid w:val="00332D90"/>
    <w:rsid w:val="003402D3"/>
    <w:rsid w:val="00342E09"/>
    <w:rsid w:val="00343ABC"/>
    <w:rsid w:val="003453ED"/>
    <w:rsid w:val="003463FE"/>
    <w:rsid w:val="00351AC3"/>
    <w:rsid w:val="00351C8D"/>
    <w:rsid w:val="00352673"/>
    <w:rsid w:val="003554B3"/>
    <w:rsid w:val="0035605A"/>
    <w:rsid w:val="00356632"/>
    <w:rsid w:val="0036391A"/>
    <w:rsid w:val="003714B0"/>
    <w:rsid w:val="0037369A"/>
    <w:rsid w:val="00381849"/>
    <w:rsid w:val="00382F62"/>
    <w:rsid w:val="003845A9"/>
    <w:rsid w:val="00390883"/>
    <w:rsid w:val="003922F8"/>
    <w:rsid w:val="00395B24"/>
    <w:rsid w:val="003965BE"/>
    <w:rsid w:val="00396CFC"/>
    <w:rsid w:val="003A2638"/>
    <w:rsid w:val="003A2D38"/>
    <w:rsid w:val="003A33F5"/>
    <w:rsid w:val="003A6EB8"/>
    <w:rsid w:val="003A74BD"/>
    <w:rsid w:val="003A7ECC"/>
    <w:rsid w:val="003B2490"/>
    <w:rsid w:val="003B2C72"/>
    <w:rsid w:val="003C1333"/>
    <w:rsid w:val="003C20FF"/>
    <w:rsid w:val="003C3E0F"/>
    <w:rsid w:val="003C788D"/>
    <w:rsid w:val="003D2650"/>
    <w:rsid w:val="003D3C23"/>
    <w:rsid w:val="003D560C"/>
    <w:rsid w:val="003E2897"/>
    <w:rsid w:val="003E40F8"/>
    <w:rsid w:val="003E5874"/>
    <w:rsid w:val="003F0033"/>
    <w:rsid w:val="003F0D6F"/>
    <w:rsid w:val="003F193E"/>
    <w:rsid w:val="003F34F1"/>
    <w:rsid w:val="00410B11"/>
    <w:rsid w:val="00411AE8"/>
    <w:rsid w:val="00412021"/>
    <w:rsid w:val="00413B74"/>
    <w:rsid w:val="00421172"/>
    <w:rsid w:val="00435C5F"/>
    <w:rsid w:val="004368B5"/>
    <w:rsid w:val="004412E5"/>
    <w:rsid w:val="00441E98"/>
    <w:rsid w:val="004478D4"/>
    <w:rsid w:val="00452E1E"/>
    <w:rsid w:val="00453009"/>
    <w:rsid w:val="004532F7"/>
    <w:rsid w:val="00453B87"/>
    <w:rsid w:val="004564CC"/>
    <w:rsid w:val="004635C8"/>
    <w:rsid w:val="00464A68"/>
    <w:rsid w:val="00464BF3"/>
    <w:rsid w:val="00472027"/>
    <w:rsid w:val="0047567F"/>
    <w:rsid w:val="00475714"/>
    <w:rsid w:val="004804CF"/>
    <w:rsid w:val="004830D0"/>
    <w:rsid w:val="00484962"/>
    <w:rsid w:val="00484F6D"/>
    <w:rsid w:val="0049017C"/>
    <w:rsid w:val="0049338A"/>
    <w:rsid w:val="0049417F"/>
    <w:rsid w:val="004946C7"/>
    <w:rsid w:val="0049684F"/>
    <w:rsid w:val="004A1FC3"/>
    <w:rsid w:val="004A39DA"/>
    <w:rsid w:val="004B2692"/>
    <w:rsid w:val="004B3EFA"/>
    <w:rsid w:val="004B4D8E"/>
    <w:rsid w:val="004B52C7"/>
    <w:rsid w:val="004C2A87"/>
    <w:rsid w:val="004C3659"/>
    <w:rsid w:val="004C385B"/>
    <w:rsid w:val="004C49DD"/>
    <w:rsid w:val="004C4ED3"/>
    <w:rsid w:val="004D2761"/>
    <w:rsid w:val="004D2EA5"/>
    <w:rsid w:val="004D32A6"/>
    <w:rsid w:val="004D53E5"/>
    <w:rsid w:val="004F7D36"/>
    <w:rsid w:val="00501A12"/>
    <w:rsid w:val="00502461"/>
    <w:rsid w:val="00510949"/>
    <w:rsid w:val="0051097B"/>
    <w:rsid w:val="00511AD8"/>
    <w:rsid w:val="0051346D"/>
    <w:rsid w:val="00513EAE"/>
    <w:rsid w:val="005155FA"/>
    <w:rsid w:val="00516806"/>
    <w:rsid w:val="00525A49"/>
    <w:rsid w:val="00535613"/>
    <w:rsid w:val="005359EB"/>
    <w:rsid w:val="0054254A"/>
    <w:rsid w:val="00544E9F"/>
    <w:rsid w:val="00546608"/>
    <w:rsid w:val="005466B5"/>
    <w:rsid w:val="005538E5"/>
    <w:rsid w:val="0055419F"/>
    <w:rsid w:val="00561649"/>
    <w:rsid w:val="005629B3"/>
    <w:rsid w:val="00565AD3"/>
    <w:rsid w:val="00567456"/>
    <w:rsid w:val="00573AC4"/>
    <w:rsid w:val="0057508A"/>
    <w:rsid w:val="00577B96"/>
    <w:rsid w:val="005801FC"/>
    <w:rsid w:val="00586C60"/>
    <w:rsid w:val="00595016"/>
    <w:rsid w:val="005960E8"/>
    <w:rsid w:val="00597AAE"/>
    <w:rsid w:val="005A1BE4"/>
    <w:rsid w:val="005A222C"/>
    <w:rsid w:val="005A3894"/>
    <w:rsid w:val="005A452A"/>
    <w:rsid w:val="005A4DF8"/>
    <w:rsid w:val="005B1426"/>
    <w:rsid w:val="005C0A8E"/>
    <w:rsid w:val="005C1767"/>
    <w:rsid w:val="005C42EF"/>
    <w:rsid w:val="005C4504"/>
    <w:rsid w:val="005E02F5"/>
    <w:rsid w:val="005E0510"/>
    <w:rsid w:val="005E176E"/>
    <w:rsid w:val="005E218E"/>
    <w:rsid w:val="005E35A0"/>
    <w:rsid w:val="005F0D1B"/>
    <w:rsid w:val="005F1865"/>
    <w:rsid w:val="006007BD"/>
    <w:rsid w:val="006013C8"/>
    <w:rsid w:val="0060270D"/>
    <w:rsid w:val="00604611"/>
    <w:rsid w:val="00611586"/>
    <w:rsid w:val="00621887"/>
    <w:rsid w:val="00622E38"/>
    <w:rsid w:val="00624520"/>
    <w:rsid w:val="0062656A"/>
    <w:rsid w:val="00626829"/>
    <w:rsid w:val="00632BB7"/>
    <w:rsid w:val="00635B36"/>
    <w:rsid w:val="00635E1F"/>
    <w:rsid w:val="00636871"/>
    <w:rsid w:val="006372FD"/>
    <w:rsid w:val="00640F4E"/>
    <w:rsid w:val="00643DE0"/>
    <w:rsid w:val="00643FA5"/>
    <w:rsid w:val="00644431"/>
    <w:rsid w:val="00644E85"/>
    <w:rsid w:val="006452C5"/>
    <w:rsid w:val="00645C7C"/>
    <w:rsid w:val="0065245A"/>
    <w:rsid w:val="00652911"/>
    <w:rsid w:val="006537FE"/>
    <w:rsid w:val="00655697"/>
    <w:rsid w:val="006576A0"/>
    <w:rsid w:val="0066063F"/>
    <w:rsid w:val="00661D71"/>
    <w:rsid w:val="00662BB0"/>
    <w:rsid w:val="00663878"/>
    <w:rsid w:val="00667773"/>
    <w:rsid w:val="00670743"/>
    <w:rsid w:val="00683F24"/>
    <w:rsid w:val="00687DF5"/>
    <w:rsid w:val="00690EE2"/>
    <w:rsid w:val="00691143"/>
    <w:rsid w:val="00693C45"/>
    <w:rsid w:val="00694979"/>
    <w:rsid w:val="00694CF7"/>
    <w:rsid w:val="00695B67"/>
    <w:rsid w:val="006A0E20"/>
    <w:rsid w:val="006A29F5"/>
    <w:rsid w:val="006A5695"/>
    <w:rsid w:val="006B3904"/>
    <w:rsid w:val="006B3EF2"/>
    <w:rsid w:val="006B5B7D"/>
    <w:rsid w:val="006C5865"/>
    <w:rsid w:val="006D0ECF"/>
    <w:rsid w:val="006D2298"/>
    <w:rsid w:val="006D4C92"/>
    <w:rsid w:val="006D4EB6"/>
    <w:rsid w:val="006D5C94"/>
    <w:rsid w:val="006E35BF"/>
    <w:rsid w:val="006E7850"/>
    <w:rsid w:val="006F2557"/>
    <w:rsid w:val="006F377B"/>
    <w:rsid w:val="006F5A76"/>
    <w:rsid w:val="006F7137"/>
    <w:rsid w:val="007028D9"/>
    <w:rsid w:val="0070431F"/>
    <w:rsid w:val="00707218"/>
    <w:rsid w:val="00710AD6"/>
    <w:rsid w:val="00712B1D"/>
    <w:rsid w:val="00726E10"/>
    <w:rsid w:val="007325D9"/>
    <w:rsid w:val="007360CA"/>
    <w:rsid w:val="007407C8"/>
    <w:rsid w:val="00742374"/>
    <w:rsid w:val="00742AA7"/>
    <w:rsid w:val="00751D47"/>
    <w:rsid w:val="007571D0"/>
    <w:rsid w:val="00757835"/>
    <w:rsid w:val="0076378E"/>
    <w:rsid w:val="00765143"/>
    <w:rsid w:val="007664F0"/>
    <w:rsid w:val="00772040"/>
    <w:rsid w:val="0078003A"/>
    <w:rsid w:val="00780498"/>
    <w:rsid w:val="00780771"/>
    <w:rsid w:val="007841E2"/>
    <w:rsid w:val="0078645D"/>
    <w:rsid w:val="00791F91"/>
    <w:rsid w:val="007929CF"/>
    <w:rsid w:val="00794F5C"/>
    <w:rsid w:val="007A2BBA"/>
    <w:rsid w:val="007A638B"/>
    <w:rsid w:val="007A6F28"/>
    <w:rsid w:val="007B030E"/>
    <w:rsid w:val="007B03C6"/>
    <w:rsid w:val="007B0DB1"/>
    <w:rsid w:val="007C49A0"/>
    <w:rsid w:val="007D0DCD"/>
    <w:rsid w:val="007D2EF8"/>
    <w:rsid w:val="007D3CA2"/>
    <w:rsid w:val="007D561F"/>
    <w:rsid w:val="007D7FD2"/>
    <w:rsid w:val="007E13D9"/>
    <w:rsid w:val="007E2938"/>
    <w:rsid w:val="007E4DB6"/>
    <w:rsid w:val="007E7CD4"/>
    <w:rsid w:val="007E7E10"/>
    <w:rsid w:val="00801268"/>
    <w:rsid w:val="00801800"/>
    <w:rsid w:val="00801B5B"/>
    <w:rsid w:val="00801FD4"/>
    <w:rsid w:val="00807578"/>
    <w:rsid w:val="008107AE"/>
    <w:rsid w:val="00822B4D"/>
    <w:rsid w:val="00822CAA"/>
    <w:rsid w:val="008245D3"/>
    <w:rsid w:val="00826A03"/>
    <w:rsid w:val="00827445"/>
    <w:rsid w:val="008276B4"/>
    <w:rsid w:val="00831927"/>
    <w:rsid w:val="0083335B"/>
    <w:rsid w:val="00840D07"/>
    <w:rsid w:val="00841BD3"/>
    <w:rsid w:val="0084273D"/>
    <w:rsid w:val="00842AEB"/>
    <w:rsid w:val="008431C8"/>
    <w:rsid w:val="00844CE2"/>
    <w:rsid w:val="00844E3F"/>
    <w:rsid w:val="00845A83"/>
    <w:rsid w:val="00863546"/>
    <w:rsid w:val="008712BB"/>
    <w:rsid w:val="00880473"/>
    <w:rsid w:val="008853E0"/>
    <w:rsid w:val="0089172C"/>
    <w:rsid w:val="0089614F"/>
    <w:rsid w:val="008A04C3"/>
    <w:rsid w:val="008A2484"/>
    <w:rsid w:val="008A7E7B"/>
    <w:rsid w:val="008B044B"/>
    <w:rsid w:val="008B45F1"/>
    <w:rsid w:val="008C0616"/>
    <w:rsid w:val="008C26D9"/>
    <w:rsid w:val="008C6D50"/>
    <w:rsid w:val="008C7167"/>
    <w:rsid w:val="008C7503"/>
    <w:rsid w:val="008C7FCC"/>
    <w:rsid w:val="008D1617"/>
    <w:rsid w:val="008D1C40"/>
    <w:rsid w:val="008D1D4D"/>
    <w:rsid w:val="008D5A05"/>
    <w:rsid w:val="008D7413"/>
    <w:rsid w:val="008E2BE6"/>
    <w:rsid w:val="008E6315"/>
    <w:rsid w:val="008E728D"/>
    <w:rsid w:val="008F0036"/>
    <w:rsid w:val="008F11E0"/>
    <w:rsid w:val="008F1EAF"/>
    <w:rsid w:val="008F78BC"/>
    <w:rsid w:val="008F7B63"/>
    <w:rsid w:val="008F7D6A"/>
    <w:rsid w:val="009054CB"/>
    <w:rsid w:val="00912F94"/>
    <w:rsid w:val="0092590B"/>
    <w:rsid w:val="00925E60"/>
    <w:rsid w:val="009264B3"/>
    <w:rsid w:val="009310D7"/>
    <w:rsid w:val="00942BA2"/>
    <w:rsid w:val="00944C86"/>
    <w:rsid w:val="00951591"/>
    <w:rsid w:val="00957D05"/>
    <w:rsid w:val="00957DE8"/>
    <w:rsid w:val="00960ECB"/>
    <w:rsid w:val="009615D6"/>
    <w:rsid w:val="00967855"/>
    <w:rsid w:val="009776F8"/>
    <w:rsid w:val="00980736"/>
    <w:rsid w:val="00981A39"/>
    <w:rsid w:val="009843AC"/>
    <w:rsid w:val="00987097"/>
    <w:rsid w:val="009A026B"/>
    <w:rsid w:val="009A209F"/>
    <w:rsid w:val="009A3CFB"/>
    <w:rsid w:val="009B046C"/>
    <w:rsid w:val="009B13FA"/>
    <w:rsid w:val="009B1E2D"/>
    <w:rsid w:val="009B55B7"/>
    <w:rsid w:val="009B7A9C"/>
    <w:rsid w:val="009C038B"/>
    <w:rsid w:val="009C4465"/>
    <w:rsid w:val="009C59FB"/>
    <w:rsid w:val="009C6F3B"/>
    <w:rsid w:val="009D3DA7"/>
    <w:rsid w:val="009E317D"/>
    <w:rsid w:val="009E432E"/>
    <w:rsid w:val="009E4FA6"/>
    <w:rsid w:val="009E5DB5"/>
    <w:rsid w:val="009E7D93"/>
    <w:rsid w:val="009F5C33"/>
    <w:rsid w:val="009F6280"/>
    <w:rsid w:val="00A0289E"/>
    <w:rsid w:val="00A035B0"/>
    <w:rsid w:val="00A03EAC"/>
    <w:rsid w:val="00A07A57"/>
    <w:rsid w:val="00A07CCA"/>
    <w:rsid w:val="00A10746"/>
    <w:rsid w:val="00A11CA6"/>
    <w:rsid w:val="00A126CB"/>
    <w:rsid w:val="00A14E3D"/>
    <w:rsid w:val="00A20C49"/>
    <w:rsid w:val="00A234A2"/>
    <w:rsid w:val="00A269CA"/>
    <w:rsid w:val="00A30F21"/>
    <w:rsid w:val="00A359AC"/>
    <w:rsid w:val="00A35EA9"/>
    <w:rsid w:val="00A41413"/>
    <w:rsid w:val="00A45FB1"/>
    <w:rsid w:val="00A46027"/>
    <w:rsid w:val="00A46CCC"/>
    <w:rsid w:val="00A50C30"/>
    <w:rsid w:val="00A51CFE"/>
    <w:rsid w:val="00A56E66"/>
    <w:rsid w:val="00A62719"/>
    <w:rsid w:val="00A6425A"/>
    <w:rsid w:val="00A70FEE"/>
    <w:rsid w:val="00A720E2"/>
    <w:rsid w:val="00A7331D"/>
    <w:rsid w:val="00A76C13"/>
    <w:rsid w:val="00A81A59"/>
    <w:rsid w:val="00A84C03"/>
    <w:rsid w:val="00A86220"/>
    <w:rsid w:val="00A86A24"/>
    <w:rsid w:val="00A91DC1"/>
    <w:rsid w:val="00A92E79"/>
    <w:rsid w:val="00A950B6"/>
    <w:rsid w:val="00A9643F"/>
    <w:rsid w:val="00AA227F"/>
    <w:rsid w:val="00AA4ECA"/>
    <w:rsid w:val="00AB41C1"/>
    <w:rsid w:val="00AB484D"/>
    <w:rsid w:val="00AB5A74"/>
    <w:rsid w:val="00AB6949"/>
    <w:rsid w:val="00AC61FE"/>
    <w:rsid w:val="00AD00A2"/>
    <w:rsid w:val="00AD12A8"/>
    <w:rsid w:val="00AD227E"/>
    <w:rsid w:val="00AD3B83"/>
    <w:rsid w:val="00AE7761"/>
    <w:rsid w:val="00AF3577"/>
    <w:rsid w:val="00AF35F9"/>
    <w:rsid w:val="00B01B6A"/>
    <w:rsid w:val="00B058BB"/>
    <w:rsid w:val="00B05C7D"/>
    <w:rsid w:val="00B07D9D"/>
    <w:rsid w:val="00B12D18"/>
    <w:rsid w:val="00B1337A"/>
    <w:rsid w:val="00B1482A"/>
    <w:rsid w:val="00B15296"/>
    <w:rsid w:val="00B16523"/>
    <w:rsid w:val="00B167D8"/>
    <w:rsid w:val="00B24A47"/>
    <w:rsid w:val="00B32151"/>
    <w:rsid w:val="00B346C3"/>
    <w:rsid w:val="00B37F42"/>
    <w:rsid w:val="00B4471C"/>
    <w:rsid w:val="00B451A6"/>
    <w:rsid w:val="00B50904"/>
    <w:rsid w:val="00B52687"/>
    <w:rsid w:val="00B552C3"/>
    <w:rsid w:val="00B56199"/>
    <w:rsid w:val="00B5706F"/>
    <w:rsid w:val="00B65F07"/>
    <w:rsid w:val="00B66DB4"/>
    <w:rsid w:val="00B710F6"/>
    <w:rsid w:val="00B722DE"/>
    <w:rsid w:val="00B76C44"/>
    <w:rsid w:val="00B83F87"/>
    <w:rsid w:val="00B94A44"/>
    <w:rsid w:val="00BA2EFA"/>
    <w:rsid w:val="00BA3DBC"/>
    <w:rsid w:val="00BB2DA2"/>
    <w:rsid w:val="00BB3191"/>
    <w:rsid w:val="00BB433A"/>
    <w:rsid w:val="00BB480B"/>
    <w:rsid w:val="00BB56DC"/>
    <w:rsid w:val="00BC5361"/>
    <w:rsid w:val="00BD40D6"/>
    <w:rsid w:val="00BD6CA3"/>
    <w:rsid w:val="00BD728B"/>
    <w:rsid w:val="00BE183D"/>
    <w:rsid w:val="00BE1CC7"/>
    <w:rsid w:val="00BF13D9"/>
    <w:rsid w:val="00BF5CE4"/>
    <w:rsid w:val="00BF5D7A"/>
    <w:rsid w:val="00C1180B"/>
    <w:rsid w:val="00C14D58"/>
    <w:rsid w:val="00C1790D"/>
    <w:rsid w:val="00C17EEE"/>
    <w:rsid w:val="00C25E5E"/>
    <w:rsid w:val="00C34E6C"/>
    <w:rsid w:val="00C35B99"/>
    <w:rsid w:val="00C36442"/>
    <w:rsid w:val="00C400CE"/>
    <w:rsid w:val="00C403C0"/>
    <w:rsid w:val="00C40441"/>
    <w:rsid w:val="00C410FD"/>
    <w:rsid w:val="00C428BC"/>
    <w:rsid w:val="00C47ABA"/>
    <w:rsid w:val="00C50C3E"/>
    <w:rsid w:val="00C539FB"/>
    <w:rsid w:val="00C5579C"/>
    <w:rsid w:val="00C65D77"/>
    <w:rsid w:val="00C8303A"/>
    <w:rsid w:val="00CA09E4"/>
    <w:rsid w:val="00CA246D"/>
    <w:rsid w:val="00CB39B9"/>
    <w:rsid w:val="00CB5636"/>
    <w:rsid w:val="00CB5B33"/>
    <w:rsid w:val="00CC37D8"/>
    <w:rsid w:val="00CC394B"/>
    <w:rsid w:val="00CD1724"/>
    <w:rsid w:val="00CD2808"/>
    <w:rsid w:val="00CE0AF7"/>
    <w:rsid w:val="00CE6160"/>
    <w:rsid w:val="00CE761A"/>
    <w:rsid w:val="00CF3DA9"/>
    <w:rsid w:val="00CF55C4"/>
    <w:rsid w:val="00CF61DF"/>
    <w:rsid w:val="00D10F21"/>
    <w:rsid w:val="00D12F22"/>
    <w:rsid w:val="00D20427"/>
    <w:rsid w:val="00D30358"/>
    <w:rsid w:val="00D34040"/>
    <w:rsid w:val="00D34E69"/>
    <w:rsid w:val="00D375EE"/>
    <w:rsid w:val="00D4189E"/>
    <w:rsid w:val="00D42943"/>
    <w:rsid w:val="00D42DAA"/>
    <w:rsid w:val="00D42FDE"/>
    <w:rsid w:val="00D45576"/>
    <w:rsid w:val="00D45A90"/>
    <w:rsid w:val="00D47049"/>
    <w:rsid w:val="00D53109"/>
    <w:rsid w:val="00D5432C"/>
    <w:rsid w:val="00D62699"/>
    <w:rsid w:val="00D71186"/>
    <w:rsid w:val="00D7198F"/>
    <w:rsid w:val="00D7407A"/>
    <w:rsid w:val="00D82246"/>
    <w:rsid w:val="00D82620"/>
    <w:rsid w:val="00D83790"/>
    <w:rsid w:val="00D84CE9"/>
    <w:rsid w:val="00D9606C"/>
    <w:rsid w:val="00D9725F"/>
    <w:rsid w:val="00D97FAC"/>
    <w:rsid w:val="00DA01B1"/>
    <w:rsid w:val="00DA11A2"/>
    <w:rsid w:val="00DA124B"/>
    <w:rsid w:val="00DA14ED"/>
    <w:rsid w:val="00DA41C7"/>
    <w:rsid w:val="00DB15A0"/>
    <w:rsid w:val="00DB2EF1"/>
    <w:rsid w:val="00DB3DE1"/>
    <w:rsid w:val="00DB4CCC"/>
    <w:rsid w:val="00DB5DA0"/>
    <w:rsid w:val="00DB716C"/>
    <w:rsid w:val="00DC0CA9"/>
    <w:rsid w:val="00DC31CE"/>
    <w:rsid w:val="00DC35D8"/>
    <w:rsid w:val="00DC5C85"/>
    <w:rsid w:val="00DD10F3"/>
    <w:rsid w:val="00DD25C7"/>
    <w:rsid w:val="00DD4236"/>
    <w:rsid w:val="00DD44F1"/>
    <w:rsid w:val="00DE3067"/>
    <w:rsid w:val="00DE5B36"/>
    <w:rsid w:val="00DF6DDA"/>
    <w:rsid w:val="00E027BC"/>
    <w:rsid w:val="00E02B74"/>
    <w:rsid w:val="00E10304"/>
    <w:rsid w:val="00E14EA5"/>
    <w:rsid w:val="00E21133"/>
    <w:rsid w:val="00E2327E"/>
    <w:rsid w:val="00E266EF"/>
    <w:rsid w:val="00E338F4"/>
    <w:rsid w:val="00E35079"/>
    <w:rsid w:val="00E418D1"/>
    <w:rsid w:val="00E47428"/>
    <w:rsid w:val="00E56115"/>
    <w:rsid w:val="00E633B3"/>
    <w:rsid w:val="00E66B9F"/>
    <w:rsid w:val="00E70024"/>
    <w:rsid w:val="00E710D6"/>
    <w:rsid w:val="00E735D6"/>
    <w:rsid w:val="00E76408"/>
    <w:rsid w:val="00E76E45"/>
    <w:rsid w:val="00E777C9"/>
    <w:rsid w:val="00E80318"/>
    <w:rsid w:val="00E81DA6"/>
    <w:rsid w:val="00E833BE"/>
    <w:rsid w:val="00E84212"/>
    <w:rsid w:val="00E9086C"/>
    <w:rsid w:val="00E91A0F"/>
    <w:rsid w:val="00E94A71"/>
    <w:rsid w:val="00E9620B"/>
    <w:rsid w:val="00EA03CE"/>
    <w:rsid w:val="00EA23E5"/>
    <w:rsid w:val="00EA3979"/>
    <w:rsid w:val="00EA4E2E"/>
    <w:rsid w:val="00EA593C"/>
    <w:rsid w:val="00EA7A45"/>
    <w:rsid w:val="00EB2CCB"/>
    <w:rsid w:val="00EB60A2"/>
    <w:rsid w:val="00EB6F83"/>
    <w:rsid w:val="00EB7305"/>
    <w:rsid w:val="00EB768D"/>
    <w:rsid w:val="00EC1F36"/>
    <w:rsid w:val="00EC2C5A"/>
    <w:rsid w:val="00EC57A7"/>
    <w:rsid w:val="00ED0817"/>
    <w:rsid w:val="00ED7DD9"/>
    <w:rsid w:val="00EE108A"/>
    <w:rsid w:val="00EE2BF4"/>
    <w:rsid w:val="00EE413B"/>
    <w:rsid w:val="00EF3113"/>
    <w:rsid w:val="00EF3F84"/>
    <w:rsid w:val="00EF4110"/>
    <w:rsid w:val="00F01800"/>
    <w:rsid w:val="00F04115"/>
    <w:rsid w:val="00F04AC4"/>
    <w:rsid w:val="00F05695"/>
    <w:rsid w:val="00F176AC"/>
    <w:rsid w:val="00F272E6"/>
    <w:rsid w:val="00F27714"/>
    <w:rsid w:val="00F3276E"/>
    <w:rsid w:val="00F33D3C"/>
    <w:rsid w:val="00F37A91"/>
    <w:rsid w:val="00F435EB"/>
    <w:rsid w:val="00F45CF5"/>
    <w:rsid w:val="00F47DB0"/>
    <w:rsid w:val="00F50E34"/>
    <w:rsid w:val="00F53EF7"/>
    <w:rsid w:val="00F54BF2"/>
    <w:rsid w:val="00F64068"/>
    <w:rsid w:val="00F70546"/>
    <w:rsid w:val="00F71E38"/>
    <w:rsid w:val="00F757EF"/>
    <w:rsid w:val="00F81FA7"/>
    <w:rsid w:val="00F84B93"/>
    <w:rsid w:val="00F85B04"/>
    <w:rsid w:val="00F92355"/>
    <w:rsid w:val="00F929D4"/>
    <w:rsid w:val="00F93963"/>
    <w:rsid w:val="00F94291"/>
    <w:rsid w:val="00FA3920"/>
    <w:rsid w:val="00FA5041"/>
    <w:rsid w:val="00FA5797"/>
    <w:rsid w:val="00FA5802"/>
    <w:rsid w:val="00FA756A"/>
    <w:rsid w:val="00FB110A"/>
    <w:rsid w:val="00FB7982"/>
    <w:rsid w:val="00FC0734"/>
    <w:rsid w:val="00FC0FC5"/>
    <w:rsid w:val="00FC4A6F"/>
    <w:rsid w:val="00FC588F"/>
    <w:rsid w:val="00FC5C06"/>
    <w:rsid w:val="00FC7FC3"/>
    <w:rsid w:val="00FD1EA2"/>
    <w:rsid w:val="00FD45E8"/>
    <w:rsid w:val="00FD4B61"/>
    <w:rsid w:val="00FE1B30"/>
    <w:rsid w:val="00FE7482"/>
    <w:rsid w:val="00FE7B44"/>
    <w:rsid w:val="00FE7BDF"/>
    <w:rsid w:val="00FE7DD7"/>
    <w:rsid w:val="00FF6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subsection">
    <w:name w:val="subsection"/>
    <w:basedOn w:val="Normal"/>
    <w:rsid w:val="00B52687"/>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B52687"/>
    <w:pPr>
      <w:spacing w:before="100" w:beforeAutospacing="1" w:after="100" w:afterAutospacing="1" w:line="240" w:lineRule="auto"/>
      <w:jc w:val="left"/>
    </w:pPr>
    <w:rPr>
      <w:rFonts w:eastAsia="Times New Roman"/>
      <w:szCs w:val="24"/>
      <w:lang w:eastAsia="en-AU"/>
    </w:rPr>
  </w:style>
  <w:style w:type="paragraph" w:customStyle="1" w:styleId="Default">
    <w:name w:val="Default"/>
    <w:rsid w:val="004B52C7"/>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rsid w:val="00381849"/>
    <w:rPr>
      <w:b/>
      <w:sz w:val="24"/>
      <w:szCs w:val="24"/>
      <w:lang w:eastAsia="en-US"/>
    </w:rPr>
  </w:style>
  <w:style w:type="paragraph" w:styleId="ListParagraph">
    <w:name w:val="List Paragraph"/>
    <w:basedOn w:val="Normal"/>
    <w:uiPriority w:val="1"/>
    <w:qFormat/>
    <w:rsid w:val="00381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subsection">
    <w:name w:val="subsection"/>
    <w:basedOn w:val="Normal"/>
    <w:rsid w:val="00B52687"/>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B52687"/>
    <w:pPr>
      <w:spacing w:before="100" w:beforeAutospacing="1" w:after="100" w:afterAutospacing="1" w:line="240" w:lineRule="auto"/>
      <w:jc w:val="left"/>
    </w:pPr>
    <w:rPr>
      <w:rFonts w:eastAsia="Times New Roman"/>
      <w:szCs w:val="24"/>
      <w:lang w:eastAsia="en-AU"/>
    </w:rPr>
  </w:style>
  <w:style w:type="paragraph" w:customStyle="1" w:styleId="Default">
    <w:name w:val="Default"/>
    <w:rsid w:val="004B52C7"/>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rsid w:val="00381849"/>
    <w:rPr>
      <w:b/>
      <w:sz w:val="24"/>
      <w:szCs w:val="24"/>
      <w:lang w:eastAsia="en-US"/>
    </w:rPr>
  </w:style>
  <w:style w:type="paragraph" w:styleId="ListParagraph">
    <w:name w:val="List Paragraph"/>
    <w:basedOn w:val="Normal"/>
    <w:uiPriority w:val="1"/>
    <w:qFormat/>
    <w:rsid w:val="00381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7049">
      <w:bodyDiv w:val="1"/>
      <w:marLeft w:val="0"/>
      <w:marRight w:val="0"/>
      <w:marTop w:val="0"/>
      <w:marBottom w:val="0"/>
      <w:divBdr>
        <w:top w:val="none" w:sz="0" w:space="0" w:color="auto"/>
        <w:left w:val="none" w:sz="0" w:space="0" w:color="auto"/>
        <w:bottom w:val="none" w:sz="0" w:space="0" w:color="auto"/>
        <w:right w:val="none" w:sz="0" w:space="0" w:color="auto"/>
      </w:divBdr>
    </w:div>
    <w:div w:id="624240564">
      <w:bodyDiv w:val="1"/>
      <w:marLeft w:val="0"/>
      <w:marRight w:val="0"/>
      <w:marTop w:val="0"/>
      <w:marBottom w:val="0"/>
      <w:divBdr>
        <w:top w:val="none" w:sz="0" w:space="0" w:color="auto"/>
        <w:left w:val="none" w:sz="0" w:space="0" w:color="auto"/>
        <w:bottom w:val="none" w:sz="0" w:space="0" w:color="auto"/>
        <w:right w:val="none" w:sz="0" w:space="0" w:color="auto"/>
      </w:divBdr>
    </w:div>
    <w:div w:id="970207302">
      <w:bodyDiv w:val="1"/>
      <w:marLeft w:val="0"/>
      <w:marRight w:val="0"/>
      <w:marTop w:val="0"/>
      <w:marBottom w:val="0"/>
      <w:divBdr>
        <w:top w:val="none" w:sz="0" w:space="0" w:color="auto"/>
        <w:left w:val="none" w:sz="0" w:space="0" w:color="auto"/>
        <w:bottom w:val="none" w:sz="0" w:space="0" w:color="auto"/>
        <w:right w:val="none" w:sz="0" w:space="0" w:color="auto"/>
      </w:divBdr>
    </w:div>
    <w:div w:id="1065104388">
      <w:bodyDiv w:val="1"/>
      <w:marLeft w:val="0"/>
      <w:marRight w:val="0"/>
      <w:marTop w:val="0"/>
      <w:marBottom w:val="0"/>
      <w:divBdr>
        <w:top w:val="none" w:sz="0" w:space="0" w:color="auto"/>
        <w:left w:val="none" w:sz="0" w:space="0" w:color="auto"/>
        <w:bottom w:val="none" w:sz="0" w:space="0" w:color="auto"/>
        <w:right w:val="none" w:sz="0" w:space="0" w:color="auto"/>
      </w:divBdr>
    </w:div>
    <w:div w:id="1464544114">
      <w:bodyDiv w:val="1"/>
      <w:marLeft w:val="0"/>
      <w:marRight w:val="0"/>
      <w:marTop w:val="0"/>
      <w:marBottom w:val="0"/>
      <w:divBdr>
        <w:top w:val="none" w:sz="0" w:space="0" w:color="auto"/>
        <w:left w:val="none" w:sz="0" w:space="0" w:color="auto"/>
        <w:bottom w:val="none" w:sz="0" w:space="0" w:color="auto"/>
        <w:right w:val="none" w:sz="0" w:space="0" w:color="auto"/>
      </w:divBdr>
    </w:div>
    <w:div w:id="18325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0l\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25B3-C900-4C5A-A3FD-EFA25C43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12</TotalTime>
  <Pages>45</Pages>
  <Words>18174</Words>
  <Characters>91457</Characters>
  <Application>Microsoft Office Word</Application>
  <DocSecurity>0</DocSecurity>
  <Lines>1524</Lines>
  <Paragraphs>374</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109257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McKay Super Solutions Pty Ltd (Trustee) v Bellamy’s Australia Ltd [2017] FCA 947 </dc:title>
  <dc:creator>Author</dc:creator>
  <cp:lastModifiedBy>Lany Fernandez</cp:lastModifiedBy>
  <cp:revision>6</cp:revision>
  <cp:lastPrinted>2017-09-11T07:05:00Z</cp:lastPrinted>
  <dcterms:created xsi:type="dcterms:W3CDTF">2017-09-08T00:48:00Z</dcterms:created>
  <dcterms:modified xsi:type="dcterms:W3CDTF">2017-09-12T01:02:00Z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BEACH J</vt:lpwstr>
  </property>
  <property fmtid="{D5CDD505-2E9C-101B-9397-08002B2CF9AE}" pid="4" name="Judgment_dated" linkTarget="Judgment_dated">
    <vt:lpwstr>18 august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