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90" w:rsidRDefault="00895990">
      <w:pPr>
        <w:pStyle w:val="NormalHeadings"/>
        <w:jc w:val="center"/>
        <w:rPr>
          <w:sz w:val="32"/>
        </w:rPr>
      </w:pPr>
      <w:r>
        <w:rPr>
          <w:sz w:val="32"/>
        </w:rPr>
        <w:t>AUSTRALIAN COMPETITION TRIBUNAL</w:t>
      </w:r>
    </w:p>
    <w:p w:rsidR="00895990" w:rsidRPr="003E7299" w:rsidRDefault="00895990">
      <w:pPr>
        <w:pStyle w:val="NormalHeadings"/>
        <w:jc w:val="center"/>
        <w:rPr>
          <w:sz w:val="32"/>
        </w:rPr>
      </w:pPr>
    </w:p>
    <w:p w:rsidR="00895990" w:rsidRDefault="00895990">
      <w:pPr>
        <w:pStyle w:val="MediaNeutralStyle"/>
      </w:pPr>
      <w:bookmarkStart w:id="0" w:name="MNC"/>
      <w:r>
        <w:t>Application by ETSA Utilities [2010] ACompT 5</w:t>
      </w:r>
      <w:bookmarkEnd w:id="0"/>
    </w:p>
    <w:p w:rsidR="00895990" w:rsidRPr="00005647" w:rsidRDefault="00895990"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7"/>
        <w:gridCol w:w="18"/>
        <w:gridCol w:w="5959"/>
      </w:tblGrid>
      <w:tr w:rsidR="00895990">
        <w:tc>
          <w:tcPr>
            <w:tcW w:w="3085" w:type="dxa"/>
            <w:gridSpan w:val="2"/>
          </w:tcPr>
          <w:p w:rsidR="00895990" w:rsidRDefault="00895990" w:rsidP="00B544CE">
            <w:pPr>
              <w:pStyle w:val="Normal1linespace"/>
            </w:pPr>
            <w:r>
              <w:t>Citation:</w:t>
            </w:r>
          </w:p>
        </w:tc>
        <w:tc>
          <w:tcPr>
            <w:tcW w:w="5959" w:type="dxa"/>
          </w:tcPr>
          <w:p w:rsidR="00895990" w:rsidRDefault="00895990" w:rsidP="00D32350">
            <w:pPr>
              <w:pStyle w:val="Normal1linespace"/>
              <w:jc w:val="left"/>
            </w:pPr>
            <w:r>
              <w:t>Application by ETSA Utilities [2010] ACompT 5</w:t>
            </w:r>
          </w:p>
        </w:tc>
      </w:tr>
      <w:tr w:rsidR="00895990">
        <w:tc>
          <w:tcPr>
            <w:tcW w:w="3085" w:type="dxa"/>
            <w:gridSpan w:val="2"/>
          </w:tcPr>
          <w:p w:rsidR="00895990" w:rsidRDefault="00895990" w:rsidP="00B544CE">
            <w:pPr>
              <w:pStyle w:val="Normal1linespace"/>
            </w:pPr>
          </w:p>
        </w:tc>
        <w:tc>
          <w:tcPr>
            <w:tcW w:w="5959" w:type="dxa"/>
          </w:tcPr>
          <w:p w:rsidR="00895990" w:rsidRDefault="00895990" w:rsidP="00D32350">
            <w:pPr>
              <w:pStyle w:val="Normal1linespace"/>
              <w:jc w:val="left"/>
            </w:pPr>
          </w:p>
        </w:tc>
      </w:tr>
      <w:tr w:rsidR="00895990">
        <w:tc>
          <w:tcPr>
            <w:tcW w:w="3085" w:type="dxa"/>
            <w:gridSpan w:val="2"/>
          </w:tcPr>
          <w:p w:rsidR="00895990" w:rsidRDefault="00895990" w:rsidP="00B544CE">
            <w:pPr>
              <w:pStyle w:val="Normal1linespace"/>
            </w:pPr>
            <w:r>
              <w:t>Review from:</w:t>
            </w:r>
          </w:p>
        </w:tc>
        <w:tc>
          <w:tcPr>
            <w:tcW w:w="5959" w:type="dxa"/>
          </w:tcPr>
          <w:p w:rsidR="00895990" w:rsidRDefault="00895990" w:rsidP="00D32350">
            <w:pPr>
              <w:pStyle w:val="Normal1linespace"/>
              <w:jc w:val="left"/>
            </w:pPr>
            <w:r>
              <w:t>Australian Energy Regulator</w:t>
            </w:r>
          </w:p>
        </w:tc>
      </w:tr>
      <w:tr w:rsidR="00895990">
        <w:tc>
          <w:tcPr>
            <w:tcW w:w="3085" w:type="dxa"/>
            <w:gridSpan w:val="2"/>
          </w:tcPr>
          <w:p w:rsidR="00895990" w:rsidRDefault="00895990" w:rsidP="00B544CE">
            <w:pPr>
              <w:pStyle w:val="Normal1linespace"/>
            </w:pPr>
          </w:p>
        </w:tc>
        <w:tc>
          <w:tcPr>
            <w:tcW w:w="5959" w:type="dxa"/>
          </w:tcPr>
          <w:p w:rsidR="00895990" w:rsidRDefault="00895990" w:rsidP="00D32350">
            <w:pPr>
              <w:pStyle w:val="Normal1linespace"/>
              <w:jc w:val="left"/>
            </w:pPr>
          </w:p>
        </w:tc>
      </w:tr>
      <w:tr w:rsidR="00895990">
        <w:tc>
          <w:tcPr>
            <w:tcW w:w="3085" w:type="dxa"/>
            <w:gridSpan w:val="2"/>
          </w:tcPr>
          <w:p w:rsidR="00895990" w:rsidRDefault="00895990" w:rsidP="00B544CE">
            <w:pPr>
              <w:pStyle w:val="Normal1linespace"/>
            </w:pPr>
            <w:r>
              <w:t>Parties:</w:t>
            </w:r>
          </w:p>
        </w:tc>
        <w:tc>
          <w:tcPr>
            <w:tcW w:w="5959" w:type="dxa"/>
          </w:tcPr>
          <w:p w:rsidR="00895990" w:rsidRPr="008679F6" w:rsidRDefault="00895990" w:rsidP="00D32350">
            <w:pPr>
              <w:pStyle w:val="Normal1linespace"/>
              <w:jc w:val="left"/>
              <w:rPr>
                <w:b/>
              </w:rPr>
            </w:pPr>
            <w:bookmarkStart w:id="1" w:name="JudgmentFP"/>
            <w:r>
              <w:rPr>
                <w:b/>
              </w:rPr>
              <w:t>ETSA UTILITIES (ABN 13 332 330 749)</w:t>
            </w:r>
            <w:bookmarkEnd w:id="1"/>
          </w:p>
        </w:tc>
      </w:tr>
      <w:tr w:rsidR="00895990">
        <w:tc>
          <w:tcPr>
            <w:tcW w:w="3085" w:type="dxa"/>
            <w:gridSpan w:val="2"/>
          </w:tcPr>
          <w:p w:rsidR="00895990" w:rsidRDefault="00895990" w:rsidP="00B544CE">
            <w:pPr>
              <w:pStyle w:val="Normal1linespace"/>
            </w:pPr>
          </w:p>
        </w:tc>
        <w:tc>
          <w:tcPr>
            <w:tcW w:w="5959" w:type="dxa"/>
          </w:tcPr>
          <w:p w:rsidR="00895990" w:rsidRDefault="00895990" w:rsidP="00D32350">
            <w:pPr>
              <w:pStyle w:val="Normal1linespace"/>
              <w:jc w:val="left"/>
            </w:pPr>
          </w:p>
        </w:tc>
      </w:tr>
      <w:tr w:rsidR="00895990">
        <w:tc>
          <w:tcPr>
            <w:tcW w:w="3085" w:type="dxa"/>
            <w:gridSpan w:val="2"/>
          </w:tcPr>
          <w:p w:rsidR="00895990" w:rsidRDefault="00895990" w:rsidP="00B544CE">
            <w:pPr>
              <w:pStyle w:val="Normal1linespace"/>
            </w:pPr>
            <w:r>
              <w:t>File number:</w:t>
            </w:r>
          </w:p>
        </w:tc>
        <w:tc>
          <w:tcPr>
            <w:tcW w:w="5959" w:type="dxa"/>
          </w:tcPr>
          <w:p w:rsidR="00895990" w:rsidRPr="00012E32" w:rsidRDefault="00895990" w:rsidP="00D32350">
            <w:pPr>
              <w:pStyle w:val="Normal1linespace"/>
              <w:jc w:val="left"/>
            </w:pPr>
            <w:r>
              <w:t>4 of 2010</w:t>
            </w:r>
          </w:p>
        </w:tc>
      </w:tr>
      <w:tr w:rsidR="00895990">
        <w:tc>
          <w:tcPr>
            <w:tcW w:w="3085" w:type="dxa"/>
            <w:gridSpan w:val="2"/>
          </w:tcPr>
          <w:p w:rsidR="00895990" w:rsidRDefault="00895990" w:rsidP="00B544CE">
            <w:pPr>
              <w:pStyle w:val="Normal1linespace"/>
            </w:pPr>
          </w:p>
        </w:tc>
        <w:tc>
          <w:tcPr>
            <w:tcW w:w="5959" w:type="dxa"/>
          </w:tcPr>
          <w:p w:rsidR="00895990" w:rsidRDefault="00895990" w:rsidP="00D32350">
            <w:pPr>
              <w:pStyle w:val="Normal1linespace"/>
              <w:jc w:val="left"/>
            </w:pPr>
          </w:p>
        </w:tc>
      </w:tr>
      <w:tr w:rsidR="00895990">
        <w:tc>
          <w:tcPr>
            <w:tcW w:w="3085" w:type="dxa"/>
            <w:gridSpan w:val="2"/>
          </w:tcPr>
          <w:p w:rsidR="00895990" w:rsidRDefault="00895990" w:rsidP="00B544CE">
            <w:pPr>
              <w:pStyle w:val="Normal1linespace"/>
            </w:pPr>
            <w:r>
              <w:t>Judges:</w:t>
            </w:r>
          </w:p>
        </w:tc>
        <w:tc>
          <w:tcPr>
            <w:tcW w:w="5959" w:type="dxa"/>
          </w:tcPr>
          <w:p w:rsidR="00895990" w:rsidRDefault="00895990" w:rsidP="00D32350">
            <w:pPr>
              <w:pStyle w:val="Normal1linespace"/>
              <w:jc w:val="left"/>
              <w:rPr>
                <w:b/>
              </w:rPr>
            </w:pPr>
            <w:r>
              <w:rPr>
                <w:b/>
              </w:rPr>
              <w:t>MIDDLETON J (DEPUTY PRESIDENT),</w:t>
            </w:r>
          </w:p>
          <w:p w:rsidR="00895990" w:rsidRPr="00C50669" w:rsidRDefault="00895990" w:rsidP="00D32350">
            <w:pPr>
              <w:pStyle w:val="Normal1linespace"/>
              <w:jc w:val="left"/>
              <w:rPr>
                <w:b/>
              </w:rPr>
            </w:pPr>
            <w:r>
              <w:rPr>
                <w:b/>
              </w:rPr>
              <w:t>MR R DAVEY AND MR R SHOGREN</w:t>
            </w:r>
          </w:p>
        </w:tc>
      </w:tr>
      <w:tr w:rsidR="00895990">
        <w:tc>
          <w:tcPr>
            <w:tcW w:w="3085" w:type="dxa"/>
            <w:gridSpan w:val="2"/>
          </w:tcPr>
          <w:p w:rsidR="00895990" w:rsidRDefault="00895990" w:rsidP="00B544CE">
            <w:pPr>
              <w:pStyle w:val="Normal1linespace"/>
            </w:pPr>
          </w:p>
        </w:tc>
        <w:tc>
          <w:tcPr>
            <w:tcW w:w="5959" w:type="dxa"/>
          </w:tcPr>
          <w:p w:rsidR="00895990" w:rsidRDefault="00895990" w:rsidP="00D32350">
            <w:pPr>
              <w:pStyle w:val="Normal1linespace"/>
              <w:jc w:val="left"/>
            </w:pPr>
          </w:p>
        </w:tc>
      </w:tr>
      <w:tr w:rsidR="00895990">
        <w:tc>
          <w:tcPr>
            <w:tcW w:w="3085" w:type="dxa"/>
            <w:gridSpan w:val="2"/>
          </w:tcPr>
          <w:p w:rsidR="00895990" w:rsidRDefault="00895990" w:rsidP="00B544CE">
            <w:pPr>
              <w:pStyle w:val="Normal1linespace"/>
            </w:pPr>
            <w:r>
              <w:t>Date of delivery of reasons:</w:t>
            </w:r>
          </w:p>
        </w:tc>
        <w:tc>
          <w:tcPr>
            <w:tcW w:w="5959" w:type="dxa"/>
          </w:tcPr>
          <w:p w:rsidR="00895990" w:rsidRDefault="00895990" w:rsidP="00D32350">
            <w:pPr>
              <w:pStyle w:val="Normal1linespace"/>
              <w:jc w:val="left"/>
            </w:pPr>
            <w:bookmarkStart w:id="2" w:name="JudgmentDate"/>
            <w:r>
              <w:t>13 October 2010</w:t>
            </w:r>
            <w:bookmarkEnd w:id="2"/>
          </w:p>
        </w:tc>
      </w:tr>
      <w:tr w:rsidR="00895990">
        <w:tc>
          <w:tcPr>
            <w:tcW w:w="3085" w:type="dxa"/>
            <w:gridSpan w:val="2"/>
          </w:tcPr>
          <w:p w:rsidR="00895990" w:rsidRDefault="00895990" w:rsidP="00B544CE">
            <w:pPr>
              <w:pStyle w:val="Normal1linespace"/>
            </w:pPr>
          </w:p>
        </w:tc>
        <w:tc>
          <w:tcPr>
            <w:tcW w:w="5959" w:type="dxa"/>
          </w:tcPr>
          <w:p w:rsidR="00895990" w:rsidRDefault="00895990" w:rsidP="00D32350">
            <w:pPr>
              <w:pStyle w:val="Normal1linespace"/>
              <w:jc w:val="left"/>
            </w:pPr>
          </w:p>
        </w:tc>
      </w:tr>
      <w:tr w:rsidR="00895990">
        <w:tblPrEx>
          <w:tblCellSpacing w:w="8" w:type="dxa"/>
        </w:tblPrEx>
        <w:trPr>
          <w:tblCellSpacing w:w="8" w:type="dxa"/>
        </w:trPr>
        <w:tc>
          <w:tcPr>
            <w:tcW w:w="3067" w:type="dxa"/>
          </w:tcPr>
          <w:p w:rsidR="00895990" w:rsidRDefault="00895990">
            <w:pPr>
              <w:pStyle w:val="Counsel"/>
            </w:pPr>
            <w:bookmarkStart w:id="3" w:name="CounselDate"/>
            <w:r>
              <w:t>Date of hearing:</w:t>
            </w:r>
          </w:p>
        </w:tc>
        <w:tc>
          <w:tcPr>
            <w:tcW w:w="5977" w:type="dxa"/>
            <w:gridSpan w:val="2"/>
          </w:tcPr>
          <w:p w:rsidR="00895990" w:rsidRDefault="00895990">
            <w:pPr>
              <w:pStyle w:val="Counsel"/>
              <w:jc w:val="left"/>
            </w:pPr>
            <w:bookmarkStart w:id="4" w:name="HearingDate"/>
            <w:bookmarkEnd w:id="4"/>
            <w:r>
              <w:t>13, 14, 15, 16, 17, 20 and 21 September 2010</w:t>
            </w:r>
          </w:p>
        </w:tc>
      </w:tr>
      <w:tr w:rsidR="00895990">
        <w:tblPrEx>
          <w:tblCellSpacing w:w="8" w:type="dxa"/>
        </w:tblPrEx>
        <w:trPr>
          <w:tblCellSpacing w:w="8" w:type="dxa"/>
        </w:trPr>
        <w:tc>
          <w:tcPr>
            <w:tcW w:w="3067" w:type="dxa"/>
          </w:tcPr>
          <w:p w:rsidR="00895990" w:rsidRDefault="00895990">
            <w:pPr>
              <w:pStyle w:val="Counsel"/>
            </w:pPr>
          </w:p>
        </w:tc>
        <w:tc>
          <w:tcPr>
            <w:tcW w:w="5977" w:type="dxa"/>
            <w:gridSpan w:val="2"/>
          </w:tcPr>
          <w:p w:rsidR="00895990" w:rsidRDefault="00895990">
            <w:pPr>
              <w:pStyle w:val="Counsel"/>
              <w:jc w:val="left"/>
            </w:pPr>
          </w:p>
        </w:tc>
      </w:tr>
      <w:bookmarkEnd w:id="3"/>
      <w:tr w:rsidR="00895990">
        <w:tblPrEx>
          <w:tblCellSpacing w:w="8" w:type="dxa"/>
        </w:tblPrEx>
        <w:trPr>
          <w:tblCellSpacing w:w="8" w:type="dxa"/>
        </w:trPr>
        <w:tc>
          <w:tcPr>
            <w:tcW w:w="3067" w:type="dxa"/>
          </w:tcPr>
          <w:p w:rsidR="00895990" w:rsidRDefault="00895990">
            <w:pPr>
              <w:pStyle w:val="Counsel"/>
            </w:pPr>
            <w:r>
              <w:t>Place:</w:t>
            </w:r>
          </w:p>
        </w:tc>
        <w:tc>
          <w:tcPr>
            <w:tcW w:w="5977" w:type="dxa"/>
            <w:gridSpan w:val="2"/>
          </w:tcPr>
          <w:p w:rsidR="00895990" w:rsidRPr="00905900" w:rsidRDefault="00895990">
            <w:pPr>
              <w:pStyle w:val="Counsel"/>
            </w:pPr>
            <w:fldSimple w:instr=" DOCVARIABLE  Place_SentenceCase  \* MERGEFORMAT ">
              <w:r>
                <w:t>Melbourne</w:t>
              </w:r>
            </w:fldSimple>
          </w:p>
        </w:tc>
      </w:tr>
      <w:tr w:rsidR="00895990">
        <w:tblPrEx>
          <w:tblCellSpacing w:w="8" w:type="dxa"/>
        </w:tblPrEx>
        <w:trPr>
          <w:tblCellSpacing w:w="8" w:type="dxa"/>
        </w:trPr>
        <w:tc>
          <w:tcPr>
            <w:tcW w:w="3067" w:type="dxa"/>
          </w:tcPr>
          <w:p w:rsidR="00895990" w:rsidRDefault="00895990">
            <w:pPr>
              <w:pStyle w:val="Counsel"/>
            </w:pPr>
          </w:p>
        </w:tc>
        <w:tc>
          <w:tcPr>
            <w:tcW w:w="5977" w:type="dxa"/>
            <w:gridSpan w:val="2"/>
          </w:tcPr>
          <w:p w:rsidR="00895990" w:rsidRDefault="00895990">
            <w:pPr>
              <w:pStyle w:val="Counsel"/>
            </w:pPr>
          </w:p>
        </w:tc>
      </w:tr>
      <w:tr w:rsidR="00895990">
        <w:tblPrEx>
          <w:tblCellSpacing w:w="8" w:type="dxa"/>
        </w:tblPrEx>
        <w:trPr>
          <w:tblCellSpacing w:w="8" w:type="dxa"/>
        </w:trPr>
        <w:tc>
          <w:tcPr>
            <w:tcW w:w="3067" w:type="dxa"/>
          </w:tcPr>
          <w:p w:rsidR="00895990" w:rsidRDefault="00895990">
            <w:pPr>
              <w:pStyle w:val="Counsel"/>
            </w:pPr>
            <w:r>
              <w:t>Category:</w:t>
            </w:r>
          </w:p>
        </w:tc>
        <w:tc>
          <w:tcPr>
            <w:tcW w:w="5977" w:type="dxa"/>
            <w:gridSpan w:val="2"/>
          </w:tcPr>
          <w:p w:rsidR="00895990" w:rsidRDefault="00895990">
            <w:pPr>
              <w:pStyle w:val="Counsel"/>
            </w:pPr>
            <w:r>
              <w:t>No Catchwords</w:t>
            </w:r>
          </w:p>
        </w:tc>
      </w:tr>
      <w:tr w:rsidR="00895990">
        <w:tblPrEx>
          <w:tblCellSpacing w:w="8" w:type="dxa"/>
        </w:tblPrEx>
        <w:trPr>
          <w:tblCellSpacing w:w="8" w:type="dxa"/>
        </w:trPr>
        <w:tc>
          <w:tcPr>
            <w:tcW w:w="3067" w:type="dxa"/>
          </w:tcPr>
          <w:p w:rsidR="00895990" w:rsidRDefault="00895990">
            <w:pPr>
              <w:pStyle w:val="Counsel"/>
            </w:pPr>
          </w:p>
        </w:tc>
        <w:tc>
          <w:tcPr>
            <w:tcW w:w="5977" w:type="dxa"/>
            <w:gridSpan w:val="2"/>
          </w:tcPr>
          <w:p w:rsidR="00895990" w:rsidRDefault="00895990">
            <w:pPr>
              <w:pStyle w:val="Counsel"/>
            </w:pPr>
          </w:p>
        </w:tc>
      </w:tr>
      <w:tr w:rsidR="00895990">
        <w:tblPrEx>
          <w:tblCellSpacing w:w="8" w:type="dxa"/>
        </w:tblPrEx>
        <w:trPr>
          <w:tblCellSpacing w:w="8" w:type="dxa"/>
        </w:trPr>
        <w:tc>
          <w:tcPr>
            <w:tcW w:w="3067" w:type="dxa"/>
          </w:tcPr>
          <w:p w:rsidR="00895990" w:rsidRDefault="00895990">
            <w:pPr>
              <w:pStyle w:val="Counsel"/>
            </w:pPr>
            <w:r>
              <w:t>Number of paragraphs:</w:t>
            </w:r>
          </w:p>
        </w:tc>
        <w:tc>
          <w:tcPr>
            <w:tcW w:w="5977" w:type="dxa"/>
            <w:gridSpan w:val="2"/>
          </w:tcPr>
          <w:p w:rsidR="00895990" w:rsidRDefault="00895990">
            <w:pPr>
              <w:pStyle w:val="Counsel"/>
            </w:pPr>
            <w:bookmarkStart w:id="5" w:name="PlaceCategoryParagraphs"/>
            <w:r>
              <w:t>33</w:t>
            </w:r>
            <w:bookmarkEnd w:id="5"/>
          </w:p>
        </w:tc>
      </w:tr>
      <w:tr w:rsidR="00895990">
        <w:tblPrEx>
          <w:tblCellSpacing w:w="8" w:type="dxa"/>
        </w:tblPrEx>
        <w:trPr>
          <w:tblCellSpacing w:w="8" w:type="dxa"/>
        </w:trPr>
        <w:tc>
          <w:tcPr>
            <w:tcW w:w="3067" w:type="dxa"/>
          </w:tcPr>
          <w:p w:rsidR="00895990" w:rsidRDefault="00895990">
            <w:pPr>
              <w:pStyle w:val="Counsel"/>
              <w:jc w:val="left"/>
            </w:pPr>
          </w:p>
        </w:tc>
        <w:tc>
          <w:tcPr>
            <w:tcW w:w="5977" w:type="dxa"/>
            <w:gridSpan w:val="2"/>
          </w:tcPr>
          <w:p w:rsidR="00895990" w:rsidRDefault="00895990">
            <w:pPr>
              <w:pStyle w:val="Counsel"/>
              <w:jc w:val="left"/>
            </w:pPr>
          </w:p>
        </w:tc>
      </w:tr>
      <w:tr w:rsidR="00895990">
        <w:tblPrEx>
          <w:tblCellSpacing w:w="8" w:type="dxa"/>
        </w:tblPrEx>
        <w:trPr>
          <w:tblCellSpacing w:w="8" w:type="dxa"/>
        </w:trPr>
        <w:tc>
          <w:tcPr>
            <w:tcW w:w="3067" w:type="dxa"/>
          </w:tcPr>
          <w:p w:rsidR="00895990" w:rsidRDefault="00895990">
            <w:pPr>
              <w:pStyle w:val="Counsel"/>
              <w:jc w:val="left"/>
            </w:pPr>
            <w:bookmarkStart w:id="6" w:name="Counsel"/>
            <w:r>
              <w:t>Counsel for ETSA Utilities:</w:t>
            </w:r>
          </w:p>
        </w:tc>
        <w:tc>
          <w:tcPr>
            <w:tcW w:w="5977" w:type="dxa"/>
            <w:gridSpan w:val="2"/>
          </w:tcPr>
          <w:p w:rsidR="00895990" w:rsidRDefault="00895990">
            <w:pPr>
              <w:pStyle w:val="Counsel"/>
              <w:jc w:val="left"/>
            </w:pPr>
            <w:bookmarkStart w:id="7" w:name="AppCounsel"/>
            <w:bookmarkEnd w:id="7"/>
            <w:r>
              <w:t xml:space="preserve">Ms M </w:t>
            </w:r>
            <w:smartTag w:uri="urn:schemas-microsoft-com:office:smarttags" w:element="City">
              <w:r>
                <w:t>Sloss</w:t>
              </w:r>
            </w:smartTag>
            <w:r>
              <w:t xml:space="preserve"> </w:t>
            </w:r>
            <w:smartTag w:uri="urn:schemas-microsoft-com:office:smarttags" w:element="State">
              <w:r>
                <w:t>SC</w:t>
              </w:r>
            </w:smartTag>
            <w:r>
              <w:t xml:space="preserve"> with </w:t>
            </w:r>
            <w:smartTag w:uri="urn:schemas-microsoft-com:office:smarttags" w:element="place">
              <w:smartTag w:uri="urn:schemas-microsoft-com:office:smarttags" w:element="City">
                <w:r>
                  <w:t>Mr</w:t>
                </w:r>
              </w:smartTag>
              <w:r>
                <w:t xml:space="preserve"> </w:t>
              </w:r>
              <w:smartTag w:uri="urn:schemas-microsoft-com:office:smarttags" w:element="State">
                <w:r>
                  <w:t>CA</w:t>
                </w:r>
              </w:smartTag>
            </w:smartTag>
            <w:r>
              <w:t xml:space="preserve"> Moore and Mr M Borsky</w:t>
            </w:r>
          </w:p>
        </w:tc>
      </w:tr>
      <w:tr w:rsidR="00895990">
        <w:tblPrEx>
          <w:tblCellSpacing w:w="8" w:type="dxa"/>
        </w:tblPrEx>
        <w:trPr>
          <w:tblCellSpacing w:w="8" w:type="dxa"/>
        </w:trPr>
        <w:tc>
          <w:tcPr>
            <w:tcW w:w="3067" w:type="dxa"/>
          </w:tcPr>
          <w:p w:rsidR="00895990" w:rsidRDefault="00895990">
            <w:pPr>
              <w:pStyle w:val="Counsel"/>
              <w:jc w:val="left"/>
            </w:pPr>
          </w:p>
        </w:tc>
        <w:tc>
          <w:tcPr>
            <w:tcW w:w="5977" w:type="dxa"/>
            <w:gridSpan w:val="2"/>
          </w:tcPr>
          <w:p w:rsidR="00895990" w:rsidRDefault="00895990">
            <w:pPr>
              <w:pStyle w:val="Counsel"/>
              <w:jc w:val="left"/>
            </w:pPr>
          </w:p>
        </w:tc>
      </w:tr>
      <w:tr w:rsidR="00895990">
        <w:tblPrEx>
          <w:tblCellSpacing w:w="8" w:type="dxa"/>
        </w:tblPrEx>
        <w:trPr>
          <w:tblCellSpacing w:w="8" w:type="dxa"/>
        </w:trPr>
        <w:tc>
          <w:tcPr>
            <w:tcW w:w="3067" w:type="dxa"/>
          </w:tcPr>
          <w:p w:rsidR="00895990" w:rsidRDefault="00895990">
            <w:pPr>
              <w:pStyle w:val="Counsel"/>
              <w:jc w:val="left"/>
            </w:pPr>
            <w:r>
              <w:t>Solicitor for ETSA Utilities:</w:t>
            </w:r>
          </w:p>
        </w:tc>
        <w:tc>
          <w:tcPr>
            <w:tcW w:w="5977" w:type="dxa"/>
            <w:gridSpan w:val="2"/>
          </w:tcPr>
          <w:p w:rsidR="00895990" w:rsidRDefault="00895990">
            <w:pPr>
              <w:pStyle w:val="Counsel"/>
              <w:jc w:val="left"/>
            </w:pPr>
            <w:r>
              <w:t>Gilbert + Tobin Lawyers</w:t>
            </w:r>
          </w:p>
        </w:tc>
      </w:tr>
      <w:tr w:rsidR="00895990">
        <w:tblPrEx>
          <w:tblCellSpacing w:w="8" w:type="dxa"/>
        </w:tblPrEx>
        <w:trPr>
          <w:tblCellSpacing w:w="8" w:type="dxa"/>
        </w:trPr>
        <w:tc>
          <w:tcPr>
            <w:tcW w:w="3067" w:type="dxa"/>
          </w:tcPr>
          <w:p w:rsidR="00895990" w:rsidRDefault="00895990">
            <w:pPr>
              <w:pStyle w:val="Counsel"/>
              <w:jc w:val="left"/>
            </w:pPr>
          </w:p>
        </w:tc>
        <w:tc>
          <w:tcPr>
            <w:tcW w:w="5977" w:type="dxa"/>
            <w:gridSpan w:val="2"/>
          </w:tcPr>
          <w:p w:rsidR="00895990" w:rsidRDefault="00895990">
            <w:pPr>
              <w:pStyle w:val="Counsel"/>
              <w:jc w:val="left"/>
            </w:pPr>
          </w:p>
        </w:tc>
      </w:tr>
      <w:tr w:rsidR="00895990">
        <w:tblPrEx>
          <w:tblCellSpacing w:w="8" w:type="dxa"/>
        </w:tblPrEx>
        <w:trPr>
          <w:tblCellSpacing w:w="8" w:type="dxa"/>
        </w:trPr>
        <w:tc>
          <w:tcPr>
            <w:tcW w:w="3067" w:type="dxa"/>
          </w:tcPr>
          <w:p w:rsidR="00895990" w:rsidRDefault="00895990" w:rsidP="00437F70">
            <w:pPr>
              <w:pStyle w:val="Counsel"/>
              <w:jc w:val="left"/>
            </w:pPr>
            <w:r>
              <w:t>Counsel for Australian Energy Regulator:</w:t>
            </w:r>
          </w:p>
        </w:tc>
        <w:tc>
          <w:tcPr>
            <w:tcW w:w="5977" w:type="dxa"/>
            <w:gridSpan w:val="2"/>
          </w:tcPr>
          <w:p w:rsidR="00895990" w:rsidRDefault="00895990" w:rsidP="00437F70">
            <w:pPr>
              <w:pStyle w:val="Counsel"/>
              <w:jc w:val="left"/>
            </w:pPr>
            <w:r>
              <w:t>Mr P Hanks QC with Mr Gray, Ms R Ellyard, Mr T Clarke and Mr L Merrick</w:t>
            </w:r>
          </w:p>
        </w:tc>
      </w:tr>
      <w:tr w:rsidR="00895990">
        <w:tblPrEx>
          <w:tblCellSpacing w:w="8" w:type="dxa"/>
        </w:tblPrEx>
        <w:trPr>
          <w:tblCellSpacing w:w="8" w:type="dxa"/>
        </w:trPr>
        <w:tc>
          <w:tcPr>
            <w:tcW w:w="3067" w:type="dxa"/>
          </w:tcPr>
          <w:p w:rsidR="00895990" w:rsidRDefault="00895990" w:rsidP="00437F70">
            <w:pPr>
              <w:pStyle w:val="Counsel"/>
              <w:jc w:val="left"/>
            </w:pPr>
          </w:p>
        </w:tc>
        <w:tc>
          <w:tcPr>
            <w:tcW w:w="5977" w:type="dxa"/>
            <w:gridSpan w:val="2"/>
          </w:tcPr>
          <w:p w:rsidR="00895990" w:rsidRDefault="00895990" w:rsidP="00437F70">
            <w:pPr>
              <w:pStyle w:val="Counsel"/>
              <w:jc w:val="left"/>
            </w:pPr>
          </w:p>
        </w:tc>
      </w:tr>
      <w:tr w:rsidR="00895990">
        <w:tblPrEx>
          <w:tblCellSpacing w:w="8" w:type="dxa"/>
        </w:tblPrEx>
        <w:trPr>
          <w:tblCellSpacing w:w="8" w:type="dxa"/>
        </w:trPr>
        <w:tc>
          <w:tcPr>
            <w:tcW w:w="3067" w:type="dxa"/>
          </w:tcPr>
          <w:p w:rsidR="00895990" w:rsidRDefault="00895990" w:rsidP="00437F70">
            <w:pPr>
              <w:pStyle w:val="Counsel"/>
              <w:jc w:val="left"/>
            </w:pPr>
            <w:r>
              <w:t>Solicitor for Australian Energy Regulator:</w:t>
            </w:r>
          </w:p>
        </w:tc>
        <w:tc>
          <w:tcPr>
            <w:tcW w:w="5977" w:type="dxa"/>
            <w:gridSpan w:val="2"/>
          </w:tcPr>
          <w:p w:rsidR="00895990" w:rsidRDefault="00895990" w:rsidP="00437F70">
            <w:pPr>
              <w:pStyle w:val="Counsel"/>
              <w:jc w:val="left"/>
            </w:pPr>
            <w:r>
              <w:t>Corrs Chambers Westgarth</w:t>
            </w:r>
          </w:p>
        </w:tc>
      </w:tr>
      <w:bookmarkEnd w:id="6"/>
    </w:tbl>
    <w:p w:rsidR="00895990" w:rsidRDefault="00895990" w:rsidP="00B544CE">
      <w:pPr>
        <w:pStyle w:val="Normal1linespace"/>
      </w:pPr>
    </w:p>
    <w:p w:rsidR="00895990" w:rsidRDefault="00895990">
      <w:pPr>
        <w:pStyle w:val="Normal1linespace"/>
      </w:pPr>
    </w:p>
    <w:p w:rsidR="00895990" w:rsidRDefault="00895990" w:rsidP="00E8791E">
      <w:pPr>
        <w:pStyle w:val="Normal1linespace"/>
        <w:sectPr w:rsidR="00895990">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895990">
        <w:tblPrEx>
          <w:tblCellMar>
            <w:top w:w="0" w:type="dxa"/>
            <w:bottom w:w="0" w:type="dxa"/>
          </w:tblCellMar>
        </w:tblPrEx>
        <w:tc>
          <w:tcPr>
            <w:tcW w:w="6771" w:type="dxa"/>
          </w:tcPr>
          <w:p w:rsidR="00895990" w:rsidRPr="00884B15" w:rsidRDefault="00895990">
            <w:pPr>
              <w:pStyle w:val="NormalHeadings"/>
              <w:spacing w:after="120"/>
              <w:jc w:val="left"/>
              <w:rPr>
                <w:caps/>
                <w:szCs w:val="24"/>
              </w:rPr>
            </w:pPr>
            <w:bookmarkStart w:id="8" w:name="ReasonsPage"/>
            <w:bookmarkEnd w:id="8"/>
            <w:r w:rsidRPr="00884B15">
              <w:rPr>
                <w:caps/>
                <w:szCs w:val="24"/>
              </w:rPr>
              <w:t xml:space="preserve">IN THE </w:t>
            </w:r>
            <w:r>
              <w:rPr>
                <w:caps/>
                <w:szCs w:val="24"/>
              </w:rPr>
              <w:t>AUSTRALIAN COMPETITION TRIBUNAL</w:t>
            </w:r>
          </w:p>
        </w:tc>
        <w:tc>
          <w:tcPr>
            <w:tcW w:w="2471" w:type="dxa"/>
          </w:tcPr>
          <w:p w:rsidR="00895990" w:rsidRDefault="00895990">
            <w:pPr>
              <w:pStyle w:val="NormalHeadings"/>
            </w:pPr>
          </w:p>
        </w:tc>
      </w:tr>
      <w:tr w:rsidR="00895990">
        <w:tblPrEx>
          <w:tblCellMar>
            <w:top w:w="0" w:type="dxa"/>
            <w:bottom w:w="0" w:type="dxa"/>
          </w:tblCellMar>
        </w:tblPrEx>
        <w:tc>
          <w:tcPr>
            <w:tcW w:w="6771" w:type="dxa"/>
          </w:tcPr>
          <w:p w:rsidR="00895990" w:rsidRPr="00884B15" w:rsidRDefault="00895990">
            <w:pPr>
              <w:pStyle w:val="NormalHeadings"/>
              <w:spacing w:after="120"/>
              <w:jc w:val="left"/>
              <w:rPr>
                <w:caps/>
                <w:szCs w:val="24"/>
              </w:rPr>
            </w:pPr>
          </w:p>
        </w:tc>
        <w:tc>
          <w:tcPr>
            <w:tcW w:w="2471" w:type="dxa"/>
          </w:tcPr>
          <w:p w:rsidR="00895990" w:rsidRPr="00145F70" w:rsidRDefault="00895990" w:rsidP="00EE76E8">
            <w:pPr>
              <w:pStyle w:val="NormalHeadings"/>
              <w:tabs>
                <w:tab w:val="right" w:pos="3609"/>
              </w:tabs>
              <w:jc w:val="right"/>
              <w:rPr>
                <w:caps/>
                <w:szCs w:val="24"/>
              </w:rPr>
            </w:pPr>
            <w:fldSimple w:instr=" REF  Num  \* MERGEFORMAT " w:fldLock="1">
              <w:r w:rsidRPr="00BE7DCF">
                <w:rPr>
                  <w:caps/>
                  <w:szCs w:val="24"/>
                </w:rPr>
                <w:t>FILE</w:t>
              </w:r>
              <w:r>
                <w:rPr>
                  <w:szCs w:val="24"/>
                </w:rPr>
                <w:t xml:space="preserve"> NO. 4 of 2010</w:t>
              </w:r>
            </w:fldSimple>
          </w:p>
        </w:tc>
      </w:tr>
    </w:tbl>
    <w:p w:rsidR="00895990" w:rsidRDefault="00895990"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895990">
        <w:tblPrEx>
          <w:tblCellMar>
            <w:top w:w="0" w:type="dxa"/>
            <w:bottom w:w="0" w:type="dxa"/>
          </w:tblCellMar>
        </w:tblPrEx>
        <w:trPr>
          <w:trHeight w:val="386"/>
        </w:trPr>
        <w:tc>
          <w:tcPr>
            <w:tcW w:w="2376" w:type="dxa"/>
          </w:tcPr>
          <w:p w:rsidR="00895990" w:rsidRPr="00B76E4F" w:rsidRDefault="00895990" w:rsidP="00E04ACD">
            <w:pPr>
              <w:pStyle w:val="NormalHeadings"/>
              <w:jc w:val="left"/>
              <w:rPr>
                <w:caps/>
                <w:szCs w:val="24"/>
              </w:rPr>
            </w:pPr>
            <w:r>
              <w:rPr>
                <w:caps/>
                <w:szCs w:val="24"/>
              </w:rPr>
              <w:t>RE</w:t>
            </w:r>
            <w:r w:rsidRPr="00B76E4F">
              <w:rPr>
                <w:caps/>
                <w:szCs w:val="24"/>
              </w:rPr>
              <w:t>:</w:t>
            </w:r>
          </w:p>
        </w:tc>
        <w:tc>
          <w:tcPr>
            <w:tcW w:w="6866" w:type="dxa"/>
          </w:tcPr>
          <w:p w:rsidR="00895990" w:rsidRDefault="00895990" w:rsidP="001C0EC4">
            <w:pPr>
              <w:pStyle w:val="NormalHeadings"/>
              <w:jc w:val="left"/>
              <w:rPr>
                <w:szCs w:val="24"/>
              </w:rPr>
            </w:pPr>
            <w:r>
              <w:rPr>
                <w:szCs w:val="24"/>
              </w:rPr>
              <w:t>APPLICATION UNDER SECTION 71B OF THE NATIONAL ELECTRICITY LAW FOR REVIEW OF A DISTRIBUTION DETERMINATION MADE BY THE AUSTRALIAN ENERGY REGULATOR IN RELATION TO ETSA UTLITITES PURSUANT TO CLAUSE 6.11.1 OF CHAPTER 6 OF THE NATIONAL ELECTRICITY RULES</w:t>
            </w:r>
          </w:p>
          <w:p w:rsidR="00895990" w:rsidRPr="0026717E" w:rsidRDefault="00895990" w:rsidP="001C0EC4">
            <w:pPr>
              <w:pStyle w:val="NormalHeadings"/>
              <w:jc w:val="left"/>
              <w:rPr>
                <w:szCs w:val="24"/>
              </w:rPr>
            </w:pPr>
          </w:p>
        </w:tc>
      </w:tr>
      <w:tr w:rsidR="00895990">
        <w:tblPrEx>
          <w:tblCellMar>
            <w:top w:w="0" w:type="dxa"/>
            <w:bottom w:w="0" w:type="dxa"/>
          </w:tblCellMar>
        </w:tblPrEx>
        <w:trPr>
          <w:trHeight w:val="386"/>
        </w:trPr>
        <w:tc>
          <w:tcPr>
            <w:tcW w:w="2376" w:type="dxa"/>
          </w:tcPr>
          <w:p w:rsidR="00895990" w:rsidRPr="00B76E4F" w:rsidRDefault="00895990" w:rsidP="00E04ACD">
            <w:pPr>
              <w:pStyle w:val="NormalHeadings"/>
              <w:jc w:val="left"/>
              <w:rPr>
                <w:caps/>
                <w:szCs w:val="24"/>
              </w:rPr>
            </w:pPr>
            <w:r>
              <w:rPr>
                <w:caps/>
                <w:szCs w:val="24"/>
              </w:rPr>
              <w:t>BY</w:t>
            </w:r>
            <w:r w:rsidRPr="00B76E4F">
              <w:rPr>
                <w:caps/>
                <w:szCs w:val="24"/>
              </w:rPr>
              <w:t>:</w:t>
            </w:r>
          </w:p>
        </w:tc>
        <w:tc>
          <w:tcPr>
            <w:tcW w:w="6866" w:type="dxa"/>
          </w:tcPr>
          <w:p w:rsidR="00895990" w:rsidRDefault="00895990" w:rsidP="001C0EC4">
            <w:pPr>
              <w:pStyle w:val="NormalHeadings"/>
              <w:jc w:val="right"/>
              <w:rPr>
                <w:szCs w:val="24"/>
              </w:rPr>
            </w:pPr>
            <w:r>
              <w:rPr>
                <w:szCs w:val="24"/>
              </w:rPr>
              <w:t>ETSA UTLITITES (ABN 13 332 330 749)</w:t>
            </w:r>
          </w:p>
          <w:p w:rsidR="00895990" w:rsidRDefault="00895990" w:rsidP="001C0EC4">
            <w:pPr>
              <w:pStyle w:val="NormalHeadings"/>
              <w:jc w:val="right"/>
              <w:rPr>
                <w:szCs w:val="24"/>
              </w:rPr>
            </w:pPr>
            <w:r w:rsidRPr="00AE5B9A">
              <w:rPr>
                <w:szCs w:val="24"/>
              </w:rPr>
              <w:t>Applicant</w:t>
            </w:r>
          </w:p>
          <w:p w:rsidR="00895990" w:rsidRPr="00AE5B9A" w:rsidRDefault="00895990" w:rsidP="001C0EC4">
            <w:pPr>
              <w:pStyle w:val="NormalHeadings"/>
              <w:jc w:val="right"/>
              <w:rPr>
                <w:szCs w:val="24"/>
              </w:rPr>
            </w:pPr>
          </w:p>
        </w:tc>
      </w:tr>
    </w:tbl>
    <w:p w:rsidR="00895990" w:rsidRDefault="00895990">
      <w:pPr>
        <w:pStyle w:val="NormalHeadings"/>
      </w:pPr>
    </w:p>
    <w:tbl>
      <w:tblPr>
        <w:tblW w:w="0" w:type="auto"/>
        <w:tblLayout w:type="fixed"/>
        <w:tblLook w:val="0000"/>
      </w:tblPr>
      <w:tblGrid>
        <w:gridCol w:w="2376"/>
        <w:gridCol w:w="6866"/>
      </w:tblGrid>
      <w:tr w:rsidR="00895990">
        <w:tblPrEx>
          <w:tblCellMar>
            <w:top w:w="0" w:type="dxa"/>
            <w:bottom w:w="0" w:type="dxa"/>
          </w:tblCellMar>
        </w:tblPrEx>
        <w:tc>
          <w:tcPr>
            <w:tcW w:w="2376" w:type="dxa"/>
          </w:tcPr>
          <w:p w:rsidR="00895990" w:rsidRPr="00884B15" w:rsidRDefault="00895990">
            <w:pPr>
              <w:pStyle w:val="NormalHeadings"/>
              <w:spacing w:after="120"/>
              <w:jc w:val="left"/>
              <w:rPr>
                <w:caps/>
                <w:szCs w:val="24"/>
              </w:rPr>
            </w:pPr>
            <w:r>
              <w:rPr>
                <w:caps/>
                <w:szCs w:val="24"/>
              </w:rPr>
              <w:t>MEMBERS</w:t>
            </w:r>
            <w:r w:rsidRPr="00884B15">
              <w:rPr>
                <w:caps/>
                <w:szCs w:val="24"/>
              </w:rPr>
              <w:t>:</w:t>
            </w:r>
          </w:p>
        </w:tc>
        <w:tc>
          <w:tcPr>
            <w:tcW w:w="6866" w:type="dxa"/>
          </w:tcPr>
          <w:p w:rsidR="00895990" w:rsidRDefault="00895990" w:rsidP="001C0EC4">
            <w:pPr>
              <w:pStyle w:val="NormalHeadings"/>
              <w:jc w:val="left"/>
              <w:rPr>
                <w:caps/>
                <w:szCs w:val="24"/>
              </w:rPr>
            </w:pPr>
            <w:r>
              <w:rPr>
                <w:caps/>
                <w:szCs w:val="24"/>
              </w:rPr>
              <w:t xml:space="preserve">MIDDLETON J (DEPUTY PRESIDENT), </w:t>
            </w:r>
          </w:p>
          <w:p w:rsidR="00895990" w:rsidRPr="00B76E4F" w:rsidRDefault="00895990" w:rsidP="001C0EC4">
            <w:pPr>
              <w:pStyle w:val="NormalHeadings"/>
              <w:jc w:val="left"/>
              <w:rPr>
                <w:caps/>
                <w:szCs w:val="24"/>
              </w:rPr>
            </w:pPr>
            <w:r>
              <w:rPr>
                <w:caps/>
                <w:szCs w:val="24"/>
              </w:rPr>
              <w:t xml:space="preserve">MR R DAVEY AND MR R SHOGREN </w:t>
            </w:r>
          </w:p>
        </w:tc>
      </w:tr>
      <w:tr w:rsidR="00895990">
        <w:tblPrEx>
          <w:tblCellMar>
            <w:top w:w="0" w:type="dxa"/>
            <w:bottom w:w="0" w:type="dxa"/>
          </w:tblCellMar>
        </w:tblPrEx>
        <w:tc>
          <w:tcPr>
            <w:tcW w:w="2376" w:type="dxa"/>
          </w:tcPr>
          <w:p w:rsidR="00895990" w:rsidRPr="00884B15" w:rsidRDefault="00895990">
            <w:pPr>
              <w:pStyle w:val="NormalHeadings"/>
              <w:spacing w:after="120"/>
              <w:jc w:val="left"/>
              <w:rPr>
                <w:caps/>
                <w:szCs w:val="24"/>
              </w:rPr>
            </w:pPr>
            <w:r w:rsidRPr="00884B15">
              <w:rPr>
                <w:caps/>
                <w:szCs w:val="24"/>
              </w:rPr>
              <w:t>DATE</w:t>
            </w:r>
            <w:r>
              <w:rPr>
                <w:caps/>
                <w:szCs w:val="24"/>
              </w:rPr>
              <w:t xml:space="preserve"> OF PUBLICATION OF REASONS FOR DECISION</w:t>
            </w:r>
            <w:r w:rsidRPr="00884B15">
              <w:rPr>
                <w:caps/>
                <w:szCs w:val="24"/>
              </w:rPr>
              <w:t>:</w:t>
            </w:r>
          </w:p>
        </w:tc>
        <w:tc>
          <w:tcPr>
            <w:tcW w:w="6866" w:type="dxa"/>
          </w:tcPr>
          <w:p w:rsidR="00895990" w:rsidRDefault="00895990">
            <w:pPr>
              <w:pStyle w:val="NormalHeadings"/>
              <w:rPr>
                <w:caps/>
                <w:szCs w:val="24"/>
              </w:rPr>
            </w:pPr>
          </w:p>
          <w:p w:rsidR="00895990" w:rsidRPr="00884B15" w:rsidRDefault="00895990">
            <w:pPr>
              <w:pStyle w:val="NormalHeadings"/>
              <w:rPr>
                <w:caps/>
                <w:szCs w:val="24"/>
              </w:rPr>
            </w:pPr>
            <w:r>
              <w:rPr>
                <w:caps/>
                <w:szCs w:val="24"/>
              </w:rPr>
              <w:t>13 October 2010</w:t>
            </w:r>
          </w:p>
        </w:tc>
      </w:tr>
      <w:tr w:rsidR="00895990">
        <w:tblPrEx>
          <w:tblCellMar>
            <w:top w:w="0" w:type="dxa"/>
            <w:bottom w:w="0" w:type="dxa"/>
          </w:tblCellMar>
        </w:tblPrEx>
        <w:tc>
          <w:tcPr>
            <w:tcW w:w="2376" w:type="dxa"/>
          </w:tcPr>
          <w:p w:rsidR="00895990" w:rsidRPr="00884B15" w:rsidRDefault="00895990">
            <w:pPr>
              <w:pStyle w:val="NormalHeadings"/>
              <w:spacing w:after="120"/>
              <w:jc w:val="left"/>
              <w:rPr>
                <w:caps/>
                <w:szCs w:val="24"/>
              </w:rPr>
            </w:pPr>
            <w:r w:rsidRPr="00884B15">
              <w:rPr>
                <w:caps/>
                <w:szCs w:val="24"/>
              </w:rPr>
              <w:t>PLACE:</w:t>
            </w:r>
          </w:p>
        </w:tc>
        <w:tc>
          <w:tcPr>
            <w:tcW w:w="6866" w:type="dxa"/>
          </w:tcPr>
          <w:p w:rsidR="00895990" w:rsidRPr="00012E32" w:rsidRDefault="00895990">
            <w:pPr>
              <w:pStyle w:val="NormalHeadings"/>
              <w:rPr>
                <w:caps/>
                <w:szCs w:val="24"/>
              </w:rPr>
            </w:pPr>
            <w:fldSimple w:instr=" REF Place  \* MERGEFORMAT " w:fldLock="1">
              <w:r>
                <w:rPr>
                  <w:caps/>
                  <w:szCs w:val="24"/>
                </w:rPr>
                <w:t>MELBOURNE</w:t>
              </w:r>
            </w:fldSimple>
          </w:p>
        </w:tc>
      </w:tr>
    </w:tbl>
    <w:p w:rsidR="00895990" w:rsidRDefault="00895990"/>
    <w:p w:rsidR="00895990" w:rsidRDefault="00895990" w:rsidP="00E116B6">
      <w:pPr>
        <w:pStyle w:val="StyleBold"/>
        <w:jc w:val="center"/>
        <w:rPr>
          <w:b/>
        </w:rPr>
      </w:pPr>
      <w:r w:rsidRPr="00687B23">
        <w:rPr>
          <w:b/>
        </w:rPr>
        <w:t xml:space="preserve">REASONS FOR </w:t>
      </w:r>
      <w:r>
        <w:rPr>
          <w:b/>
        </w:rPr>
        <w:t>DECISION</w:t>
      </w:r>
    </w:p>
    <w:p w:rsidR="00895990" w:rsidRDefault="00895990" w:rsidP="006F34EB">
      <w:pPr>
        <w:pStyle w:val="ParaNumbering"/>
      </w:pPr>
      <w:r>
        <w:t>On 14 September 2010, the Tribunal made the following announcement and directions:</w:t>
      </w:r>
    </w:p>
    <w:p w:rsidR="00895990" w:rsidRDefault="00895990" w:rsidP="00E8128D">
      <w:pPr>
        <w:pStyle w:val="Quote1"/>
        <w:rPr>
          <w:i/>
        </w:rPr>
      </w:pPr>
      <w:r w:rsidRPr="00E8128D">
        <w:rPr>
          <w:b/>
          <w:i/>
        </w:rPr>
        <w:t>OTHER MATTERS:</w:t>
      </w:r>
      <w:r w:rsidRPr="00E8128D">
        <w:rPr>
          <w:i/>
        </w:rPr>
        <w:t xml:space="preserve"> The Tribunal has formed the view that a ground of review has been established for the purposes of section 71R(3) of the </w:t>
      </w:r>
      <w:r w:rsidRPr="00276F39">
        <w:t>National Electricity (South Australia) Law</w:t>
      </w:r>
      <w:r w:rsidRPr="00E8128D">
        <w:rPr>
          <w:i/>
        </w:rPr>
        <w:t xml:space="preserve"> in relation to the AER’s rejection of the Applicant’s claim for an addition to be made to its opening RAB in respect of easements extant as at 1 July 1999.</w:t>
      </w:r>
    </w:p>
    <w:p w:rsidR="00895990" w:rsidRPr="00E8128D" w:rsidRDefault="00895990" w:rsidP="00E8128D">
      <w:pPr>
        <w:pStyle w:val="Quote1"/>
        <w:rPr>
          <w:i/>
        </w:rPr>
      </w:pPr>
    </w:p>
    <w:p w:rsidR="00895990" w:rsidRDefault="00895990" w:rsidP="00E8128D">
      <w:pPr>
        <w:pStyle w:val="Quote1"/>
        <w:rPr>
          <w:i/>
        </w:rPr>
      </w:pPr>
      <w:r w:rsidRPr="00E8128D">
        <w:rPr>
          <w:i/>
        </w:rPr>
        <w:t>In these directions:</w:t>
      </w:r>
    </w:p>
    <w:p w:rsidR="00895990" w:rsidRPr="00E8128D" w:rsidRDefault="00895990" w:rsidP="00E8128D">
      <w:pPr>
        <w:pStyle w:val="Quote1"/>
        <w:rPr>
          <w:i/>
        </w:rPr>
      </w:pPr>
    </w:p>
    <w:p w:rsidR="00895990" w:rsidRDefault="00895990" w:rsidP="00E8128D">
      <w:pPr>
        <w:pStyle w:val="Quote1"/>
        <w:rPr>
          <w:i/>
        </w:rPr>
      </w:pPr>
      <w:r w:rsidRPr="00E8128D">
        <w:rPr>
          <w:i/>
        </w:rPr>
        <w:t>“category 1 easements” means registered power line easements in relation to ETSA Corporation’s distribution network as at 1 July 1999;</w:t>
      </w:r>
    </w:p>
    <w:p w:rsidR="00895990" w:rsidRPr="00E8128D" w:rsidRDefault="00895990" w:rsidP="00E8128D">
      <w:pPr>
        <w:pStyle w:val="Quote1"/>
        <w:rPr>
          <w:i/>
        </w:rPr>
      </w:pPr>
    </w:p>
    <w:p w:rsidR="00895990" w:rsidRDefault="00895990" w:rsidP="00E8128D">
      <w:pPr>
        <w:pStyle w:val="Quote1"/>
        <w:rPr>
          <w:i/>
        </w:rPr>
      </w:pPr>
      <w:r w:rsidRPr="00E8128D">
        <w:rPr>
          <w:i/>
        </w:rPr>
        <w:t>“category 2 easements” means registered padmount transformer easements in relation to ETSA Corporation’s distribution network as at 1 July 1999;</w:t>
      </w:r>
    </w:p>
    <w:p w:rsidR="00895990" w:rsidRPr="00E8128D" w:rsidRDefault="00895990" w:rsidP="00E8128D">
      <w:pPr>
        <w:pStyle w:val="Quote1"/>
        <w:rPr>
          <w:i/>
        </w:rPr>
      </w:pPr>
    </w:p>
    <w:p w:rsidR="00895990" w:rsidRDefault="00895990" w:rsidP="00E8128D">
      <w:pPr>
        <w:pStyle w:val="Quote1"/>
        <w:rPr>
          <w:i/>
        </w:rPr>
      </w:pPr>
      <w:r w:rsidRPr="00E8128D">
        <w:rPr>
          <w:i/>
        </w:rPr>
        <w:t>“category 3 easements” means deemed statutory easements arising from unregistered grants of easements by landowners in relation to ETSA Corporation’s distribution network as at 1 July 1999;</w:t>
      </w:r>
    </w:p>
    <w:p w:rsidR="00895990" w:rsidRPr="00E8128D" w:rsidRDefault="00895990" w:rsidP="00E8128D">
      <w:pPr>
        <w:pStyle w:val="Quote1"/>
        <w:rPr>
          <w:i/>
        </w:rPr>
      </w:pPr>
    </w:p>
    <w:p w:rsidR="00895990" w:rsidRDefault="00895990" w:rsidP="00E8128D">
      <w:pPr>
        <w:pStyle w:val="Quote1"/>
        <w:rPr>
          <w:i/>
        </w:rPr>
      </w:pPr>
      <w:r w:rsidRPr="00E8128D">
        <w:rPr>
          <w:i/>
        </w:rPr>
        <w:t>“category 4 easements” means deemed statutory easements arising from licences granted by landowners in relation to ETSA Corporation’s distribution network as at 1 July 1999;</w:t>
      </w:r>
    </w:p>
    <w:p w:rsidR="00895990" w:rsidRPr="00E8128D" w:rsidRDefault="00895990" w:rsidP="00E8128D">
      <w:pPr>
        <w:pStyle w:val="Quote1"/>
        <w:rPr>
          <w:i/>
        </w:rPr>
      </w:pPr>
    </w:p>
    <w:p w:rsidR="00895990" w:rsidRDefault="00895990" w:rsidP="00E8128D">
      <w:pPr>
        <w:pStyle w:val="Quote1"/>
        <w:rPr>
          <w:i/>
        </w:rPr>
      </w:pPr>
      <w:r w:rsidRPr="00E8128D">
        <w:rPr>
          <w:i/>
        </w:rPr>
        <w:t>“category 5 easements” means registered easements in relation to ETSA Corporation’s distribution network as at 1 July 1999 arising as a result of land subdivisions; and</w:t>
      </w:r>
    </w:p>
    <w:p w:rsidR="00895990" w:rsidRPr="00E8128D" w:rsidRDefault="00895990" w:rsidP="00E8128D">
      <w:pPr>
        <w:pStyle w:val="Quote1"/>
        <w:rPr>
          <w:i/>
        </w:rPr>
      </w:pPr>
    </w:p>
    <w:p w:rsidR="00895990" w:rsidRDefault="00895990" w:rsidP="00E8128D">
      <w:pPr>
        <w:pStyle w:val="Quote1"/>
        <w:rPr>
          <w:i/>
        </w:rPr>
      </w:pPr>
      <w:r w:rsidRPr="00E8128D">
        <w:rPr>
          <w:i/>
        </w:rPr>
        <w:t>all dollar figures are in dollars as at 1 July 1999.</w:t>
      </w:r>
    </w:p>
    <w:p w:rsidR="00895990" w:rsidRPr="00E8128D" w:rsidRDefault="00895990" w:rsidP="00E8128D">
      <w:pPr>
        <w:pStyle w:val="Quote1"/>
        <w:rPr>
          <w:i/>
        </w:rPr>
      </w:pPr>
    </w:p>
    <w:p w:rsidR="00895990" w:rsidRDefault="00895990" w:rsidP="00E8128D">
      <w:pPr>
        <w:pStyle w:val="Quote1"/>
        <w:rPr>
          <w:b/>
          <w:i/>
        </w:rPr>
      </w:pPr>
      <w:r w:rsidRPr="00E8128D">
        <w:rPr>
          <w:b/>
          <w:i/>
        </w:rPr>
        <w:t>THE TRIBUNAL DIRECTS THAT:</w:t>
      </w:r>
    </w:p>
    <w:p w:rsidR="00895990" w:rsidRPr="00E8128D" w:rsidRDefault="00895990" w:rsidP="00E8128D">
      <w:pPr>
        <w:pStyle w:val="Quote1"/>
        <w:rPr>
          <w:b/>
          <w:i/>
        </w:rPr>
      </w:pPr>
    </w:p>
    <w:p w:rsidR="00895990" w:rsidRDefault="00895990" w:rsidP="00E8128D">
      <w:pPr>
        <w:pStyle w:val="Quote1"/>
        <w:ind w:left="1418" w:hanging="681"/>
        <w:rPr>
          <w:i/>
        </w:rPr>
      </w:pPr>
      <w:r w:rsidRPr="00E8128D">
        <w:rPr>
          <w:i/>
        </w:rPr>
        <w:t>1.</w:t>
      </w:r>
      <w:r w:rsidRPr="00E8128D">
        <w:rPr>
          <w:i/>
        </w:rPr>
        <w:tab/>
        <w:t>By 4pm on 5 November 2010, the AER file and serve any report addressing the following estimates relied upon by the Applicant:</w:t>
      </w:r>
    </w:p>
    <w:p w:rsidR="00895990" w:rsidRPr="00E8128D" w:rsidRDefault="00895990" w:rsidP="00E8128D">
      <w:pPr>
        <w:pStyle w:val="Quote1"/>
        <w:ind w:left="1418" w:hanging="681"/>
        <w:rPr>
          <w:i/>
        </w:rPr>
      </w:pPr>
    </w:p>
    <w:p w:rsidR="00895990" w:rsidRDefault="00895990" w:rsidP="00E8128D">
      <w:pPr>
        <w:pStyle w:val="Quote2"/>
        <w:rPr>
          <w:i/>
        </w:rPr>
      </w:pPr>
      <w:r w:rsidRPr="00E8128D">
        <w:rPr>
          <w:i/>
        </w:rPr>
        <w:t>(a)</w:t>
      </w:r>
      <w:r w:rsidRPr="00E8128D">
        <w:rPr>
          <w:i/>
        </w:rPr>
        <w:tab/>
        <w:t>as to category 1 easements:</w:t>
      </w:r>
    </w:p>
    <w:p w:rsidR="00895990" w:rsidRPr="00E8128D" w:rsidRDefault="00895990" w:rsidP="00E8128D">
      <w:pPr>
        <w:pStyle w:val="Quote2"/>
        <w:rPr>
          <w:i/>
        </w:rPr>
      </w:pPr>
    </w:p>
    <w:p w:rsidR="00895990" w:rsidRPr="00E8128D" w:rsidRDefault="00895990" w:rsidP="00E8128D">
      <w:pPr>
        <w:pStyle w:val="Quote3"/>
        <w:rPr>
          <w:i/>
        </w:rPr>
      </w:pPr>
      <w:r w:rsidRPr="00E8128D">
        <w:rPr>
          <w:i/>
        </w:rPr>
        <w:t>(i)</w:t>
      </w:r>
      <w:r w:rsidRPr="00E8128D">
        <w:rPr>
          <w:i/>
        </w:rPr>
        <w:tab/>
        <w:t>the rate of $1949 per easement for acquisition costs;</w:t>
      </w:r>
    </w:p>
    <w:p w:rsidR="00895990" w:rsidRDefault="00895990" w:rsidP="00E8128D">
      <w:pPr>
        <w:pStyle w:val="Quote3"/>
        <w:rPr>
          <w:i/>
        </w:rPr>
      </w:pPr>
      <w:r w:rsidRPr="00E8128D">
        <w:rPr>
          <w:i/>
        </w:rPr>
        <w:t>(ii)</w:t>
      </w:r>
      <w:r w:rsidRPr="00E8128D">
        <w:rPr>
          <w:i/>
        </w:rPr>
        <w:tab/>
        <w:t>the rate of $872/km for survey costs;</w:t>
      </w:r>
    </w:p>
    <w:p w:rsidR="00895990" w:rsidRPr="00E8128D" w:rsidRDefault="00895990" w:rsidP="00E8128D">
      <w:pPr>
        <w:pStyle w:val="Quote3"/>
        <w:rPr>
          <w:i/>
        </w:rPr>
      </w:pPr>
    </w:p>
    <w:p w:rsidR="00895990" w:rsidRDefault="00895990" w:rsidP="00E8128D">
      <w:pPr>
        <w:pStyle w:val="Quote2"/>
        <w:rPr>
          <w:i/>
        </w:rPr>
      </w:pPr>
      <w:r w:rsidRPr="005D5558">
        <w:rPr>
          <w:i/>
        </w:rPr>
        <w:t>(b)</w:t>
      </w:r>
      <w:r w:rsidRPr="005D5558">
        <w:rPr>
          <w:i/>
        </w:rPr>
        <w:tab/>
        <w:t>as to category 2 easements:</w:t>
      </w:r>
    </w:p>
    <w:p w:rsidR="00895990" w:rsidRPr="005D5558" w:rsidRDefault="00895990" w:rsidP="00E8128D">
      <w:pPr>
        <w:pStyle w:val="Quote2"/>
        <w:rPr>
          <w:i/>
        </w:rPr>
      </w:pPr>
    </w:p>
    <w:p w:rsidR="00895990" w:rsidRDefault="00895990" w:rsidP="005D5558">
      <w:pPr>
        <w:pStyle w:val="Quote3"/>
        <w:ind w:left="2835" w:hanging="675"/>
        <w:rPr>
          <w:i/>
        </w:rPr>
      </w:pPr>
      <w:r w:rsidRPr="005D5558">
        <w:rPr>
          <w:i/>
        </w:rPr>
        <w:t>(i)</w:t>
      </w:r>
      <w:r w:rsidRPr="005D5558">
        <w:rPr>
          <w:i/>
        </w:rPr>
        <w:tab/>
        <w:t>the rates of $2564 and $2052 per easement for acquisition costs;</w:t>
      </w:r>
    </w:p>
    <w:p w:rsidR="00895990" w:rsidRPr="005D5558" w:rsidRDefault="00895990" w:rsidP="005D5558">
      <w:pPr>
        <w:pStyle w:val="Quote3"/>
        <w:ind w:left="2835" w:hanging="675"/>
        <w:rPr>
          <w:i/>
        </w:rPr>
      </w:pPr>
    </w:p>
    <w:p w:rsidR="00895990" w:rsidRDefault="00895990" w:rsidP="005D5558">
      <w:pPr>
        <w:pStyle w:val="Quote2"/>
        <w:rPr>
          <w:i/>
        </w:rPr>
      </w:pPr>
      <w:r w:rsidRPr="005D5558">
        <w:rPr>
          <w:i/>
        </w:rPr>
        <w:t>(c)</w:t>
      </w:r>
      <w:r w:rsidRPr="005D5558">
        <w:rPr>
          <w:i/>
        </w:rPr>
        <w:tab/>
        <w:t>as to category 3 easements:</w:t>
      </w:r>
    </w:p>
    <w:p w:rsidR="00895990" w:rsidRPr="005D5558" w:rsidRDefault="00895990" w:rsidP="005D5558">
      <w:pPr>
        <w:pStyle w:val="Quote2"/>
        <w:rPr>
          <w:i/>
        </w:rPr>
      </w:pPr>
    </w:p>
    <w:p w:rsidR="00895990" w:rsidRPr="005E20A8" w:rsidRDefault="00895990" w:rsidP="005E20A8">
      <w:pPr>
        <w:pStyle w:val="Quote3"/>
        <w:rPr>
          <w:i/>
        </w:rPr>
      </w:pPr>
      <w:r w:rsidRPr="005E20A8">
        <w:rPr>
          <w:i/>
        </w:rPr>
        <w:t>(i)</w:t>
      </w:r>
      <w:r w:rsidRPr="005E20A8">
        <w:rPr>
          <w:i/>
        </w:rPr>
        <w:tab/>
        <w:t>the rate of $1282 per easement for acquisition costs;</w:t>
      </w:r>
    </w:p>
    <w:p w:rsidR="00895990" w:rsidRPr="005E20A8" w:rsidRDefault="00895990" w:rsidP="005E20A8">
      <w:pPr>
        <w:pStyle w:val="Quote3"/>
        <w:rPr>
          <w:i/>
        </w:rPr>
      </w:pPr>
      <w:r w:rsidRPr="005E20A8">
        <w:rPr>
          <w:i/>
        </w:rPr>
        <w:t>(ii)</w:t>
      </w:r>
      <w:r w:rsidRPr="005E20A8">
        <w:rPr>
          <w:i/>
        </w:rPr>
        <w:tab/>
        <w:t>the rate of $872/km for survey costs;</w:t>
      </w:r>
    </w:p>
    <w:p w:rsidR="00895990" w:rsidRPr="005E20A8" w:rsidRDefault="00895990" w:rsidP="005E20A8">
      <w:pPr>
        <w:pStyle w:val="Quote3"/>
        <w:rPr>
          <w:i/>
        </w:rPr>
      </w:pPr>
      <w:r w:rsidRPr="005E20A8">
        <w:rPr>
          <w:i/>
        </w:rPr>
        <w:t>(iii)</w:t>
      </w:r>
      <w:r w:rsidRPr="005E20A8">
        <w:rPr>
          <w:i/>
        </w:rPr>
        <w:tab/>
        <w:t>the total length of country easements;</w:t>
      </w:r>
    </w:p>
    <w:p w:rsidR="00895990" w:rsidRPr="005E20A8" w:rsidRDefault="00895990" w:rsidP="005E20A8">
      <w:pPr>
        <w:pStyle w:val="Quote3"/>
        <w:rPr>
          <w:i/>
        </w:rPr>
      </w:pPr>
      <w:r w:rsidRPr="005E20A8">
        <w:rPr>
          <w:i/>
        </w:rPr>
        <w:t>(iv)</w:t>
      </w:r>
      <w:r w:rsidRPr="005E20A8">
        <w:rPr>
          <w:i/>
        </w:rPr>
        <w:tab/>
        <w:t>the total length of metropolitan easements;</w:t>
      </w:r>
    </w:p>
    <w:p w:rsidR="00895990" w:rsidRPr="005E20A8" w:rsidRDefault="00895990" w:rsidP="005E20A8">
      <w:pPr>
        <w:pStyle w:val="Quote2"/>
        <w:rPr>
          <w:i/>
        </w:rPr>
      </w:pPr>
    </w:p>
    <w:p w:rsidR="00895990" w:rsidRPr="005E20A8" w:rsidRDefault="00895990" w:rsidP="005E20A8">
      <w:pPr>
        <w:pStyle w:val="Quote2"/>
        <w:rPr>
          <w:i/>
        </w:rPr>
      </w:pPr>
      <w:r w:rsidRPr="005E20A8">
        <w:rPr>
          <w:i/>
        </w:rPr>
        <w:t>(d)</w:t>
      </w:r>
      <w:r w:rsidRPr="005E20A8">
        <w:rPr>
          <w:i/>
        </w:rPr>
        <w:tab/>
        <w:t>as to category 4 easements:</w:t>
      </w:r>
    </w:p>
    <w:p w:rsidR="00895990" w:rsidRPr="00E8128D" w:rsidRDefault="00895990" w:rsidP="00E8128D">
      <w:pPr>
        <w:pStyle w:val="Quote1"/>
        <w:rPr>
          <w:i/>
        </w:rPr>
      </w:pPr>
    </w:p>
    <w:p w:rsidR="00895990" w:rsidRPr="005E20A8" w:rsidRDefault="00895990" w:rsidP="005E20A8">
      <w:pPr>
        <w:pStyle w:val="Quote3"/>
        <w:rPr>
          <w:i/>
        </w:rPr>
      </w:pPr>
      <w:r w:rsidRPr="005E20A8">
        <w:rPr>
          <w:i/>
        </w:rPr>
        <w:t>(i)</w:t>
      </w:r>
      <w:r w:rsidRPr="005E20A8">
        <w:rPr>
          <w:i/>
        </w:rPr>
        <w:tab/>
        <w:t>the rate of $605 for acquisition costs;</w:t>
      </w:r>
    </w:p>
    <w:p w:rsidR="00895990" w:rsidRPr="005E20A8" w:rsidRDefault="00895990" w:rsidP="005E20A8">
      <w:pPr>
        <w:pStyle w:val="Quote3"/>
        <w:rPr>
          <w:i/>
        </w:rPr>
      </w:pPr>
      <w:r w:rsidRPr="005E20A8">
        <w:rPr>
          <w:i/>
        </w:rPr>
        <w:t>(ii)</w:t>
      </w:r>
      <w:r w:rsidRPr="005E20A8">
        <w:rPr>
          <w:i/>
        </w:rPr>
        <w:tab/>
        <w:t>the rate of $872/km for survey costs;</w:t>
      </w:r>
    </w:p>
    <w:p w:rsidR="00895990" w:rsidRPr="005E20A8" w:rsidRDefault="00895990" w:rsidP="005E20A8">
      <w:pPr>
        <w:pStyle w:val="Quote3"/>
        <w:rPr>
          <w:i/>
        </w:rPr>
      </w:pPr>
      <w:r w:rsidRPr="005E20A8">
        <w:rPr>
          <w:i/>
        </w:rPr>
        <w:t>(iii)</w:t>
      </w:r>
      <w:r w:rsidRPr="005E20A8">
        <w:rPr>
          <w:i/>
        </w:rPr>
        <w:tab/>
        <w:t>the total length of country easements;</w:t>
      </w:r>
    </w:p>
    <w:p w:rsidR="00895990" w:rsidRPr="005E20A8" w:rsidRDefault="00895990" w:rsidP="005E20A8">
      <w:pPr>
        <w:pStyle w:val="Quote3"/>
        <w:rPr>
          <w:i/>
        </w:rPr>
      </w:pPr>
      <w:r w:rsidRPr="005E20A8">
        <w:rPr>
          <w:i/>
        </w:rPr>
        <w:t>(iv)</w:t>
      </w:r>
      <w:r w:rsidRPr="005E20A8">
        <w:rPr>
          <w:i/>
        </w:rPr>
        <w:tab/>
        <w:t>the total length of metropolitan easements;</w:t>
      </w:r>
    </w:p>
    <w:p w:rsidR="00895990" w:rsidRPr="005E20A8" w:rsidRDefault="00895990" w:rsidP="005E20A8">
      <w:pPr>
        <w:pStyle w:val="Quote2"/>
        <w:rPr>
          <w:i/>
        </w:rPr>
      </w:pPr>
    </w:p>
    <w:p w:rsidR="00895990" w:rsidRDefault="00895990" w:rsidP="005E20A8">
      <w:pPr>
        <w:pStyle w:val="Quote2"/>
        <w:rPr>
          <w:i/>
        </w:rPr>
      </w:pPr>
      <w:r w:rsidRPr="005E20A8">
        <w:rPr>
          <w:i/>
        </w:rPr>
        <w:t>(e)</w:t>
      </w:r>
      <w:r w:rsidRPr="005E20A8">
        <w:rPr>
          <w:i/>
        </w:rPr>
        <w:tab/>
        <w:t>as to category 5 easements:</w:t>
      </w:r>
    </w:p>
    <w:p w:rsidR="00895990" w:rsidRPr="005E20A8" w:rsidRDefault="00895990" w:rsidP="005E20A8">
      <w:pPr>
        <w:pStyle w:val="Quote2"/>
        <w:rPr>
          <w:i/>
        </w:rPr>
      </w:pPr>
    </w:p>
    <w:p w:rsidR="00895990" w:rsidRPr="005E20A8" w:rsidRDefault="00895990" w:rsidP="005E20A8">
      <w:pPr>
        <w:pStyle w:val="Quote3"/>
        <w:rPr>
          <w:i/>
        </w:rPr>
      </w:pPr>
      <w:r w:rsidRPr="005E20A8">
        <w:rPr>
          <w:i/>
        </w:rPr>
        <w:t>(i)</w:t>
      </w:r>
      <w:r w:rsidRPr="005E20A8">
        <w:rPr>
          <w:i/>
        </w:rPr>
        <w:tab/>
        <w:t>the number of subdivisions containing an easement;</w:t>
      </w:r>
    </w:p>
    <w:p w:rsidR="00895990" w:rsidRDefault="00895990" w:rsidP="005E20A8">
      <w:pPr>
        <w:pStyle w:val="Quote3"/>
        <w:rPr>
          <w:i/>
        </w:rPr>
      </w:pPr>
      <w:r w:rsidRPr="005E20A8">
        <w:rPr>
          <w:i/>
        </w:rPr>
        <w:t>(ii)</w:t>
      </w:r>
      <w:r w:rsidRPr="005E20A8">
        <w:rPr>
          <w:i/>
        </w:rPr>
        <w:tab/>
        <w:t>the average number of allotments in such subdivisions.</w:t>
      </w:r>
    </w:p>
    <w:p w:rsidR="00895990" w:rsidRPr="005E20A8" w:rsidRDefault="00895990" w:rsidP="005E20A8">
      <w:pPr>
        <w:pStyle w:val="Quote3"/>
        <w:rPr>
          <w:i/>
        </w:rPr>
      </w:pPr>
    </w:p>
    <w:p w:rsidR="00895990" w:rsidRPr="00E8128D" w:rsidRDefault="00895990" w:rsidP="005E20A8">
      <w:pPr>
        <w:pStyle w:val="Quote1"/>
        <w:ind w:left="1418" w:hanging="681"/>
        <w:rPr>
          <w:i/>
        </w:rPr>
      </w:pPr>
      <w:r w:rsidRPr="00E8128D">
        <w:rPr>
          <w:i/>
        </w:rPr>
        <w:t>2.</w:t>
      </w:r>
      <w:r w:rsidRPr="00E8128D">
        <w:rPr>
          <w:i/>
        </w:rPr>
        <w:tab/>
        <w:t>By 4pm on 17 November 2010, the Applicant file and serve any submissions in response to any report filed and served in accordance with paragraph 1.</w:t>
      </w:r>
    </w:p>
    <w:p w:rsidR="00895990" w:rsidRPr="00E8128D" w:rsidRDefault="00895990" w:rsidP="005E20A8">
      <w:pPr>
        <w:pStyle w:val="Quote1"/>
        <w:ind w:left="1418" w:hanging="681"/>
        <w:rPr>
          <w:i/>
        </w:rPr>
      </w:pPr>
      <w:r w:rsidRPr="00E8128D">
        <w:rPr>
          <w:i/>
        </w:rPr>
        <w:t>3.</w:t>
      </w:r>
      <w:r w:rsidRPr="00E8128D">
        <w:rPr>
          <w:i/>
        </w:rPr>
        <w:tab/>
        <w:t>The application be adjourned to not before 19 November 2010.</w:t>
      </w:r>
    </w:p>
    <w:p w:rsidR="00895990" w:rsidRDefault="00895990" w:rsidP="005E20A8">
      <w:pPr>
        <w:pStyle w:val="ParaNumbering"/>
      </w:pPr>
      <w:r>
        <w:t xml:space="preserve">It will be observed that the Tribunal formed the view that a ground of review had been established for the purposes of s 71R(3) of the </w:t>
      </w:r>
      <w:r>
        <w:rPr>
          <w:i/>
        </w:rPr>
        <w:t>National Electricity (South Australia) Law</w:t>
      </w:r>
      <w:r>
        <w:t xml:space="preserve"> (‘the NEL’) in relation to the Australian Energy Regulator’s (‘AER’) rejection of the applicant’s claim for an addition to be made to its opening regulatory asset base (RAB) in respect of easements extant as at 1 July 1999.</w:t>
      </w:r>
    </w:p>
    <w:p w:rsidR="00895990" w:rsidRDefault="00895990" w:rsidP="005E20A8">
      <w:pPr>
        <w:pStyle w:val="ParaNumbering"/>
      </w:pPr>
      <w:r>
        <w:t>The Tribunal now gives reasons for that view being formed.</w:t>
      </w:r>
    </w:p>
    <w:p w:rsidR="00895990" w:rsidRDefault="00895990" w:rsidP="006F34EB">
      <w:pPr>
        <w:pStyle w:val="ParaNumbering"/>
      </w:pPr>
      <w:r>
        <w:t xml:space="preserve">The NEL is set out in the Schedule of the </w:t>
      </w:r>
      <w:r w:rsidRPr="006F34EB">
        <w:rPr>
          <w:i/>
        </w:rPr>
        <w:t>National Electricity (</w:t>
      </w:r>
      <w:smartTag w:uri="urn:schemas-microsoft-com:office:smarttags" w:element="State">
        <w:r w:rsidRPr="006F34EB">
          <w:rPr>
            <w:i/>
          </w:rPr>
          <w:t>South Australia</w:t>
        </w:r>
      </w:smartTag>
      <w:r w:rsidRPr="006F34EB">
        <w:rPr>
          <w:i/>
        </w:rPr>
        <w:t>) Act 1996</w:t>
      </w:r>
      <w:r>
        <w:t xml:space="preserve"> (‘the Act’) and, by the operation of s 6 of the Act, applies as a law of </w:t>
      </w:r>
      <w:smartTag w:uri="urn:schemas-microsoft-com:office:smarttags" w:element="place">
        <w:smartTag w:uri="urn:schemas-microsoft-com:office:smarttags" w:element="State">
          <w:r>
            <w:t>South Australia</w:t>
          </w:r>
        </w:smartTag>
      </w:smartTag>
      <w:r>
        <w:t xml:space="preserve">.  Section 9 of the NEL gives the National Electricity Rules (‘the Rules’) the force of law in </w:t>
      </w:r>
      <w:smartTag w:uri="urn:schemas-microsoft-com:office:smarttags" w:element="place">
        <w:smartTag w:uri="urn:schemas-microsoft-com:office:smarttags" w:element="State">
          <w:r>
            <w:t>South Australia</w:t>
          </w:r>
        </w:smartTag>
      </w:smartTag>
      <w:r>
        <w:t>.</w:t>
      </w:r>
    </w:p>
    <w:p w:rsidR="00895990" w:rsidRDefault="00895990" w:rsidP="006F34EB">
      <w:pPr>
        <w:pStyle w:val="ParaNumbering"/>
      </w:pPr>
      <w:r>
        <w:t xml:space="preserve">ETSA provides electricity distribution network services in </w:t>
      </w:r>
      <w:smartTag w:uri="urn:schemas-microsoft-com:office:smarttags" w:element="place">
        <w:smartTag w:uri="urn:schemas-microsoft-com:office:smarttags" w:element="State">
          <w:r>
            <w:t>South Australia</w:t>
          </w:r>
        </w:smartTag>
      </w:smartTag>
      <w:r>
        <w:t xml:space="preserve"> and is registered as a distribution network service provider (‘DNSP’) under cl 2.5.1 of the Rules.  </w:t>
      </w:r>
    </w:p>
    <w:p w:rsidR="00895990" w:rsidRDefault="00895990" w:rsidP="006F34EB">
      <w:pPr>
        <w:pStyle w:val="ParaNumbering"/>
      </w:pPr>
      <w:r>
        <w:t xml:space="preserve">The AER is responsible for the economic regulation of electricity distribution network services provided by DNSPs, including ETSA.  In particular, under Ch 6 of the Rules, the AER is responsible for determining the revenue that ETSA may earn from the provision by ETSA of electricity network services in </w:t>
      </w:r>
      <w:smartTag w:uri="urn:schemas-microsoft-com:office:smarttags" w:element="place">
        <w:smartTag w:uri="urn:schemas-microsoft-com:office:smarttags" w:element="State">
          <w:r>
            <w:t>South Australia</w:t>
          </w:r>
        </w:smartTag>
      </w:smartTag>
      <w:r>
        <w:t>.  Prior to the AER assuming this responsibility in January 2008, the responsibility lay with the Essential Services Commission of South Australia (‘ESCOSA’).</w:t>
      </w:r>
    </w:p>
    <w:p w:rsidR="00895990" w:rsidRDefault="00895990" w:rsidP="006F34EB">
      <w:pPr>
        <w:pStyle w:val="ParaNumbering"/>
      </w:pPr>
      <w:r>
        <w:t>Pursuant to cl 6.8.2 (in Ch 6) of the Rules (as modified by cl 11.26.2 of the savings and transitional rules in Ch 11 of the Rules), ETSA was required to submit, and on 1 July 2009 did submit, a regulatory proposal to the AER for consideration in accordance with the Rules (‘regulatory proposal’).</w:t>
      </w:r>
    </w:p>
    <w:p w:rsidR="00895990" w:rsidRDefault="00895990" w:rsidP="006F34EB">
      <w:pPr>
        <w:pStyle w:val="ParaNumbering"/>
      </w:pPr>
      <w:r>
        <w:t>Pursuant to cl 6.10.1 of the Rules, the AER was required to make, and did make, a draft distribution determination in relation to the regulatory proposal entitled Draft Decision South Australia Draft Distribution Determination 2010-11 to 2014-15, dated 25 November 2009, and published on 30 November 2009 (‘the draft determination’).</w:t>
      </w:r>
    </w:p>
    <w:p w:rsidR="00895990" w:rsidRDefault="00895990" w:rsidP="006F34EB">
      <w:pPr>
        <w:pStyle w:val="ParaNumbering"/>
      </w:pPr>
      <w:r>
        <w:t>On 14 January 2010, ETSA submitted a revised regulatory proposal to the AER (‘revised proposal’), pursuant to cl 6.10.3 of the Rules.</w:t>
      </w:r>
    </w:p>
    <w:p w:rsidR="00895990" w:rsidRDefault="00895990" w:rsidP="006F34EB">
      <w:pPr>
        <w:pStyle w:val="ParaNumbering"/>
      </w:pPr>
      <w:r>
        <w:t xml:space="preserve">On 6 May 2010, pursuant to cl 6.11.1 of the Rules, the AER published its final distribution determination entitled: ETSA Utilities Distribution Determination 2010-11 to 2014-15, dated 4 May 2010 (‘the final determination’).   </w:t>
      </w:r>
    </w:p>
    <w:p w:rsidR="00895990" w:rsidRDefault="00895990" w:rsidP="006F34EB">
      <w:pPr>
        <w:pStyle w:val="ParaNumbering"/>
      </w:pPr>
      <w:r>
        <w:t xml:space="preserve">The AER’s reasons for the final determination are set out in its “Final Decision South Australia Distribution Determination 2010-11 to 2014-15”, dated May 2010. </w:t>
      </w:r>
    </w:p>
    <w:p w:rsidR="00895990" w:rsidRDefault="00895990" w:rsidP="00066572">
      <w:pPr>
        <w:pStyle w:val="ParaNumbering"/>
      </w:pPr>
      <w:r>
        <w:t>In June 2010 ETSA applied for leave to review the final determination in respect of the following matters and was, pursuant to s 71B, granted that leave on 15July 2010:</w:t>
      </w:r>
    </w:p>
    <w:p w:rsidR="00895990" w:rsidRDefault="00895990" w:rsidP="00066572">
      <w:pPr>
        <w:pStyle w:val="ListNo"/>
        <w:numPr>
          <w:ilvl w:val="3"/>
          <w:numId w:val="38"/>
        </w:numPr>
        <w:tabs>
          <w:tab w:val="clear" w:pos="2880"/>
        </w:tabs>
        <w:ind w:left="709" w:hanging="709"/>
      </w:pPr>
      <w:r>
        <w:t>Gamma: the decision by the AER, in calculating the estimated cost of corporate income tax pursuant to cl 6.5.3 of the Rules, to apply a value for the assumed utilisation of imputation credits (gamma) of 0.65; and</w:t>
      </w:r>
    </w:p>
    <w:p w:rsidR="00895990" w:rsidRDefault="00895990" w:rsidP="00066572">
      <w:pPr>
        <w:pStyle w:val="ListNo"/>
        <w:numPr>
          <w:ilvl w:val="3"/>
          <w:numId w:val="38"/>
        </w:numPr>
        <w:tabs>
          <w:tab w:val="clear" w:pos="2880"/>
        </w:tabs>
        <w:ind w:left="709" w:hanging="709"/>
      </w:pPr>
      <w:r>
        <w:t>RAB: the determination by the AER of the opening asset base pursuant to cl 6.5.1 of the Rules, in particular–</w:t>
      </w:r>
    </w:p>
    <w:p w:rsidR="00895990" w:rsidRDefault="00895990" w:rsidP="00066572">
      <w:pPr>
        <w:pStyle w:val="ListNo"/>
        <w:numPr>
          <w:ilvl w:val="4"/>
          <w:numId w:val="39"/>
        </w:numPr>
        <w:tabs>
          <w:tab w:val="clear" w:pos="3600"/>
        </w:tabs>
        <w:ind w:hanging="2891"/>
      </w:pPr>
      <w:r>
        <w:t>the “valuation” of easements by the AER; and</w:t>
      </w:r>
    </w:p>
    <w:p w:rsidR="00895990" w:rsidRDefault="00895990" w:rsidP="00066572">
      <w:pPr>
        <w:pStyle w:val="ListNo"/>
        <w:numPr>
          <w:ilvl w:val="4"/>
          <w:numId w:val="39"/>
        </w:numPr>
        <w:tabs>
          <w:tab w:val="clear" w:pos="3600"/>
        </w:tabs>
        <w:ind w:left="1418" w:hanging="709"/>
      </w:pPr>
      <w:r>
        <w:t>the failure by the AER to correct for a modelling error made by ESCOSA in its treatment of capital contributions used in calculating the 1999 RAB Value,</w:t>
      </w:r>
    </w:p>
    <w:p w:rsidR="00895990" w:rsidRPr="00440582" w:rsidRDefault="00895990" w:rsidP="00440582">
      <w:r w:rsidRPr="00440582">
        <w:t>each of which is, or is an element of, a constituent decision pursuant to cl 6.12.1 of the Rules.</w:t>
      </w:r>
    </w:p>
    <w:p w:rsidR="00895990" w:rsidRDefault="00895990" w:rsidP="006F34EB">
      <w:pPr>
        <w:pStyle w:val="ParaNumbering"/>
      </w:pPr>
      <w:r>
        <w:t>These reasons only deal with the question of the RAB, and the issue relating to the “valuation” of easements by the AER.</w:t>
      </w:r>
    </w:p>
    <w:p w:rsidR="00895990" w:rsidRDefault="00895990" w:rsidP="006F34EB">
      <w:pPr>
        <w:pStyle w:val="ParaNumbering"/>
      </w:pPr>
      <w:r>
        <w:t>Pursuant to s 71P of the NEL, the Tribunal on review may affirm, set aside or vary the final determination or remit the matter back to the AER to make the final determination again with any direction or recommendation of the Tribunal.</w:t>
      </w:r>
    </w:p>
    <w:p w:rsidR="00895990" w:rsidRDefault="00895990" w:rsidP="006F34EB">
      <w:pPr>
        <w:pStyle w:val="ParaNumbering"/>
      </w:pPr>
      <w:r>
        <w:t>The grounds set out in s 71C(1) are as follows:</w:t>
      </w:r>
    </w:p>
    <w:p w:rsidR="00895990" w:rsidRPr="009C031C" w:rsidRDefault="00895990" w:rsidP="009C031C">
      <w:pPr>
        <w:pStyle w:val="ListNo"/>
        <w:numPr>
          <w:ilvl w:val="0"/>
          <w:numId w:val="28"/>
        </w:numPr>
        <w:tabs>
          <w:tab w:val="clear" w:pos="360"/>
          <w:tab w:val="left" w:pos="1418"/>
        </w:tabs>
        <w:spacing w:line="240" w:lineRule="auto"/>
        <w:ind w:left="1418" w:hanging="709"/>
        <w:rPr>
          <w:i/>
        </w:rPr>
      </w:pPr>
      <w:r w:rsidRPr="009C031C">
        <w:rPr>
          <w:i/>
        </w:rPr>
        <w:t>the AER made an error of fact in its findings of facts, and that error of fact was material to the making of the decision;</w:t>
      </w:r>
    </w:p>
    <w:p w:rsidR="00895990" w:rsidRPr="009C031C" w:rsidRDefault="00895990" w:rsidP="009C031C">
      <w:pPr>
        <w:pStyle w:val="ListNo"/>
        <w:numPr>
          <w:ilvl w:val="0"/>
          <w:numId w:val="28"/>
        </w:numPr>
        <w:tabs>
          <w:tab w:val="clear" w:pos="360"/>
          <w:tab w:val="left" w:pos="1418"/>
        </w:tabs>
        <w:spacing w:line="240" w:lineRule="auto"/>
        <w:ind w:left="1418" w:hanging="709"/>
        <w:rPr>
          <w:i/>
        </w:rPr>
      </w:pPr>
      <w:r w:rsidRPr="009C031C">
        <w:rPr>
          <w:i/>
        </w:rPr>
        <w:t>the AER made more than 1error of fact in its findings of facts, and that those errors of fact, in combination, were material to the making of the decision;</w:t>
      </w:r>
    </w:p>
    <w:p w:rsidR="00895990" w:rsidRPr="009C031C" w:rsidRDefault="00895990" w:rsidP="009C031C">
      <w:pPr>
        <w:pStyle w:val="ListNo"/>
        <w:numPr>
          <w:ilvl w:val="0"/>
          <w:numId w:val="28"/>
        </w:numPr>
        <w:tabs>
          <w:tab w:val="clear" w:pos="360"/>
          <w:tab w:val="left" w:pos="1418"/>
        </w:tabs>
        <w:spacing w:line="240" w:lineRule="auto"/>
        <w:ind w:left="1418" w:hanging="709"/>
        <w:rPr>
          <w:i/>
        </w:rPr>
      </w:pPr>
      <w:r w:rsidRPr="009C031C">
        <w:rPr>
          <w:i/>
        </w:rPr>
        <w:t>the exercise of the AER's discretion was incorrect, having regard to all the circumstances;</w:t>
      </w:r>
    </w:p>
    <w:p w:rsidR="00895990" w:rsidRPr="009C031C" w:rsidRDefault="00895990" w:rsidP="009C031C">
      <w:pPr>
        <w:pStyle w:val="ListNo"/>
        <w:numPr>
          <w:ilvl w:val="0"/>
          <w:numId w:val="28"/>
        </w:numPr>
        <w:tabs>
          <w:tab w:val="clear" w:pos="360"/>
          <w:tab w:val="left" w:pos="1418"/>
        </w:tabs>
        <w:spacing w:line="240" w:lineRule="auto"/>
        <w:ind w:left="1418" w:hanging="709"/>
        <w:rPr>
          <w:i/>
        </w:rPr>
      </w:pPr>
      <w:r w:rsidRPr="009C031C">
        <w:rPr>
          <w:i/>
        </w:rPr>
        <w:t>the AER's decision was unreasonable, having regard to all the circumstances.</w:t>
      </w:r>
    </w:p>
    <w:p w:rsidR="00895990" w:rsidRDefault="00895990" w:rsidP="006F34EB">
      <w:pPr>
        <w:pStyle w:val="ParaNumbering"/>
      </w:pPr>
      <w:r>
        <w:t xml:space="preserve">When considering the s 71C(1)(d) ‘unreasonable’ ground, the Tribunal has observed that the term ‘unreasonable’ does not just provide a basis for inferring the presence of one or more of the established grounds which render a decision ‘incorrect’ in the sense of the incorrect exercise of discretion,  rather it provides a separate and distinct ground of review: </w:t>
      </w:r>
      <w:r w:rsidRPr="00371781">
        <w:rPr>
          <w:i/>
        </w:rPr>
        <w:t>Application by EnergyAustralia</w:t>
      </w:r>
      <w:r>
        <w:t xml:space="preserve"> [2009] ACompT 8, at [63].  </w:t>
      </w:r>
    </w:p>
    <w:p w:rsidR="00895990" w:rsidRDefault="00895990" w:rsidP="006F34EB">
      <w:pPr>
        <w:pStyle w:val="ParaNumbering"/>
      </w:pPr>
      <w:r>
        <w:t xml:space="preserve">The term “findings of fact” in the context of s 71C(1)(a) and (b) is interpreted broadly, encompassing findings as to the existence of historical and present facts, opinions about the existence of future facts or circumstances, and opinions formed by the regulator based upon approaches to the assessment of facts or methodologies which it has chosen to apply. </w:t>
      </w:r>
    </w:p>
    <w:p w:rsidR="00895990" w:rsidRDefault="00895990" w:rsidP="00332D16">
      <w:pPr>
        <w:pStyle w:val="ParaNumbering"/>
      </w:pPr>
      <w:r>
        <w:t xml:space="preserve">ETSA submitted that, when regard is had to all of the circumstances, the AER in its final determination and final decision exercised its discretion incorrectly and made an unreasonable decision in relation to the value of easements.  </w:t>
      </w:r>
    </w:p>
    <w:p w:rsidR="00895990" w:rsidRDefault="00895990" w:rsidP="00332D16">
      <w:pPr>
        <w:pStyle w:val="ParaNumbering"/>
      </w:pPr>
      <w:r>
        <w:t xml:space="preserve">Further, ETSA submitted that the AER made errors of fact which were (alone or in combination) material to the making of its decision under cl 7.3(b) of a 1999 Electricity Pricing Order ( ‘EPO’) made by the South Australian Treasurer pursuant to the </w:t>
      </w:r>
      <w:r w:rsidRPr="00640DAC">
        <w:rPr>
          <w:i/>
        </w:rPr>
        <w:t>Electricity Act 1996</w:t>
      </w:r>
      <w:r>
        <w:t xml:space="preserve"> (SA), namely, the findings that:</w:t>
      </w:r>
    </w:p>
    <w:p w:rsidR="00895990" w:rsidRDefault="00895990" w:rsidP="003110AB">
      <w:pPr>
        <w:pStyle w:val="ListNo"/>
        <w:numPr>
          <w:ilvl w:val="3"/>
          <w:numId w:val="41"/>
        </w:numPr>
        <w:tabs>
          <w:tab w:val="clear" w:pos="2880"/>
        </w:tabs>
        <w:ind w:left="709" w:hanging="709"/>
      </w:pPr>
      <w:r>
        <w:t>on page 35 of the final decision, the “value” of the distribution network easements was already included in the RAB (whereas a valuation of the distribution network easements was not contained in Schedule 9 to the EPO and was not subsequently undertaken by ESCOSA in its 2005-2010 Price Determination);</w:t>
      </w:r>
    </w:p>
    <w:p w:rsidR="00895990" w:rsidRDefault="00895990" w:rsidP="003110AB">
      <w:pPr>
        <w:pStyle w:val="ListNo"/>
        <w:numPr>
          <w:ilvl w:val="3"/>
          <w:numId w:val="41"/>
        </w:numPr>
        <w:tabs>
          <w:tab w:val="clear" w:pos="2880"/>
        </w:tabs>
        <w:ind w:left="709" w:hanging="709"/>
      </w:pPr>
      <w:r>
        <w:t>on page 35 of the final decision, ESCOSA’s assessment of the distribution network easements was a proper valuation for the purpose of the final determination and final decision  (whereas ESCOSA merely perpetuated the $6m “allowance” for easements in the EPO which was formulated at a time when the data set necessary for a valuation of the distribution network easements was not available);</w:t>
      </w:r>
    </w:p>
    <w:p w:rsidR="00895990" w:rsidRDefault="00895990" w:rsidP="003110AB">
      <w:pPr>
        <w:pStyle w:val="ListNo"/>
        <w:numPr>
          <w:ilvl w:val="3"/>
          <w:numId w:val="41"/>
        </w:numPr>
        <w:tabs>
          <w:tab w:val="clear" w:pos="2880"/>
        </w:tabs>
        <w:ind w:left="709" w:hanging="709"/>
      </w:pPr>
      <w:r>
        <w:t>on page 34 of the final decision, there was no convincing evidence of representations concerning the valuation of easements being made to bidders by the South Australian Government during the sale process of ETSA (whereas the first hand evidence of the State’s sales advisers, personnel of the Government-owned ETSA Utilities Pty Ltd, and the successful bidder demonstrates that such representations had been made on behalf of the State Government and relied upon by the successful bidder).</w:t>
      </w:r>
    </w:p>
    <w:p w:rsidR="00895990" w:rsidRDefault="00895990" w:rsidP="00332D16">
      <w:pPr>
        <w:pStyle w:val="ParaNumbering"/>
      </w:pPr>
      <w:r>
        <w:t>To correct these errors, ETSA sought an adjustment to the opening RAB as at 1 July 2005 of $116,161,569 based on the following calculations of indexed historic cost (IHC) for each of its categories of easements: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1"/>
        <w:gridCol w:w="1217"/>
        <w:gridCol w:w="1142"/>
        <w:gridCol w:w="1755"/>
        <w:gridCol w:w="3105"/>
      </w:tblGrid>
      <w:tr w:rsidR="00895990" w:rsidRPr="0068344E">
        <w:trPr>
          <w:tblHeader/>
        </w:trPr>
        <w:tc>
          <w:tcPr>
            <w:tcW w:w="1421" w:type="dxa"/>
            <w:tcBorders>
              <w:bottom w:val="double" w:sz="4" w:space="0" w:color="auto"/>
            </w:tcBorders>
            <w:shd w:val="clear" w:color="auto" w:fill="E6E6E6"/>
            <w:vAlign w:val="center"/>
          </w:tcPr>
          <w:p w:rsidR="00895990" w:rsidRPr="0068344E" w:rsidRDefault="00895990" w:rsidP="001C0EC4">
            <w:pPr>
              <w:spacing w:beforeLines="34" w:afterLines="34"/>
              <w:ind w:left="-108"/>
              <w:jc w:val="center"/>
              <w:rPr>
                <w:rFonts w:cs="Arial"/>
                <w:b/>
                <w:bCs/>
              </w:rPr>
            </w:pPr>
            <w:r w:rsidRPr="0068344E">
              <w:rPr>
                <w:rFonts w:cs="Arial"/>
                <w:b/>
                <w:bCs/>
              </w:rPr>
              <w:t>Easement Category</w:t>
            </w:r>
          </w:p>
          <w:p w:rsidR="00895990" w:rsidRPr="0068344E" w:rsidRDefault="00895990" w:rsidP="001C0EC4">
            <w:pPr>
              <w:spacing w:beforeLines="34" w:afterLines="34"/>
              <w:jc w:val="center"/>
              <w:rPr>
                <w:rFonts w:cs="Arial"/>
                <w:b/>
                <w:bCs/>
              </w:rPr>
            </w:pPr>
          </w:p>
        </w:tc>
        <w:tc>
          <w:tcPr>
            <w:tcW w:w="1217" w:type="dxa"/>
            <w:tcBorders>
              <w:bottom w:val="double" w:sz="4" w:space="0" w:color="auto"/>
            </w:tcBorders>
            <w:shd w:val="clear" w:color="auto" w:fill="E6E6E6"/>
            <w:vAlign w:val="center"/>
          </w:tcPr>
          <w:p w:rsidR="00895990" w:rsidRPr="0068344E" w:rsidRDefault="00895990" w:rsidP="001C0EC4">
            <w:pPr>
              <w:spacing w:beforeLines="34" w:afterLines="34"/>
              <w:jc w:val="center"/>
              <w:rPr>
                <w:rFonts w:cs="Arial"/>
                <w:b/>
                <w:bCs/>
              </w:rPr>
            </w:pPr>
            <w:r w:rsidRPr="0068344E">
              <w:rPr>
                <w:rFonts w:cs="Arial"/>
                <w:b/>
                <w:bCs/>
              </w:rPr>
              <w:t>Number</w:t>
            </w:r>
          </w:p>
        </w:tc>
        <w:tc>
          <w:tcPr>
            <w:tcW w:w="1142" w:type="dxa"/>
            <w:tcBorders>
              <w:bottom w:val="double" w:sz="4" w:space="0" w:color="auto"/>
            </w:tcBorders>
            <w:shd w:val="clear" w:color="auto" w:fill="E6E6E6"/>
            <w:vAlign w:val="center"/>
          </w:tcPr>
          <w:p w:rsidR="00895990" w:rsidRPr="0068344E" w:rsidRDefault="00895990" w:rsidP="001C0EC4">
            <w:pPr>
              <w:spacing w:beforeLines="34" w:afterLines="34"/>
              <w:jc w:val="center"/>
              <w:rPr>
                <w:rFonts w:cs="Arial"/>
                <w:b/>
                <w:bCs/>
              </w:rPr>
            </w:pPr>
            <w:r w:rsidRPr="0068344E">
              <w:rPr>
                <w:rFonts w:cs="Arial"/>
                <w:b/>
                <w:bCs/>
              </w:rPr>
              <w:t>Length (km)</w:t>
            </w:r>
          </w:p>
        </w:tc>
        <w:tc>
          <w:tcPr>
            <w:tcW w:w="1755" w:type="dxa"/>
            <w:tcBorders>
              <w:bottom w:val="double" w:sz="4" w:space="0" w:color="auto"/>
            </w:tcBorders>
            <w:shd w:val="clear" w:color="auto" w:fill="E6E6E6"/>
            <w:vAlign w:val="center"/>
          </w:tcPr>
          <w:p w:rsidR="00895990" w:rsidRPr="0068344E" w:rsidRDefault="00895990" w:rsidP="001C0EC4">
            <w:pPr>
              <w:spacing w:beforeLines="34" w:afterLines="34"/>
              <w:jc w:val="center"/>
              <w:rPr>
                <w:rFonts w:cs="Arial"/>
              </w:rPr>
            </w:pPr>
            <w:r w:rsidRPr="0068344E">
              <w:rPr>
                <w:rFonts w:cs="Arial"/>
                <w:b/>
                <w:bCs/>
              </w:rPr>
              <w:t>Compensation Costs</w:t>
            </w:r>
            <w:r w:rsidRPr="0068344E">
              <w:rPr>
                <w:rFonts w:cs="Arial"/>
                <w:b/>
                <w:bCs/>
              </w:rPr>
              <w:br/>
              <w:t>(as at 1/7/1999)</w:t>
            </w:r>
          </w:p>
        </w:tc>
        <w:tc>
          <w:tcPr>
            <w:tcW w:w="3105" w:type="dxa"/>
            <w:tcBorders>
              <w:bottom w:val="double" w:sz="4" w:space="0" w:color="auto"/>
            </w:tcBorders>
            <w:shd w:val="clear" w:color="auto" w:fill="E6E6E6"/>
            <w:vAlign w:val="center"/>
          </w:tcPr>
          <w:p w:rsidR="00895990" w:rsidRPr="0068344E" w:rsidRDefault="00895990" w:rsidP="001C0EC4">
            <w:pPr>
              <w:spacing w:beforeLines="34" w:afterLines="34"/>
              <w:jc w:val="center"/>
              <w:rPr>
                <w:rFonts w:cs="Arial"/>
              </w:rPr>
            </w:pPr>
            <w:r w:rsidRPr="0068344E">
              <w:rPr>
                <w:rFonts w:cs="Arial"/>
                <w:b/>
                <w:bCs/>
              </w:rPr>
              <w:t xml:space="preserve">Acquisition Costs </w:t>
            </w:r>
            <w:r w:rsidRPr="0068344E">
              <w:rPr>
                <w:rFonts w:cs="Arial"/>
                <w:b/>
                <w:bCs/>
              </w:rPr>
              <w:br/>
              <w:t>(as at 1/7/1999)</w:t>
            </w:r>
          </w:p>
        </w:tc>
      </w:tr>
      <w:tr w:rsidR="00895990" w:rsidRPr="0068344E">
        <w:tc>
          <w:tcPr>
            <w:tcW w:w="1421" w:type="dxa"/>
            <w:tcBorders>
              <w:top w:val="double" w:sz="4" w:space="0" w:color="auto"/>
            </w:tcBorders>
          </w:tcPr>
          <w:p w:rsidR="00895990" w:rsidRPr="0068344E" w:rsidRDefault="00895990" w:rsidP="001C0EC4">
            <w:pPr>
              <w:spacing w:beforeLines="34" w:afterLines="34"/>
              <w:jc w:val="center"/>
              <w:rPr>
                <w:rFonts w:cs="Arial"/>
                <w:b/>
                <w:bCs/>
              </w:rPr>
            </w:pPr>
            <w:r w:rsidRPr="0068344E">
              <w:rPr>
                <w:rFonts w:cs="Arial"/>
                <w:b/>
                <w:bCs/>
              </w:rPr>
              <w:t>Category 1</w:t>
            </w:r>
          </w:p>
          <w:p w:rsidR="00895990" w:rsidRPr="0068344E" w:rsidRDefault="00895990" w:rsidP="001C0EC4">
            <w:pPr>
              <w:spacing w:beforeLines="34" w:afterLines="34"/>
              <w:jc w:val="center"/>
              <w:rPr>
                <w:rFonts w:cs="Arial"/>
              </w:rPr>
            </w:pPr>
            <w:r w:rsidRPr="0068344E">
              <w:rPr>
                <w:rFonts w:cs="Arial"/>
              </w:rPr>
              <w:t>Registered Powerlines</w:t>
            </w:r>
          </w:p>
        </w:tc>
        <w:tc>
          <w:tcPr>
            <w:tcW w:w="1217"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Actual</w:t>
            </w:r>
          </w:p>
        </w:tc>
        <w:tc>
          <w:tcPr>
            <w:tcW w:w="1142"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Actual</w:t>
            </w:r>
          </w:p>
        </w:tc>
        <w:tc>
          <w:tcPr>
            <w:tcW w:w="1755"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Actual</w:t>
            </w:r>
          </w:p>
        </w:tc>
        <w:tc>
          <w:tcPr>
            <w:tcW w:w="3105"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(Estimate contained in the MFS 1996 Report valuation of compensation and acquisition costs)</w:t>
            </w:r>
          </w:p>
        </w:tc>
      </w:tr>
      <w:tr w:rsidR="00895990" w:rsidRPr="0068344E">
        <w:trPr>
          <w:cantSplit/>
        </w:trPr>
        <w:tc>
          <w:tcPr>
            <w:tcW w:w="1421" w:type="dxa"/>
          </w:tcPr>
          <w:p w:rsidR="00895990" w:rsidRPr="0068344E" w:rsidRDefault="00895990" w:rsidP="001C0EC4">
            <w:pPr>
              <w:spacing w:beforeLines="34" w:afterLines="34"/>
              <w:jc w:val="center"/>
              <w:rPr>
                <w:rFonts w:cs="Arial"/>
              </w:rPr>
            </w:pPr>
            <w:r w:rsidRPr="0068344E">
              <w:rPr>
                <w:rFonts w:cs="Arial"/>
              </w:rPr>
              <w:t>Country</w:t>
            </w:r>
          </w:p>
        </w:tc>
        <w:tc>
          <w:tcPr>
            <w:tcW w:w="1217" w:type="dxa"/>
          </w:tcPr>
          <w:p w:rsidR="00895990" w:rsidRPr="0068344E" w:rsidRDefault="00895990" w:rsidP="001C0EC4">
            <w:pPr>
              <w:spacing w:beforeLines="34" w:afterLines="34"/>
              <w:jc w:val="center"/>
              <w:rPr>
                <w:rFonts w:cs="Arial"/>
              </w:rPr>
            </w:pPr>
            <w:r w:rsidRPr="0068344E">
              <w:rPr>
                <w:rFonts w:cs="Arial"/>
              </w:rPr>
              <w:t>5,099</w:t>
            </w:r>
          </w:p>
        </w:tc>
        <w:tc>
          <w:tcPr>
            <w:tcW w:w="1142" w:type="dxa"/>
          </w:tcPr>
          <w:p w:rsidR="00895990" w:rsidRPr="0068344E" w:rsidRDefault="00895990" w:rsidP="001C0EC4">
            <w:pPr>
              <w:spacing w:beforeLines="34" w:afterLines="34"/>
              <w:jc w:val="center"/>
              <w:rPr>
                <w:rFonts w:cs="Arial"/>
              </w:rPr>
            </w:pPr>
            <w:r w:rsidRPr="0068344E">
              <w:rPr>
                <w:rFonts w:cs="Arial"/>
              </w:rPr>
              <w:t>3,870</w:t>
            </w:r>
          </w:p>
        </w:tc>
        <w:tc>
          <w:tcPr>
            <w:tcW w:w="1755" w:type="dxa"/>
          </w:tcPr>
          <w:p w:rsidR="00895990" w:rsidRPr="0068344E" w:rsidRDefault="00895990" w:rsidP="001C0EC4">
            <w:pPr>
              <w:spacing w:beforeLines="34" w:afterLines="34"/>
              <w:jc w:val="center"/>
              <w:rPr>
                <w:rFonts w:cs="Arial"/>
              </w:rPr>
            </w:pPr>
            <w:r w:rsidRPr="0068344E">
              <w:rPr>
                <w:rFonts w:cs="Arial"/>
              </w:rPr>
              <w:t>$1,390,629</w:t>
            </w:r>
          </w:p>
        </w:tc>
        <w:tc>
          <w:tcPr>
            <w:tcW w:w="3105" w:type="dxa"/>
          </w:tcPr>
          <w:p w:rsidR="00895990" w:rsidRPr="0068344E" w:rsidRDefault="00895990" w:rsidP="001C0EC4">
            <w:pPr>
              <w:spacing w:beforeLines="34" w:afterLines="34"/>
              <w:jc w:val="center"/>
              <w:rPr>
                <w:rFonts w:cs="Arial"/>
              </w:rPr>
            </w:pPr>
            <w:r w:rsidRPr="0068344E">
              <w:rPr>
                <w:rFonts w:cs="Arial"/>
              </w:rPr>
              <w:t>$1,949 per easement / $872 per km  = $13,312,591</w:t>
            </w:r>
          </w:p>
        </w:tc>
      </w:tr>
      <w:tr w:rsidR="00895990" w:rsidRPr="0068344E">
        <w:trPr>
          <w:cantSplit/>
        </w:trPr>
        <w:tc>
          <w:tcPr>
            <w:tcW w:w="1421" w:type="dxa"/>
          </w:tcPr>
          <w:p w:rsidR="00895990" w:rsidRPr="0068344E" w:rsidRDefault="00895990" w:rsidP="001C0EC4">
            <w:pPr>
              <w:spacing w:beforeLines="34" w:afterLines="34"/>
              <w:jc w:val="center"/>
              <w:rPr>
                <w:rFonts w:cs="Arial"/>
              </w:rPr>
            </w:pPr>
            <w:r w:rsidRPr="0068344E">
              <w:rPr>
                <w:rFonts w:cs="Arial"/>
              </w:rPr>
              <w:t>Metro</w:t>
            </w:r>
          </w:p>
        </w:tc>
        <w:tc>
          <w:tcPr>
            <w:tcW w:w="1217" w:type="dxa"/>
          </w:tcPr>
          <w:p w:rsidR="00895990" w:rsidRPr="0068344E" w:rsidRDefault="00895990" w:rsidP="001C0EC4">
            <w:pPr>
              <w:spacing w:beforeLines="34" w:afterLines="34"/>
              <w:jc w:val="center"/>
              <w:rPr>
                <w:rFonts w:cs="Arial"/>
              </w:rPr>
            </w:pPr>
            <w:r w:rsidRPr="0068344E">
              <w:rPr>
                <w:rFonts w:cs="Arial"/>
              </w:rPr>
              <w:t>2,316</w:t>
            </w:r>
          </w:p>
        </w:tc>
        <w:tc>
          <w:tcPr>
            <w:tcW w:w="1142" w:type="dxa"/>
          </w:tcPr>
          <w:p w:rsidR="00895990" w:rsidRPr="0068344E" w:rsidRDefault="00895990" w:rsidP="001C0EC4">
            <w:pPr>
              <w:spacing w:beforeLines="34" w:afterLines="34"/>
              <w:jc w:val="center"/>
              <w:rPr>
                <w:rFonts w:cs="Arial"/>
              </w:rPr>
            </w:pPr>
            <w:r w:rsidRPr="0068344E">
              <w:rPr>
                <w:rFonts w:cs="Arial"/>
              </w:rPr>
              <w:t>639</w:t>
            </w:r>
          </w:p>
        </w:tc>
        <w:tc>
          <w:tcPr>
            <w:tcW w:w="1755" w:type="dxa"/>
          </w:tcPr>
          <w:p w:rsidR="00895990" w:rsidRPr="0068344E" w:rsidRDefault="00895990" w:rsidP="001C0EC4">
            <w:pPr>
              <w:spacing w:beforeLines="34" w:afterLines="34"/>
              <w:jc w:val="center"/>
              <w:rPr>
                <w:rFonts w:cs="Arial"/>
              </w:rPr>
            </w:pPr>
            <w:r w:rsidRPr="0068344E">
              <w:rPr>
                <w:rFonts w:cs="Arial"/>
              </w:rPr>
              <w:t>$1,117,486</w:t>
            </w:r>
          </w:p>
        </w:tc>
        <w:tc>
          <w:tcPr>
            <w:tcW w:w="3105" w:type="dxa"/>
          </w:tcPr>
          <w:p w:rsidR="00895990" w:rsidRPr="0068344E" w:rsidRDefault="00895990" w:rsidP="001C0EC4">
            <w:pPr>
              <w:spacing w:beforeLines="34" w:afterLines="34"/>
              <w:jc w:val="center"/>
              <w:rPr>
                <w:rFonts w:cs="Arial"/>
              </w:rPr>
            </w:pPr>
            <w:r w:rsidRPr="0068344E">
              <w:rPr>
                <w:rFonts w:cs="Arial"/>
              </w:rPr>
              <w:t>$1,949 per easement / $872 per km = $4,847,661</w:t>
            </w:r>
          </w:p>
        </w:tc>
      </w:tr>
      <w:tr w:rsidR="00895990" w:rsidRPr="0068344E">
        <w:trPr>
          <w:cantSplit/>
        </w:trPr>
        <w:tc>
          <w:tcPr>
            <w:tcW w:w="3780" w:type="dxa"/>
            <w:gridSpan w:val="3"/>
            <w:tcBorders>
              <w:bottom w:val="double" w:sz="4" w:space="0" w:color="auto"/>
            </w:tcBorders>
          </w:tcPr>
          <w:p w:rsidR="00895990" w:rsidRPr="00D40EC7" w:rsidRDefault="00895990" w:rsidP="001C0EC4">
            <w:pPr>
              <w:spacing w:beforeLines="34" w:afterLines="34"/>
              <w:jc w:val="center"/>
              <w:rPr>
                <w:rFonts w:cs="Arial"/>
                <w:b/>
              </w:rPr>
            </w:pPr>
            <w:r w:rsidRPr="00D40EC7">
              <w:rPr>
                <w:rFonts w:cs="Arial"/>
                <w:b/>
              </w:rPr>
              <w:t>Total</w:t>
            </w:r>
          </w:p>
        </w:tc>
        <w:tc>
          <w:tcPr>
            <w:tcW w:w="1755" w:type="dxa"/>
            <w:tcBorders>
              <w:bottom w:val="double" w:sz="4" w:space="0" w:color="auto"/>
            </w:tcBorders>
          </w:tcPr>
          <w:p w:rsidR="00895990" w:rsidRPr="0068344E" w:rsidRDefault="00895990" w:rsidP="001C0EC4">
            <w:pPr>
              <w:spacing w:beforeLines="34" w:afterLines="34"/>
              <w:jc w:val="center"/>
              <w:rPr>
                <w:rFonts w:cs="Arial"/>
              </w:rPr>
            </w:pPr>
            <w:r>
              <w:rPr>
                <w:rFonts w:cs="Arial"/>
              </w:rPr>
              <w:t>$2,508,115</w:t>
            </w:r>
          </w:p>
        </w:tc>
        <w:tc>
          <w:tcPr>
            <w:tcW w:w="3105" w:type="dxa"/>
            <w:tcBorders>
              <w:bottom w:val="double" w:sz="4" w:space="0" w:color="auto"/>
            </w:tcBorders>
          </w:tcPr>
          <w:p w:rsidR="00895990" w:rsidRPr="0068344E" w:rsidRDefault="00895990" w:rsidP="001C0EC4">
            <w:pPr>
              <w:spacing w:beforeLines="34" w:afterLines="34"/>
              <w:jc w:val="center"/>
              <w:rPr>
                <w:rFonts w:cs="Arial"/>
              </w:rPr>
            </w:pPr>
            <w:r>
              <w:rPr>
                <w:rFonts w:cs="Arial"/>
              </w:rPr>
              <w:t>$18,160,252</w:t>
            </w:r>
          </w:p>
        </w:tc>
      </w:tr>
      <w:tr w:rsidR="00895990" w:rsidRPr="0068344E">
        <w:trPr>
          <w:cantSplit/>
        </w:trPr>
        <w:tc>
          <w:tcPr>
            <w:tcW w:w="1421" w:type="dxa"/>
            <w:tcBorders>
              <w:top w:val="double" w:sz="4" w:space="0" w:color="auto"/>
            </w:tcBorders>
          </w:tcPr>
          <w:p w:rsidR="00895990" w:rsidRPr="0068344E" w:rsidRDefault="00895990" w:rsidP="001C0EC4">
            <w:pPr>
              <w:spacing w:beforeLines="34" w:afterLines="34"/>
              <w:jc w:val="center"/>
              <w:rPr>
                <w:rFonts w:cs="Arial"/>
                <w:b/>
                <w:bCs/>
              </w:rPr>
            </w:pPr>
            <w:r w:rsidRPr="0068344E">
              <w:rPr>
                <w:rFonts w:cs="Arial"/>
                <w:b/>
                <w:bCs/>
              </w:rPr>
              <w:t>Category 2</w:t>
            </w:r>
          </w:p>
          <w:p w:rsidR="00895990" w:rsidRPr="0068344E" w:rsidRDefault="00895990" w:rsidP="001C0EC4">
            <w:pPr>
              <w:spacing w:beforeLines="34" w:afterLines="34"/>
              <w:jc w:val="center"/>
              <w:rPr>
                <w:rFonts w:cs="Arial"/>
              </w:rPr>
            </w:pPr>
            <w:r w:rsidRPr="0068344E">
              <w:rPr>
                <w:rFonts w:cs="Arial"/>
              </w:rPr>
              <w:t>Registered Padmount Transformers</w:t>
            </w:r>
          </w:p>
        </w:tc>
        <w:tc>
          <w:tcPr>
            <w:tcW w:w="1217"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Actual</w:t>
            </w:r>
          </w:p>
        </w:tc>
        <w:tc>
          <w:tcPr>
            <w:tcW w:w="1142"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N/A</w:t>
            </w:r>
          </w:p>
        </w:tc>
        <w:tc>
          <w:tcPr>
            <w:tcW w:w="1755"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Actual – only available as aggregate</w:t>
            </w:r>
          </w:p>
        </w:tc>
        <w:tc>
          <w:tcPr>
            <w:tcW w:w="3105" w:type="dxa"/>
            <w:tcBorders>
              <w:top w:val="double" w:sz="4" w:space="0" w:color="auto"/>
            </w:tcBorders>
          </w:tcPr>
          <w:p w:rsidR="00895990" w:rsidRPr="0068344E" w:rsidRDefault="00895990" w:rsidP="001C0EC4">
            <w:pPr>
              <w:spacing w:beforeLines="34" w:afterLines="34"/>
              <w:jc w:val="center"/>
              <w:rPr>
                <w:rFonts w:cs="Arial"/>
              </w:rPr>
            </w:pPr>
            <w:bookmarkStart w:id="9" w:name="OLE_LINK3"/>
            <w:bookmarkStart w:id="10" w:name="OLE_LINK4"/>
            <w:r w:rsidRPr="0068344E">
              <w:rPr>
                <w:rFonts w:cs="Arial"/>
              </w:rPr>
              <w:t xml:space="preserve">Estimate derived from MFS 1996 Report as per </w:t>
            </w:r>
            <w:bookmarkEnd w:id="9"/>
            <w:bookmarkEnd w:id="10"/>
            <w:r w:rsidRPr="0068344E">
              <w:rPr>
                <w:rFonts w:cs="Arial"/>
              </w:rPr>
              <w:t>the MFS 2009 Bridging Report</w:t>
            </w:r>
          </w:p>
        </w:tc>
      </w:tr>
      <w:tr w:rsidR="00895990" w:rsidRPr="0068344E">
        <w:tc>
          <w:tcPr>
            <w:tcW w:w="1421" w:type="dxa"/>
          </w:tcPr>
          <w:p w:rsidR="00895990" w:rsidRPr="0068344E" w:rsidRDefault="00895990" w:rsidP="001C0EC4">
            <w:pPr>
              <w:spacing w:beforeLines="34" w:afterLines="34"/>
              <w:jc w:val="center"/>
              <w:rPr>
                <w:rFonts w:cs="Arial"/>
              </w:rPr>
            </w:pPr>
            <w:r w:rsidRPr="0068344E">
              <w:rPr>
                <w:rFonts w:cs="Arial"/>
              </w:rPr>
              <w:t>Commercial</w:t>
            </w:r>
          </w:p>
        </w:tc>
        <w:tc>
          <w:tcPr>
            <w:tcW w:w="1217" w:type="dxa"/>
          </w:tcPr>
          <w:p w:rsidR="00895990" w:rsidRPr="0068344E" w:rsidRDefault="00895990" w:rsidP="001C0EC4">
            <w:pPr>
              <w:spacing w:beforeLines="34" w:afterLines="34"/>
              <w:jc w:val="center"/>
              <w:rPr>
                <w:rFonts w:cs="Arial"/>
              </w:rPr>
            </w:pPr>
            <w:r w:rsidRPr="0068344E">
              <w:rPr>
                <w:rFonts w:cs="Arial"/>
              </w:rPr>
              <w:t>2,621</w:t>
            </w:r>
          </w:p>
        </w:tc>
        <w:tc>
          <w:tcPr>
            <w:tcW w:w="1142" w:type="dxa"/>
          </w:tcPr>
          <w:p w:rsidR="00895990" w:rsidRPr="0068344E" w:rsidRDefault="00895990" w:rsidP="001C0EC4">
            <w:pPr>
              <w:spacing w:beforeLines="34" w:afterLines="34"/>
              <w:jc w:val="center"/>
              <w:rPr>
                <w:rFonts w:cs="Arial"/>
              </w:rPr>
            </w:pPr>
          </w:p>
        </w:tc>
        <w:tc>
          <w:tcPr>
            <w:tcW w:w="1755" w:type="dxa"/>
          </w:tcPr>
          <w:p w:rsidR="00895990" w:rsidRPr="0068344E" w:rsidRDefault="00895990" w:rsidP="001C0EC4">
            <w:pPr>
              <w:spacing w:beforeLines="34" w:afterLines="34"/>
              <w:jc w:val="center"/>
              <w:rPr>
                <w:rFonts w:cs="Arial"/>
              </w:rPr>
            </w:pPr>
            <w:r w:rsidRPr="0068344E">
              <w:rPr>
                <w:rFonts w:cs="Arial"/>
              </w:rPr>
              <w:t>(see total below)</w:t>
            </w:r>
          </w:p>
        </w:tc>
        <w:tc>
          <w:tcPr>
            <w:tcW w:w="3105" w:type="dxa"/>
          </w:tcPr>
          <w:p w:rsidR="00895990" w:rsidRPr="0068344E" w:rsidRDefault="00895990" w:rsidP="001C0EC4">
            <w:pPr>
              <w:spacing w:beforeLines="34" w:afterLines="34"/>
              <w:jc w:val="center"/>
              <w:rPr>
                <w:rFonts w:cs="Arial"/>
              </w:rPr>
            </w:pPr>
            <w:bookmarkStart w:id="11" w:name="OLE_LINK63"/>
            <w:r w:rsidRPr="0068344E">
              <w:rPr>
                <w:rFonts w:cs="Arial"/>
              </w:rPr>
              <w:t>$2,564 per easement = $</w:t>
            </w:r>
            <w:bookmarkEnd w:id="11"/>
            <w:r w:rsidRPr="0068344E">
              <w:rPr>
                <w:rFonts w:cs="Arial"/>
              </w:rPr>
              <w:t>6,720,244</w:t>
            </w:r>
          </w:p>
        </w:tc>
      </w:tr>
      <w:tr w:rsidR="00895990" w:rsidRPr="0068344E">
        <w:tc>
          <w:tcPr>
            <w:tcW w:w="1421" w:type="dxa"/>
          </w:tcPr>
          <w:p w:rsidR="00895990" w:rsidRPr="0068344E" w:rsidRDefault="00895990" w:rsidP="001C0EC4">
            <w:pPr>
              <w:spacing w:beforeLines="34" w:afterLines="34"/>
              <w:jc w:val="center"/>
              <w:rPr>
                <w:rFonts w:cs="Arial"/>
              </w:rPr>
            </w:pPr>
            <w:r w:rsidRPr="0068344E">
              <w:rPr>
                <w:rFonts w:cs="Arial"/>
              </w:rPr>
              <w:t>Metro</w:t>
            </w:r>
          </w:p>
        </w:tc>
        <w:tc>
          <w:tcPr>
            <w:tcW w:w="1217" w:type="dxa"/>
          </w:tcPr>
          <w:p w:rsidR="00895990" w:rsidRPr="0068344E" w:rsidRDefault="00895990" w:rsidP="001C0EC4">
            <w:pPr>
              <w:spacing w:beforeLines="34" w:afterLines="34"/>
              <w:jc w:val="center"/>
              <w:rPr>
                <w:rFonts w:cs="Arial"/>
              </w:rPr>
            </w:pPr>
            <w:r w:rsidRPr="0068344E">
              <w:rPr>
                <w:rFonts w:cs="Arial"/>
              </w:rPr>
              <w:t>5,508</w:t>
            </w:r>
          </w:p>
        </w:tc>
        <w:tc>
          <w:tcPr>
            <w:tcW w:w="1142" w:type="dxa"/>
          </w:tcPr>
          <w:p w:rsidR="00895990" w:rsidRPr="0068344E" w:rsidRDefault="00895990" w:rsidP="001C0EC4">
            <w:pPr>
              <w:spacing w:beforeLines="34" w:afterLines="34"/>
              <w:jc w:val="center"/>
              <w:rPr>
                <w:rFonts w:cs="Arial"/>
              </w:rPr>
            </w:pPr>
            <w:r w:rsidRPr="0068344E">
              <w:rPr>
                <w:rFonts w:cs="Arial"/>
              </w:rPr>
              <w:t>N/A</w:t>
            </w:r>
          </w:p>
        </w:tc>
        <w:tc>
          <w:tcPr>
            <w:tcW w:w="1755" w:type="dxa"/>
          </w:tcPr>
          <w:p w:rsidR="00895990" w:rsidRPr="0068344E" w:rsidRDefault="00895990" w:rsidP="001C0EC4">
            <w:pPr>
              <w:spacing w:beforeLines="34" w:afterLines="34"/>
              <w:jc w:val="center"/>
              <w:rPr>
                <w:rFonts w:cs="Arial"/>
              </w:rPr>
            </w:pPr>
            <w:r w:rsidRPr="0068344E">
              <w:rPr>
                <w:rFonts w:cs="Arial"/>
              </w:rPr>
              <w:t>(see total below)</w:t>
            </w:r>
          </w:p>
        </w:tc>
        <w:tc>
          <w:tcPr>
            <w:tcW w:w="3105" w:type="dxa"/>
          </w:tcPr>
          <w:p w:rsidR="00895990" w:rsidRPr="0068344E" w:rsidRDefault="00895990" w:rsidP="001C0EC4">
            <w:pPr>
              <w:spacing w:beforeLines="34" w:afterLines="34"/>
              <w:jc w:val="center"/>
              <w:rPr>
                <w:rFonts w:cs="Arial"/>
              </w:rPr>
            </w:pPr>
            <w:r w:rsidRPr="0068344E">
              <w:rPr>
                <w:rFonts w:cs="Arial"/>
              </w:rPr>
              <w:t>$2,564 per easement = $14,122,512</w:t>
            </w:r>
          </w:p>
        </w:tc>
      </w:tr>
      <w:tr w:rsidR="00895990" w:rsidRPr="0068344E">
        <w:tc>
          <w:tcPr>
            <w:tcW w:w="1421" w:type="dxa"/>
          </w:tcPr>
          <w:p w:rsidR="00895990" w:rsidRPr="0068344E" w:rsidRDefault="00895990" w:rsidP="001C0EC4">
            <w:pPr>
              <w:spacing w:beforeLines="34" w:afterLines="34"/>
              <w:jc w:val="center"/>
              <w:rPr>
                <w:rFonts w:cs="Arial"/>
              </w:rPr>
            </w:pPr>
            <w:r w:rsidRPr="0068344E">
              <w:rPr>
                <w:rFonts w:cs="Arial"/>
              </w:rPr>
              <w:t>Country</w:t>
            </w:r>
          </w:p>
        </w:tc>
        <w:tc>
          <w:tcPr>
            <w:tcW w:w="1217" w:type="dxa"/>
          </w:tcPr>
          <w:p w:rsidR="00895990" w:rsidRPr="0068344E" w:rsidRDefault="00895990" w:rsidP="001C0EC4">
            <w:pPr>
              <w:spacing w:beforeLines="34" w:afterLines="34"/>
              <w:jc w:val="center"/>
              <w:rPr>
                <w:rFonts w:cs="Arial"/>
              </w:rPr>
            </w:pPr>
            <w:r w:rsidRPr="0068344E">
              <w:rPr>
                <w:rFonts w:cs="Arial"/>
              </w:rPr>
              <w:t>398</w:t>
            </w:r>
          </w:p>
        </w:tc>
        <w:tc>
          <w:tcPr>
            <w:tcW w:w="1142" w:type="dxa"/>
          </w:tcPr>
          <w:p w:rsidR="00895990" w:rsidRPr="0068344E" w:rsidRDefault="00895990" w:rsidP="001C0EC4">
            <w:pPr>
              <w:spacing w:beforeLines="34" w:afterLines="34"/>
              <w:jc w:val="center"/>
              <w:rPr>
                <w:rFonts w:cs="Arial"/>
              </w:rPr>
            </w:pPr>
            <w:r w:rsidRPr="0068344E">
              <w:rPr>
                <w:rFonts w:cs="Arial"/>
              </w:rPr>
              <w:t>N/A</w:t>
            </w:r>
          </w:p>
        </w:tc>
        <w:tc>
          <w:tcPr>
            <w:tcW w:w="1755" w:type="dxa"/>
          </w:tcPr>
          <w:p w:rsidR="00895990" w:rsidRPr="0068344E" w:rsidRDefault="00895990" w:rsidP="001C0EC4">
            <w:pPr>
              <w:spacing w:beforeLines="34" w:afterLines="34"/>
              <w:jc w:val="center"/>
              <w:rPr>
                <w:rFonts w:cs="Arial"/>
              </w:rPr>
            </w:pPr>
            <w:r w:rsidRPr="0068344E">
              <w:rPr>
                <w:rFonts w:cs="Arial"/>
              </w:rPr>
              <w:t>(see total below)</w:t>
            </w:r>
          </w:p>
        </w:tc>
        <w:tc>
          <w:tcPr>
            <w:tcW w:w="3105" w:type="dxa"/>
          </w:tcPr>
          <w:p w:rsidR="00895990" w:rsidRPr="0068344E" w:rsidRDefault="00895990" w:rsidP="001C0EC4">
            <w:pPr>
              <w:spacing w:beforeLines="34" w:afterLines="34"/>
              <w:jc w:val="center"/>
              <w:rPr>
                <w:rFonts w:cs="Arial"/>
              </w:rPr>
            </w:pPr>
            <w:r w:rsidRPr="0068344E">
              <w:rPr>
                <w:rFonts w:cs="Arial"/>
              </w:rPr>
              <w:t>$2,052 per easement = $816,696</w:t>
            </w:r>
          </w:p>
        </w:tc>
      </w:tr>
      <w:tr w:rsidR="00895990" w:rsidRPr="0068344E">
        <w:tc>
          <w:tcPr>
            <w:tcW w:w="3780" w:type="dxa"/>
            <w:gridSpan w:val="3"/>
            <w:tcBorders>
              <w:bottom w:val="double" w:sz="4" w:space="0" w:color="auto"/>
            </w:tcBorders>
          </w:tcPr>
          <w:p w:rsidR="00895990" w:rsidRPr="004E7997" w:rsidRDefault="00895990" w:rsidP="001C0EC4">
            <w:pPr>
              <w:spacing w:beforeLines="34" w:afterLines="34"/>
              <w:jc w:val="center"/>
              <w:rPr>
                <w:rFonts w:cs="Arial"/>
                <w:b/>
              </w:rPr>
            </w:pPr>
            <w:r w:rsidRPr="004E7997">
              <w:rPr>
                <w:rFonts w:cs="Arial"/>
                <w:b/>
              </w:rPr>
              <w:t>Total</w:t>
            </w:r>
          </w:p>
        </w:tc>
        <w:tc>
          <w:tcPr>
            <w:tcW w:w="1755" w:type="dxa"/>
            <w:tcBorders>
              <w:bottom w:val="double" w:sz="4" w:space="0" w:color="auto"/>
            </w:tcBorders>
          </w:tcPr>
          <w:p w:rsidR="00895990" w:rsidRPr="0068344E" w:rsidRDefault="00895990" w:rsidP="001C0EC4">
            <w:pPr>
              <w:spacing w:beforeLines="34" w:afterLines="34"/>
              <w:jc w:val="center"/>
              <w:rPr>
                <w:rFonts w:cs="Arial"/>
              </w:rPr>
            </w:pPr>
            <w:r w:rsidRPr="0068344E">
              <w:rPr>
                <w:rFonts w:cs="Arial"/>
              </w:rPr>
              <w:t>$141,066</w:t>
            </w:r>
          </w:p>
        </w:tc>
        <w:tc>
          <w:tcPr>
            <w:tcW w:w="3105" w:type="dxa"/>
            <w:tcBorders>
              <w:bottom w:val="double" w:sz="4" w:space="0" w:color="auto"/>
            </w:tcBorders>
          </w:tcPr>
          <w:p w:rsidR="00895990" w:rsidRPr="0068344E" w:rsidRDefault="00895990" w:rsidP="001C0EC4">
            <w:pPr>
              <w:spacing w:beforeLines="34" w:afterLines="34"/>
              <w:jc w:val="center"/>
              <w:rPr>
                <w:rFonts w:cs="Arial"/>
              </w:rPr>
            </w:pPr>
            <w:r>
              <w:rPr>
                <w:rFonts w:cs="Arial"/>
              </w:rPr>
              <w:t>$21,659,452</w:t>
            </w:r>
          </w:p>
        </w:tc>
      </w:tr>
      <w:tr w:rsidR="00895990" w:rsidRPr="0068344E">
        <w:tc>
          <w:tcPr>
            <w:tcW w:w="1421" w:type="dxa"/>
            <w:tcBorders>
              <w:top w:val="double" w:sz="4" w:space="0" w:color="auto"/>
            </w:tcBorders>
          </w:tcPr>
          <w:p w:rsidR="00895990" w:rsidRPr="0068344E" w:rsidRDefault="00895990" w:rsidP="001C0EC4">
            <w:pPr>
              <w:spacing w:beforeLines="34" w:afterLines="34"/>
              <w:jc w:val="center"/>
              <w:rPr>
                <w:rFonts w:cs="Arial"/>
                <w:b/>
                <w:bCs/>
              </w:rPr>
            </w:pPr>
            <w:r w:rsidRPr="0068344E">
              <w:rPr>
                <w:rFonts w:cs="Arial"/>
                <w:b/>
                <w:bCs/>
              </w:rPr>
              <w:t>Category 3</w:t>
            </w:r>
          </w:p>
          <w:p w:rsidR="00895990" w:rsidRPr="0068344E" w:rsidRDefault="00895990" w:rsidP="001C0EC4">
            <w:pPr>
              <w:spacing w:beforeLines="34" w:afterLines="34"/>
              <w:jc w:val="center"/>
              <w:rPr>
                <w:rFonts w:cs="Arial"/>
              </w:rPr>
            </w:pPr>
            <w:r w:rsidRPr="0068344E">
              <w:rPr>
                <w:rFonts w:cs="Arial"/>
              </w:rPr>
              <w:t>Statutory easement for powerlines – subtype A</w:t>
            </w:r>
          </w:p>
        </w:tc>
        <w:tc>
          <w:tcPr>
            <w:tcW w:w="1217"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Actual</w:t>
            </w:r>
          </w:p>
        </w:tc>
        <w:tc>
          <w:tcPr>
            <w:tcW w:w="1142"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Estimate from sample</w:t>
            </w:r>
          </w:p>
        </w:tc>
        <w:tc>
          <w:tcPr>
            <w:tcW w:w="1755"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Actual</w:t>
            </w:r>
          </w:p>
        </w:tc>
        <w:tc>
          <w:tcPr>
            <w:tcW w:w="3105"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Estimate derived from MFS 1996 Report as per MFS 2009 Bridging Report</w:t>
            </w:r>
          </w:p>
        </w:tc>
      </w:tr>
      <w:tr w:rsidR="00895990" w:rsidRPr="0068344E">
        <w:tc>
          <w:tcPr>
            <w:tcW w:w="1421" w:type="dxa"/>
          </w:tcPr>
          <w:p w:rsidR="00895990" w:rsidRPr="0068344E" w:rsidRDefault="00895990" w:rsidP="001C0EC4">
            <w:pPr>
              <w:spacing w:beforeLines="34" w:afterLines="34"/>
              <w:jc w:val="center"/>
              <w:rPr>
                <w:rFonts w:cs="Arial"/>
              </w:rPr>
            </w:pPr>
            <w:r w:rsidRPr="0068344E">
              <w:rPr>
                <w:rFonts w:cs="Arial"/>
              </w:rPr>
              <w:t>Country</w:t>
            </w:r>
          </w:p>
        </w:tc>
        <w:tc>
          <w:tcPr>
            <w:tcW w:w="1217" w:type="dxa"/>
          </w:tcPr>
          <w:p w:rsidR="00895990" w:rsidRPr="0068344E" w:rsidRDefault="00895990" w:rsidP="001C0EC4">
            <w:pPr>
              <w:spacing w:beforeLines="34" w:afterLines="34"/>
              <w:jc w:val="center"/>
              <w:rPr>
                <w:rFonts w:cs="Arial"/>
              </w:rPr>
            </w:pPr>
            <w:r w:rsidRPr="0068344E">
              <w:rPr>
                <w:rFonts w:cs="Arial"/>
              </w:rPr>
              <w:t>17,269</w:t>
            </w:r>
          </w:p>
        </w:tc>
        <w:tc>
          <w:tcPr>
            <w:tcW w:w="1142" w:type="dxa"/>
          </w:tcPr>
          <w:p w:rsidR="00895990" w:rsidRPr="0068344E" w:rsidRDefault="00895990" w:rsidP="001C0EC4">
            <w:pPr>
              <w:spacing w:beforeLines="34" w:afterLines="34"/>
              <w:jc w:val="center"/>
              <w:rPr>
                <w:rFonts w:cs="Arial"/>
              </w:rPr>
            </w:pPr>
            <w:r w:rsidRPr="0068344E">
              <w:rPr>
                <w:rFonts w:cs="Arial"/>
              </w:rPr>
              <w:t>20,368</w:t>
            </w:r>
          </w:p>
        </w:tc>
        <w:tc>
          <w:tcPr>
            <w:tcW w:w="1755" w:type="dxa"/>
          </w:tcPr>
          <w:p w:rsidR="00895990" w:rsidRPr="0068344E" w:rsidRDefault="00895990" w:rsidP="001C0EC4">
            <w:pPr>
              <w:spacing w:beforeLines="34" w:afterLines="34"/>
              <w:jc w:val="center"/>
              <w:rPr>
                <w:rFonts w:cs="Arial"/>
              </w:rPr>
            </w:pPr>
            <w:r w:rsidRPr="0068344E">
              <w:rPr>
                <w:rFonts w:cs="Arial"/>
              </w:rPr>
              <w:t>$96,629</w:t>
            </w:r>
          </w:p>
        </w:tc>
        <w:tc>
          <w:tcPr>
            <w:tcW w:w="3105" w:type="dxa"/>
          </w:tcPr>
          <w:p w:rsidR="00895990" w:rsidRPr="0068344E" w:rsidRDefault="00895990" w:rsidP="001C0EC4">
            <w:pPr>
              <w:spacing w:beforeLines="34" w:afterLines="34"/>
              <w:jc w:val="center"/>
              <w:rPr>
                <w:rFonts w:cs="Arial"/>
              </w:rPr>
            </w:pPr>
            <w:r w:rsidRPr="0068344E">
              <w:rPr>
                <w:rFonts w:cs="Arial"/>
              </w:rPr>
              <w:t>$1,282 per easement / $872 per km = $39,899,754</w:t>
            </w:r>
          </w:p>
        </w:tc>
      </w:tr>
      <w:tr w:rsidR="00895990" w:rsidRPr="0068344E">
        <w:trPr>
          <w:trHeight w:val="480"/>
        </w:trPr>
        <w:tc>
          <w:tcPr>
            <w:tcW w:w="1421" w:type="dxa"/>
          </w:tcPr>
          <w:p w:rsidR="00895990" w:rsidRPr="0068344E" w:rsidRDefault="00895990" w:rsidP="001C0EC4">
            <w:pPr>
              <w:spacing w:beforeLines="34" w:afterLines="34"/>
              <w:jc w:val="center"/>
              <w:rPr>
                <w:rFonts w:cs="Arial"/>
              </w:rPr>
            </w:pPr>
            <w:r w:rsidRPr="0068344E">
              <w:rPr>
                <w:rFonts w:cs="Arial"/>
              </w:rPr>
              <w:t>Metro</w:t>
            </w:r>
          </w:p>
        </w:tc>
        <w:tc>
          <w:tcPr>
            <w:tcW w:w="1217" w:type="dxa"/>
          </w:tcPr>
          <w:p w:rsidR="00895990" w:rsidRPr="0068344E" w:rsidRDefault="00895990" w:rsidP="001C0EC4">
            <w:pPr>
              <w:spacing w:beforeLines="34" w:afterLines="34"/>
              <w:jc w:val="center"/>
              <w:rPr>
                <w:rFonts w:cs="Arial"/>
              </w:rPr>
            </w:pPr>
            <w:r w:rsidRPr="0068344E">
              <w:rPr>
                <w:rFonts w:cs="Arial"/>
              </w:rPr>
              <w:t>2,363</w:t>
            </w:r>
          </w:p>
        </w:tc>
        <w:tc>
          <w:tcPr>
            <w:tcW w:w="1142" w:type="dxa"/>
          </w:tcPr>
          <w:p w:rsidR="00895990" w:rsidRPr="0068344E" w:rsidRDefault="00895990" w:rsidP="001C0EC4">
            <w:pPr>
              <w:spacing w:beforeLines="34" w:afterLines="34"/>
              <w:jc w:val="center"/>
              <w:rPr>
                <w:rFonts w:cs="Arial"/>
              </w:rPr>
            </w:pPr>
            <w:r w:rsidRPr="0068344E">
              <w:rPr>
                <w:rFonts w:cs="Arial"/>
              </w:rPr>
              <w:t>1,813</w:t>
            </w:r>
          </w:p>
        </w:tc>
        <w:tc>
          <w:tcPr>
            <w:tcW w:w="1755" w:type="dxa"/>
          </w:tcPr>
          <w:p w:rsidR="00895990" w:rsidRPr="0068344E" w:rsidRDefault="00895990" w:rsidP="001C0EC4">
            <w:pPr>
              <w:spacing w:beforeLines="34" w:afterLines="34"/>
              <w:jc w:val="center"/>
              <w:rPr>
                <w:rFonts w:cs="Arial"/>
              </w:rPr>
            </w:pPr>
            <w:r w:rsidRPr="0068344E">
              <w:rPr>
                <w:rFonts w:cs="Arial"/>
              </w:rPr>
              <w:t>$22,850</w:t>
            </w:r>
          </w:p>
        </w:tc>
        <w:tc>
          <w:tcPr>
            <w:tcW w:w="3105" w:type="dxa"/>
            <w:vAlign w:val="center"/>
          </w:tcPr>
          <w:p w:rsidR="00895990" w:rsidRPr="0068344E" w:rsidRDefault="00895990" w:rsidP="001C0EC4">
            <w:pPr>
              <w:tabs>
                <w:tab w:val="left" w:pos="1620"/>
              </w:tabs>
              <w:spacing w:beforeLines="34" w:afterLines="34"/>
              <w:jc w:val="center"/>
              <w:rPr>
                <w:rFonts w:cs="Arial"/>
              </w:rPr>
            </w:pPr>
            <w:r w:rsidRPr="0068344E">
              <w:rPr>
                <w:rFonts w:cs="Arial"/>
              </w:rPr>
              <w:t>$1,282 per easement / $872 per km = $4,610,302</w:t>
            </w:r>
          </w:p>
        </w:tc>
      </w:tr>
      <w:tr w:rsidR="00895990" w:rsidRPr="0068344E">
        <w:trPr>
          <w:trHeight w:val="480"/>
        </w:trPr>
        <w:tc>
          <w:tcPr>
            <w:tcW w:w="3780" w:type="dxa"/>
            <w:gridSpan w:val="3"/>
            <w:tcBorders>
              <w:bottom w:val="double" w:sz="4" w:space="0" w:color="auto"/>
            </w:tcBorders>
          </w:tcPr>
          <w:p w:rsidR="00895990" w:rsidRPr="004E7997" w:rsidRDefault="00895990" w:rsidP="001C0EC4">
            <w:pPr>
              <w:spacing w:beforeLines="34" w:afterLines="34"/>
              <w:jc w:val="center"/>
              <w:rPr>
                <w:rFonts w:cs="Arial"/>
                <w:b/>
              </w:rPr>
            </w:pPr>
            <w:r>
              <w:rPr>
                <w:rFonts w:cs="Arial"/>
                <w:b/>
              </w:rPr>
              <w:t>Total</w:t>
            </w:r>
          </w:p>
        </w:tc>
        <w:tc>
          <w:tcPr>
            <w:tcW w:w="1755" w:type="dxa"/>
            <w:tcBorders>
              <w:bottom w:val="double" w:sz="4" w:space="0" w:color="auto"/>
            </w:tcBorders>
          </w:tcPr>
          <w:p w:rsidR="00895990" w:rsidRPr="0068344E" w:rsidRDefault="00895990" w:rsidP="001C0EC4">
            <w:pPr>
              <w:spacing w:beforeLines="34" w:afterLines="34"/>
              <w:jc w:val="center"/>
              <w:rPr>
                <w:rFonts w:cs="Arial"/>
              </w:rPr>
            </w:pPr>
            <w:r>
              <w:rPr>
                <w:rFonts w:cs="Arial"/>
              </w:rPr>
              <w:t>$119,479</w:t>
            </w:r>
          </w:p>
        </w:tc>
        <w:tc>
          <w:tcPr>
            <w:tcW w:w="3105" w:type="dxa"/>
            <w:tcBorders>
              <w:bottom w:val="double" w:sz="4" w:space="0" w:color="auto"/>
            </w:tcBorders>
            <w:vAlign w:val="center"/>
          </w:tcPr>
          <w:p w:rsidR="00895990" w:rsidRPr="0068344E" w:rsidRDefault="00895990" w:rsidP="001C0EC4">
            <w:pPr>
              <w:tabs>
                <w:tab w:val="left" w:pos="1620"/>
              </w:tabs>
              <w:spacing w:beforeLines="34" w:afterLines="34"/>
              <w:jc w:val="center"/>
              <w:rPr>
                <w:rFonts w:cs="Arial"/>
              </w:rPr>
            </w:pPr>
            <w:r>
              <w:rPr>
                <w:rFonts w:cs="Arial"/>
              </w:rPr>
              <w:t>$44,510,056</w:t>
            </w:r>
          </w:p>
        </w:tc>
      </w:tr>
      <w:tr w:rsidR="00895990" w:rsidRPr="0068344E">
        <w:trPr>
          <w:cantSplit/>
          <w:trHeight w:val="540"/>
        </w:trPr>
        <w:tc>
          <w:tcPr>
            <w:tcW w:w="1421" w:type="dxa"/>
            <w:tcBorders>
              <w:top w:val="double" w:sz="4" w:space="0" w:color="auto"/>
            </w:tcBorders>
          </w:tcPr>
          <w:p w:rsidR="00895990" w:rsidRPr="0068344E" w:rsidRDefault="00895990" w:rsidP="001C0EC4">
            <w:pPr>
              <w:spacing w:beforeLines="34" w:afterLines="34"/>
              <w:jc w:val="center"/>
              <w:rPr>
                <w:rFonts w:cs="Arial"/>
                <w:b/>
                <w:bCs/>
              </w:rPr>
            </w:pPr>
            <w:r w:rsidRPr="0068344E">
              <w:rPr>
                <w:rFonts w:cs="Arial"/>
                <w:b/>
                <w:bCs/>
              </w:rPr>
              <w:t>Category 4</w:t>
            </w:r>
          </w:p>
          <w:p w:rsidR="00895990" w:rsidRPr="0068344E" w:rsidRDefault="00895990" w:rsidP="001C0EC4">
            <w:pPr>
              <w:spacing w:beforeLines="34" w:afterLines="34"/>
              <w:jc w:val="center"/>
              <w:rPr>
                <w:rFonts w:cs="Arial"/>
              </w:rPr>
            </w:pPr>
            <w:r w:rsidRPr="0068344E">
              <w:rPr>
                <w:rFonts w:cs="Arial"/>
              </w:rPr>
              <w:t>Statutory easements for powerlines – subtype B</w:t>
            </w:r>
          </w:p>
        </w:tc>
        <w:tc>
          <w:tcPr>
            <w:tcW w:w="1217"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Actual</w:t>
            </w:r>
          </w:p>
        </w:tc>
        <w:tc>
          <w:tcPr>
            <w:tcW w:w="1142"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 xml:space="preserve">Estimate from sample </w:t>
            </w:r>
          </w:p>
        </w:tc>
        <w:tc>
          <w:tcPr>
            <w:tcW w:w="1755"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Actual</w:t>
            </w:r>
          </w:p>
        </w:tc>
        <w:tc>
          <w:tcPr>
            <w:tcW w:w="3105"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Estimate derived from MFS 1996 Report as per MFS 2009 Bridging Report</w:t>
            </w:r>
          </w:p>
        </w:tc>
      </w:tr>
      <w:tr w:rsidR="00895990" w:rsidRPr="0068344E">
        <w:tc>
          <w:tcPr>
            <w:tcW w:w="1421" w:type="dxa"/>
          </w:tcPr>
          <w:p w:rsidR="00895990" w:rsidRPr="0068344E" w:rsidRDefault="00895990" w:rsidP="001C0EC4">
            <w:pPr>
              <w:spacing w:beforeLines="34" w:afterLines="34"/>
              <w:jc w:val="center"/>
              <w:rPr>
                <w:rFonts w:cs="Arial"/>
              </w:rPr>
            </w:pPr>
            <w:r w:rsidRPr="0068344E">
              <w:rPr>
                <w:rFonts w:cs="Arial"/>
              </w:rPr>
              <w:t>Country</w:t>
            </w:r>
          </w:p>
        </w:tc>
        <w:tc>
          <w:tcPr>
            <w:tcW w:w="1217" w:type="dxa"/>
          </w:tcPr>
          <w:p w:rsidR="00895990" w:rsidRPr="0068344E" w:rsidRDefault="00895990" w:rsidP="001C0EC4">
            <w:pPr>
              <w:spacing w:beforeLines="34" w:afterLines="34"/>
              <w:jc w:val="center"/>
              <w:rPr>
                <w:rFonts w:cs="Arial"/>
              </w:rPr>
            </w:pPr>
            <w:r w:rsidRPr="0068344E">
              <w:rPr>
                <w:rFonts w:cs="Arial"/>
              </w:rPr>
              <w:t>8,187</w:t>
            </w:r>
          </w:p>
        </w:tc>
        <w:tc>
          <w:tcPr>
            <w:tcW w:w="1142" w:type="dxa"/>
          </w:tcPr>
          <w:p w:rsidR="00895990" w:rsidRPr="0068344E" w:rsidRDefault="00895990" w:rsidP="001C0EC4">
            <w:pPr>
              <w:spacing w:beforeLines="34" w:afterLines="34"/>
              <w:jc w:val="center"/>
              <w:rPr>
                <w:rFonts w:cs="Arial"/>
              </w:rPr>
            </w:pPr>
            <w:r w:rsidRPr="0068344E">
              <w:rPr>
                <w:rFonts w:cs="Arial"/>
              </w:rPr>
              <w:t>3,974</w:t>
            </w:r>
          </w:p>
        </w:tc>
        <w:tc>
          <w:tcPr>
            <w:tcW w:w="1755" w:type="dxa"/>
          </w:tcPr>
          <w:p w:rsidR="00895990" w:rsidRPr="0068344E" w:rsidRDefault="00895990" w:rsidP="001C0EC4">
            <w:pPr>
              <w:spacing w:beforeLines="34" w:afterLines="34"/>
              <w:jc w:val="center"/>
              <w:rPr>
                <w:rFonts w:cs="Arial"/>
              </w:rPr>
            </w:pPr>
            <w:r w:rsidRPr="0068344E">
              <w:rPr>
                <w:rFonts w:cs="Arial"/>
              </w:rPr>
              <w:t>$39,316</w:t>
            </w:r>
          </w:p>
        </w:tc>
        <w:tc>
          <w:tcPr>
            <w:tcW w:w="3105" w:type="dxa"/>
          </w:tcPr>
          <w:p w:rsidR="00895990" w:rsidRPr="0068344E" w:rsidRDefault="00895990" w:rsidP="001C0EC4">
            <w:pPr>
              <w:spacing w:beforeLines="34" w:afterLines="34"/>
              <w:jc w:val="center"/>
              <w:rPr>
                <w:rFonts w:cs="Arial"/>
              </w:rPr>
            </w:pPr>
            <w:r w:rsidRPr="0068344E">
              <w:rPr>
                <w:rFonts w:cs="Arial"/>
              </w:rPr>
              <w:t>$605 per easement / $872 per km = $8,418,463</w:t>
            </w:r>
          </w:p>
        </w:tc>
      </w:tr>
      <w:tr w:rsidR="00895990" w:rsidRPr="0068344E">
        <w:tc>
          <w:tcPr>
            <w:tcW w:w="1421" w:type="dxa"/>
          </w:tcPr>
          <w:p w:rsidR="00895990" w:rsidRPr="0068344E" w:rsidRDefault="00895990" w:rsidP="001C0EC4">
            <w:pPr>
              <w:spacing w:beforeLines="34" w:afterLines="34"/>
              <w:jc w:val="center"/>
              <w:rPr>
                <w:rFonts w:cs="Arial"/>
              </w:rPr>
            </w:pPr>
            <w:r w:rsidRPr="0068344E">
              <w:rPr>
                <w:rFonts w:cs="Arial"/>
              </w:rPr>
              <w:t>Metro</w:t>
            </w:r>
          </w:p>
        </w:tc>
        <w:tc>
          <w:tcPr>
            <w:tcW w:w="1217" w:type="dxa"/>
          </w:tcPr>
          <w:p w:rsidR="00895990" w:rsidRPr="0068344E" w:rsidRDefault="00895990" w:rsidP="001C0EC4">
            <w:pPr>
              <w:spacing w:beforeLines="34" w:afterLines="34"/>
              <w:jc w:val="center"/>
              <w:rPr>
                <w:rFonts w:cs="Arial"/>
              </w:rPr>
            </w:pPr>
            <w:r w:rsidRPr="0068344E">
              <w:rPr>
                <w:rFonts w:cs="Arial"/>
              </w:rPr>
              <w:t>2,803</w:t>
            </w:r>
          </w:p>
        </w:tc>
        <w:tc>
          <w:tcPr>
            <w:tcW w:w="1142" w:type="dxa"/>
          </w:tcPr>
          <w:p w:rsidR="00895990" w:rsidRPr="0068344E" w:rsidRDefault="00895990" w:rsidP="001C0EC4">
            <w:pPr>
              <w:spacing w:beforeLines="34" w:afterLines="34"/>
              <w:jc w:val="center"/>
              <w:rPr>
                <w:rFonts w:cs="Arial"/>
              </w:rPr>
            </w:pPr>
            <w:r w:rsidRPr="0068344E">
              <w:rPr>
                <w:rFonts w:cs="Arial"/>
              </w:rPr>
              <w:t>577</w:t>
            </w:r>
          </w:p>
        </w:tc>
        <w:tc>
          <w:tcPr>
            <w:tcW w:w="1755" w:type="dxa"/>
          </w:tcPr>
          <w:p w:rsidR="00895990" w:rsidRPr="0068344E" w:rsidRDefault="00895990" w:rsidP="001C0EC4">
            <w:pPr>
              <w:spacing w:beforeLines="34" w:afterLines="34"/>
              <w:jc w:val="center"/>
              <w:rPr>
                <w:rFonts w:cs="Arial"/>
              </w:rPr>
            </w:pPr>
            <w:r w:rsidRPr="0068344E">
              <w:rPr>
                <w:rFonts w:cs="Arial"/>
              </w:rPr>
              <w:t>$10,370</w:t>
            </w:r>
          </w:p>
        </w:tc>
        <w:tc>
          <w:tcPr>
            <w:tcW w:w="3105" w:type="dxa"/>
          </w:tcPr>
          <w:p w:rsidR="00895990" w:rsidRPr="0068344E" w:rsidRDefault="00895990" w:rsidP="001C0EC4">
            <w:pPr>
              <w:spacing w:beforeLines="34" w:afterLines="34"/>
              <w:jc w:val="center"/>
              <w:rPr>
                <w:rFonts w:cs="Arial"/>
              </w:rPr>
            </w:pPr>
            <w:r w:rsidRPr="0068344E">
              <w:rPr>
                <w:rFonts w:cs="Arial"/>
              </w:rPr>
              <w:t>$605 per easement / $872 per km = $2,198,959</w:t>
            </w:r>
          </w:p>
        </w:tc>
      </w:tr>
      <w:tr w:rsidR="00895990" w:rsidRPr="0068344E">
        <w:tc>
          <w:tcPr>
            <w:tcW w:w="3780" w:type="dxa"/>
            <w:gridSpan w:val="3"/>
            <w:tcBorders>
              <w:bottom w:val="double" w:sz="4" w:space="0" w:color="auto"/>
            </w:tcBorders>
          </w:tcPr>
          <w:p w:rsidR="00895990" w:rsidRPr="004E7997" w:rsidRDefault="00895990" w:rsidP="001C0EC4">
            <w:pPr>
              <w:spacing w:beforeLines="34" w:afterLines="34"/>
              <w:jc w:val="center"/>
              <w:rPr>
                <w:rFonts w:cs="Arial"/>
                <w:b/>
              </w:rPr>
            </w:pPr>
            <w:r w:rsidRPr="004E7997">
              <w:rPr>
                <w:rFonts w:cs="Arial"/>
                <w:b/>
              </w:rPr>
              <w:t>Total</w:t>
            </w:r>
          </w:p>
        </w:tc>
        <w:tc>
          <w:tcPr>
            <w:tcW w:w="1755" w:type="dxa"/>
            <w:tcBorders>
              <w:bottom w:val="double" w:sz="4" w:space="0" w:color="auto"/>
            </w:tcBorders>
          </w:tcPr>
          <w:p w:rsidR="00895990" w:rsidRPr="0068344E" w:rsidRDefault="00895990" w:rsidP="001C0EC4">
            <w:pPr>
              <w:spacing w:beforeLines="34" w:afterLines="34"/>
              <w:jc w:val="center"/>
              <w:rPr>
                <w:rFonts w:cs="Arial"/>
              </w:rPr>
            </w:pPr>
            <w:r>
              <w:rPr>
                <w:rFonts w:cs="Arial"/>
              </w:rPr>
              <w:t>$49,686</w:t>
            </w:r>
          </w:p>
        </w:tc>
        <w:tc>
          <w:tcPr>
            <w:tcW w:w="3105" w:type="dxa"/>
            <w:tcBorders>
              <w:bottom w:val="double" w:sz="4" w:space="0" w:color="auto"/>
            </w:tcBorders>
          </w:tcPr>
          <w:p w:rsidR="00895990" w:rsidRPr="0068344E" w:rsidRDefault="00895990" w:rsidP="001C0EC4">
            <w:pPr>
              <w:spacing w:beforeLines="34" w:afterLines="34"/>
              <w:jc w:val="center"/>
              <w:rPr>
                <w:rFonts w:cs="Arial"/>
              </w:rPr>
            </w:pPr>
            <w:r>
              <w:rPr>
                <w:rFonts w:cs="Arial"/>
              </w:rPr>
              <w:t>$10,617,422</w:t>
            </w:r>
          </w:p>
        </w:tc>
      </w:tr>
      <w:tr w:rsidR="00895990" w:rsidRPr="0068344E">
        <w:tc>
          <w:tcPr>
            <w:tcW w:w="1421" w:type="dxa"/>
            <w:tcBorders>
              <w:top w:val="double" w:sz="4" w:space="0" w:color="auto"/>
            </w:tcBorders>
          </w:tcPr>
          <w:p w:rsidR="00895990" w:rsidRPr="0068344E" w:rsidRDefault="00895990" w:rsidP="001C0EC4">
            <w:pPr>
              <w:spacing w:beforeLines="34" w:afterLines="34"/>
              <w:jc w:val="center"/>
              <w:rPr>
                <w:rFonts w:cs="Arial"/>
                <w:b/>
                <w:bCs/>
              </w:rPr>
            </w:pPr>
            <w:r w:rsidRPr="0068344E">
              <w:rPr>
                <w:rFonts w:cs="Arial"/>
                <w:b/>
                <w:bCs/>
              </w:rPr>
              <w:t>Category 5</w:t>
            </w:r>
          </w:p>
          <w:p w:rsidR="00895990" w:rsidRPr="0068344E" w:rsidRDefault="00895990" w:rsidP="001C0EC4">
            <w:pPr>
              <w:spacing w:beforeLines="34" w:afterLines="34"/>
              <w:jc w:val="center"/>
              <w:rPr>
                <w:rFonts w:cs="Arial"/>
              </w:rPr>
            </w:pPr>
            <w:r w:rsidRPr="0068344E">
              <w:rPr>
                <w:rFonts w:cs="Arial"/>
              </w:rPr>
              <w:t>Registered subdivision easements</w:t>
            </w:r>
          </w:p>
        </w:tc>
        <w:tc>
          <w:tcPr>
            <w:tcW w:w="1217"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Estimate</w:t>
            </w:r>
          </w:p>
          <w:p w:rsidR="00895990" w:rsidRPr="0068344E" w:rsidRDefault="00895990" w:rsidP="001C0EC4">
            <w:pPr>
              <w:spacing w:beforeLines="34" w:afterLines="34"/>
              <w:jc w:val="center"/>
              <w:rPr>
                <w:rFonts w:cs="Arial"/>
              </w:rPr>
            </w:pPr>
          </w:p>
        </w:tc>
        <w:tc>
          <w:tcPr>
            <w:tcW w:w="1142"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N/A</w:t>
            </w:r>
          </w:p>
        </w:tc>
        <w:tc>
          <w:tcPr>
            <w:tcW w:w="1755"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Not applicable</w:t>
            </w:r>
          </w:p>
        </w:tc>
        <w:tc>
          <w:tcPr>
            <w:tcW w:w="3105" w:type="dxa"/>
            <w:tcBorders>
              <w:top w:val="double" w:sz="4" w:space="0" w:color="auto"/>
            </w:tcBorders>
          </w:tcPr>
          <w:p w:rsidR="00895990" w:rsidRPr="0068344E" w:rsidRDefault="00895990" w:rsidP="001C0EC4">
            <w:pPr>
              <w:spacing w:beforeLines="34" w:afterLines="34"/>
              <w:jc w:val="center"/>
              <w:rPr>
                <w:rFonts w:cs="Arial"/>
              </w:rPr>
            </w:pPr>
            <w:r w:rsidRPr="0068344E">
              <w:rPr>
                <w:rFonts w:cs="Arial"/>
              </w:rPr>
              <w:t>Actual costs of review and approval of plan of land division by ETSA – flat charge of $562 per plan and $20 per lot.</w:t>
            </w:r>
          </w:p>
        </w:tc>
      </w:tr>
      <w:tr w:rsidR="00895990" w:rsidRPr="0068344E">
        <w:tc>
          <w:tcPr>
            <w:tcW w:w="1421" w:type="dxa"/>
          </w:tcPr>
          <w:p w:rsidR="00895990" w:rsidRPr="0068344E" w:rsidRDefault="00895990" w:rsidP="001C0EC4">
            <w:pPr>
              <w:spacing w:beforeLines="34" w:afterLines="34"/>
              <w:jc w:val="center"/>
              <w:rPr>
                <w:rFonts w:cs="Arial"/>
              </w:rPr>
            </w:pPr>
            <w:r w:rsidRPr="0068344E">
              <w:rPr>
                <w:rFonts w:cs="Arial"/>
              </w:rPr>
              <w:t>Subdivision</w:t>
            </w:r>
          </w:p>
        </w:tc>
        <w:tc>
          <w:tcPr>
            <w:tcW w:w="1217" w:type="dxa"/>
          </w:tcPr>
          <w:p w:rsidR="00895990" w:rsidRPr="0068344E" w:rsidRDefault="00895990" w:rsidP="001C0EC4">
            <w:pPr>
              <w:spacing w:beforeLines="34" w:afterLines="34"/>
              <w:jc w:val="center"/>
              <w:rPr>
                <w:rFonts w:cs="Arial"/>
              </w:rPr>
            </w:pPr>
            <w:r w:rsidRPr="0068344E">
              <w:rPr>
                <w:rFonts w:cs="Arial"/>
              </w:rPr>
              <w:t>3217</w:t>
            </w:r>
          </w:p>
        </w:tc>
        <w:tc>
          <w:tcPr>
            <w:tcW w:w="1142" w:type="dxa"/>
          </w:tcPr>
          <w:p w:rsidR="00895990" w:rsidRPr="0068344E" w:rsidRDefault="00895990" w:rsidP="001C0EC4">
            <w:pPr>
              <w:spacing w:beforeLines="34" w:afterLines="34"/>
              <w:jc w:val="center"/>
              <w:rPr>
                <w:rFonts w:cs="Arial"/>
              </w:rPr>
            </w:pPr>
          </w:p>
          <w:p w:rsidR="00895990" w:rsidRPr="0068344E" w:rsidRDefault="00895990" w:rsidP="001C0EC4">
            <w:pPr>
              <w:spacing w:beforeLines="34" w:afterLines="34"/>
              <w:jc w:val="center"/>
              <w:rPr>
                <w:rFonts w:cs="Arial"/>
              </w:rPr>
            </w:pPr>
            <w:r w:rsidRPr="0068344E">
              <w:rPr>
                <w:rFonts w:cs="Arial"/>
              </w:rPr>
              <w:t>-</w:t>
            </w:r>
          </w:p>
        </w:tc>
        <w:tc>
          <w:tcPr>
            <w:tcW w:w="1755" w:type="dxa"/>
          </w:tcPr>
          <w:p w:rsidR="00895990" w:rsidRPr="0068344E" w:rsidRDefault="00895990" w:rsidP="001C0EC4">
            <w:pPr>
              <w:spacing w:beforeLines="34" w:afterLines="34"/>
              <w:jc w:val="center"/>
              <w:rPr>
                <w:rFonts w:cs="Arial"/>
              </w:rPr>
            </w:pPr>
          </w:p>
          <w:p w:rsidR="00895990" w:rsidRPr="0068344E" w:rsidRDefault="00895990" w:rsidP="001C0EC4">
            <w:pPr>
              <w:spacing w:beforeLines="34" w:afterLines="34"/>
              <w:jc w:val="center"/>
              <w:rPr>
                <w:rFonts w:cs="Arial"/>
              </w:rPr>
            </w:pPr>
            <w:r w:rsidRPr="0068344E">
              <w:rPr>
                <w:rFonts w:cs="Arial"/>
              </w:rPr>
              <w:t>-</w:t>
            </w:r>
          </w:p>
        </w:tc>
        <w:tc>
          <w:tcPr>
            <w:tcW w:w="3105" w:type="dxa"/>
          </w:tcPr>
          <w:p w:rsidR="00895990" w:rsidRPr="0068344E" w:rsidRDefault="00895990" w:rsidP="001C0EC4">
            <w:pPr>
              <w:spacing w:beforeLines="34" w:afterLines="34"/>
              <w:jc w:val="center"/>
              <w:rPr>
                <w:rFonts w:cs="Arial"/>
              </w:rPr>
            </w:pPr>
            <w:r w:rsidRPr="0068344E">
              <w:rPr>
                <w:rFonts w:cs="Arial"/>
              </w:rPr>
              <w:t>$562 per plan + $20 per lot applied to 3217 plans and an estimated 36.5 lots per plan = $4,156,364</w:t>
            </w:r>
          </w:p>
        </w:tc>
      </w:tr>
      <w:tr w:rsidR="00895990" w:rsidRPr="0068344E" w:rsidTr="0089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0" w:type="dxa"/>
            <w:gridSpan w:val="3"/>
          </w:tcPr>
          <w:p w:rsidR="00895990" w:rsidRPr="00C1193B" w:rsidRDefault="00895990" w:rsidP="001C0EC4">
            <w:pPr>
              <w:spacing w:beforeLines="34" w:afterLines="34"/>
              <w:jc w:val="center"/>
              <w:rPr>
                <w:rFonts w:cs="Arial"/>
                <w:b/>
              </w:rPr>
            </w:pPr>
            <w:r>
              <w:rPr>
                <w:rFonts w:cs="Arial"/>
                <w:b/>
              </w:rPr>
              <w:t>Total</w:t>
            </w:r>
          </w:p>
        </w:tc>
        <w:tc>
          <w:tcPr>
            <w:tcW w:w="1755" w:type="dxa"/>
          </w:tcPr>
          <w:p w:rsidR="00895990" w:rsidRPr="0068344E" w:rsidRDefault="00895990" w:rsidP="001C0EC4">
            <w:pPr>
              <w:spacing w:beforeLines="34" w:afterLines="34"/>
              <w:jc w:val="center"/>
              <w:rPr>
                <w:rFonts w:cs="Arial"/>
              </w:rPr>
            </w:pPr>
            <w:r>
              <w:rPr>
                <w:rFonts w:cs="Arial"/>
              </w:rPr>
              <w:t>-</w:t>
            </w:r>
          </w:p>
        </w:tc>
        <w:tc>
          <w:tcPr>
            <w:tcW w:w="3105" w:type="dxa"/>
          </w:tcPr>
          <w:p w:rsidR="00895990" w:rsidRPr="0068344E" w:rsidRDefault="00895990" w:rsidP="001C0EC4">
            <w:pPr>
              <w:spacing w:beforeLines="34" w:afterLines="34"/>
              <w:jc w:val="center"/>
              <w:rPr>
                <w:rFonts w:cs="Arial"/>
              </w:rPr>
            </w:pPr>
            <w:r w:rsidRPr="0068344E">
              <w:rPr>
                <w:rFonts w:cs="Arial"/>
              </w:rPr>
              <w:t>$4,156,364</w:t>
            </w:r>
          </w:p>
        </w:tc>
      </w:tr>
      <w:tr w:rsidR="00895990" w:rsidRPr="0068344E">
        <w:tc>
          <w:tcPr>
            <w:tcW w:w="5535" w:type="dxa"/>
            <w:gridSpan w:val="4"/>
            <w:tcBorders>
              <w:top w:val="double" w:sz="4" w:space="0" w:color="auto"/>
              <w:bottom w:val="double" w:sz="4" w:space="0" w:color="auto"/>
            </w:tcBorders>
          </w:tcPr>
          <w:p w:rsidR="00895990" w:rsidRDefault="00895990" w:rsidP="001C0EC4">
            <w:pPr>
              <w:spacing w:beforeLines="34" w:afterLines="34"/>
              <w:jc w:val="center"/>
              <w:rPr>
                <w:rFonts w:cs="Arial"/>
                <w:b/>
              </w:rPr>
            </w:pPr>
            <w:r w:rsidRPr="002C325D">
              <w:rPr>
                <w:rFonts w:cs="Arial"/>
                <w:b/>
              </w:rPr>
              <w:t xml:space="preserve">Total compensation and acquisition costs </w:t>
            </w:r>
          </w:p>
          <w:p w:rsidR="00895990" w:rsidRPr="002C325D" w:rsidRDefault="00895990" w:rsidP="001C0EC4">
            <w:pPr>
              <w:spacing w:beforeLines="34" w:afterLines="34"/>
              <w:jc w:val="center"/>
              <w:rPr>
                <w:rFonts w:cs="Arial"/>
                <w:b/>
              </w:rPr>
            </w:pPr>
            <w:r w:rsidRPr="002C325D">
              <w:rPr>
                <w:rFonts w:cs="Arial"/>
                <w:b/>
              </w:rPr>
              <w:t>as at 1 July 1999</w:t>
            </w:r>
          </w:p>
        </w:tc>
        <w:tc>
          <w:tcPr>
            <w:tcW w:w="3105" w:type="dxa"/>
            <w:tcBorders>
              <w:top w:val="double" w:sz="4" w:space="0" w:color="auto"/>
              <w:bottom w:val="double" w:sz="4" w:space="0" w:color="auto"/>
            </w:tcBorders>
          </w:tcPr>
          <w:p w:rsidR="00895990" w:rsidRPr="002C325D" w:rsidRDefault="00895990" w:rsidP="001C0EC4">
            <w:pPr>
              <w:spacing w:beforeLines="34" w:afterLines="34"/>
              <w:jc w:val="center"/>
              <w:rPr>
                <w:rFonts w:cs="Arial"/>
                <w:b/>
              </w:rPr>
            </w:pPr>
            <w:r w:rsidRPr="002C325D">
              <w:rPr>
                <w:rFonts w:cs="Arial"/>
                <w:b/>
              </w:rPr>
              <w:t>$101,921,892</w:t>
            </w:r>
          </w:p>
        </w:tc>
      </w:tr>
      <w:tr w:rsidR="00895990" w:rsidRPr="0068344E">
        <w:tc>
          <w:tcPr>
            <w:tcW w:w="5535" w:type="dxa"/>
            <w:gridSpan w:val="4"/>
            <w:tcBorders>
              <w:top w:val="double" w:sz="4" w:space="0" w:color="auto"/>
            </w:tcBorders>
          </w:tcPr>
          <w:p w:rsidR="00895990" w:rsidRDefault="00895990" w:rsidP="001C0EC4">
            <w:pPr>
              <w:spacing w:beforeLines="34" w:afterLines="34"/>
              <w:jc w:val="center"/>
              <w:rPr>
                <w:rFonts w:cs="Arial"/>
                <w:b/>
              </w:rPr>
            </w:pPr>
            <w:r>
              <w:rPr>
                <w:rFonts w:cs="Arial"/>
                <w:b/>
              </w:rPr>
              <w:t xml:space="preserve">Total compensation and acquisition costs </w:t>
            </w:r>
          </w:p>
          <w:p w:rsidR="00895990" w:rsidRPr="002C325D" w:rsidRDefault="00895990" w:rsidP="001C0EC4">
            <w:pPr>
              <w:spacing w:beforeLines="34" w:afterLines="34"/>
              <w:jc w:val="center"/>
              <w:rPr>
                <w:rFonts w:cs="Arial"/>
                <w:b/>
              </w:rPr>
            </w:pPr>
            <w:r>
              <w:rPr>
                <w:rFonts w:cs="Arial"/>
                <w:b/>
              </w:rPr>
              <w:t>as at 1 July 2005</w:t>
            </w:r>
          </w:p>
        </w:tc>
        <w:tc>
          <w:tcPr>
            <w:tcW w:w="3105" w:type="dxa"/>
            <w:tcBorders>
              <w:top w:val="double" w:sz="4" w:space="0" w:color="auto"/>
            </w:tcBorders>
          </w:tcPr>
          <w:p w:rsidR="00895990" w:rsidRPr="002C325D" w:rsidRDefault="00895990" w:rsidP="001C0EC4">
            <w:pPr>
              <w:spacing w:beforeLines="34" w:afterLines="34"/>
              <w:jc w:val="center"/>
              <w:rPr>
                <w:rFonts w:cs="Arial"/>
                <w:b/>
              </w:rPr>
            </w:pPr>
            <w:r w:rsidRPr="002C325D">
              <w:rPr>
                <w:rFonts w:cs="Arial"/>
                <w:b/>
              </w:rPr>
              <w:t>$123,427,569</w:t>
            </w:r>
          </w:p>
        </w:tc>
      </w:tr>
      <w:tr w:rsidR="00895990" w:rsidRPr="0068344E">
        <w:tc>
          <w:tcPr>
            <w:tcW w:w="5535" w:type="dxa"/>
            <w:gridSpan w:val="4"/>
            <w:tcBorders>
              <w:bottom w:val="double" w:sz="4" w:space="0" w:color="auto"/>
            </w:tcBorders>
          </w:tcPr>
          <w:p w:rsidR="00895990" w:rsidRPr="002C325D" w:rsidRDefault="00895990" w:rsidP="001C0EC4">
            <w:pPr>
              <w:spacing w:beforeLines="34" w:afterLines="34"/>
              <w:jc w:val="center"/>
              <w:rPr>
                <w:rFonts w:cs="Arial"/>
                <w:b/>
              </w:rPr>
            </w:pPr>
            <w:r w:rsidRPr="002C325D">
              <w:rPr>
                <w:rFonts w:cs="Arial"/>
                <w:b/>
              </w:rPr>
              <w:t>Less $6 million indexed to 1 July 2005</w:t>
            </w:r>
          </w:p>
        </w:tc>
        <w:tc>
          <w:tcPr>
            <w:tcW w:w="3105" w:type="dxa"/>
            <w:tcBorders>
              <w:bottom w:val="double" w:sz="4" w:space="0" w:color="auto"/>
            </w:tcBorders>
          </w:tcPr>
          <w:p w:rsidR="00895990" w:rsidRPr="002C325D" w:rsidRDefault="00895990" w:rsidP="001C0EC4">
            <w:pPr>
              <w:spacing w:beforeLines="34" w:afterLines="34"/>
              <w:jc w:val="center"/>
              <w:rPr>
                <w:rFonts w:cs="Arial"/>
                <w:b/>
              </w:rPr>
            </w:pPr>
            <w:r w:rsidRPr="002C325D">
              <w:rPr>
                <w:rFonts w:cs="Arial"/>
                <w:b/>
              </w:rPr>
              <w:t>$116,</w:t>
            </w:r>
            <w:r>
              <w:rPr>
                <w:rFonts w:cs="Arial"/>
                <w:b/>
              </w:rPr>
              <w:t>161</w:t>
            </w:r>
            <w:r w:rsidRPr="002C325D">
              <w:rPr>
                <w:rFonts w:cs="Arial"/>
                <w:b/>
              </w:rPr>
              <w:t>,569</w:t>
            </w:r>
          </w:p>
        </w:tc>
      </w:tr>
    </w:tbl>
    <w:p w:rsidR="00895990" w:rsidRDefault="00895990" w:rsidP="00300131">
      <w:pPr>
        <w:pStyle w:val="ParaNumbering"/>
      </w:pPr>
      <w:r>
        <w:t xml:space="preserve">Questions arose as to the legislative context, including questions concerning the relationship between the </w:t>
      </w:r>
      <w:r w:rsidRPr="00640DAC">
        <w:rPr>
          <w:i/>
        </w:rPr>
        <w:t xml:space="preserve">National Electricity (South </w:t>
      </w:r>
      <w:smartTag w:uri="urn:schemas-microsoft-com:office:smarttags" w:element="place">
        <w:smartTag w:uri="urn:schemas-microsoft-com:office:smarttags" w:element="country-region">
          <w:r w:rsidRPr="00640DAC">
            <w:rPr>
              <w:i/>
            </w:rPr>
            <w:t>Australia</w:t>
          </w:r>
        </w:smartTag>
      </w:smartTag>
      <w:r w:rsidRPr="00640DAC">
        <w:rPr>
          <w:i/>
        </w:rPr>
        <w:t>) Act 1996</w:t>
      </w:r>
      <w:r>
        <w:t xml:space="preserve"> (SA), the EPO, the NEL, the National Electricity Code which applied before 1 July 2005 (‘Code’) and the Rules.  </w:t>
      </w:r>
    </w:p>
    <w:p w:rsidR="00895990" w:rsidRDefault="00895990" w:rsidP="00300131">
      <w:pPr>
        <w:pStyle w:val="ParaNumbering"/>
      </w:pPr>
      <w:r>
        <w:t>An important threshold legal issue which arises in the context of these enactments and instruments is:</w:t>
      </w:r>
    </w:p>
    <w:p w:rsidR="00895990" w:rsidRPr="00A70C69" w:rsidRDefault="00895990" w:rsidP="00300131">
      <w:pPr>
        <w:pStyle w:val="Quote1"/>
      </w:pPr>
      <w:r w:rsidRPr="00A70C69">
        <w:t>Did the AER have power under clause 7.3 of the EPO to make any adjustment to ETSA</w:t>
      </w:r>
      <w:r>
        <w:t>’s</w:t>
      </w:r>
      <w:r w:rsidRPr="00A70C69">
        <w:t xml:space="preserve">  opening RAB as at 1 July 2005 in December 2004 dollars of $2,466m set out in the table in clause S6.2.1(c)(1) of the Rules?</w:t>
      </w:r>
    </w:p>
    <w:p w:rsidR="00895990" w:rsidRDefault="00895990" w:rsidP="00300131">
      <w:pPr>
        <w:pStyle w:val="ParaNumbering"/>
      </w:pPr>
      <w:r>
        <w:t>The AER acknowledged</w:t>
      </w:r>
      <w:r w:rsidRPr="00300131">
        <w:t xml:space="preserve"> that (assuming it had power to consider the relevant easements), it </w:t>
      </w:r>
      <w:r>
        <w:t xml:space="preserve">was </w:t>
      </w:r>
      <w:r w:rsidRPr="00300131">
        <w:t xml:space="preserve">open to the Tribunal to conclude that the AER incorrectly exercised its discretion in deciding not to consider in detail the valuation of the relevant easements submitted to it by the </w:t>
      </w:r>
      <w:r>
        <w:t>ETSA</w:t>
      </w:r>
      <w:r w:rsidRPr="00300131">
        <w:t>.</w:t>
      </w:r>
    </w:p>
    <w:p w:rsidR="00895990" w:rsidRDefault="00895990" w:rsidP="00300131">
      <w:pPr>
        <w:pStyle w:val="ParaNumbering"/>
      </w:pPr>
      <w:r>
        <w:t xml:space="preserve">Notwithstanding the AER’s acceptance in the final decision of the proposition that cl 7.3(b)(iv) of the EPO conferred discretionary power on the AER to adjust ETSA’s RAB, the question whether cl 7.3(b) confers power to modify the RAB value specified in the Rules remained to be determined by the Tribunal for itself in this review proceeding.  </w:t>
      </w:r>
    </w:p>
    <w:p w:rsidR="00895990" w:rsidRDefault="00895990" w:rsidP="00300131">
      <w:pPr>
        <w:pStyle w:val="ParaNumbering"/>
      </w:pPr>
      <w:r>
        <w:t>Unless the Tribunal was satisfied that cl 7.3(b) is enlivened, the Tribunal could not proceed to determine the existence of any ground of review in relation to the AER’s conclusions on the relevant easements, or to make its own determination in lieu of the AER’s conclusion on this matter.</w:t>
      </w:r>
    </w:p>
    <w:p w:rsidR="00895990" w:rsidRDefault="00895990" w:rsidP="00300131">
      <w:pPr>
        <w:pStyle w:val="ParaNumbering"/>
      </w:pPr>
      <w:r>
        <w:t>The Tribunal has had the advantage of detailed submissions on this threshold legal question by the AER.  The following short summary does not do justice to the very well considered submissions.  However, the Tribunal is clearly of the view that the AER had powers of adjustment of the opening RAB under cl 7.3 of the EPO.</w:t>
      </w:r>
    </w:p>
    <w:p w:rsidR="00895990" w:rsidRDefault="00895990" w:rsidP="00300131">
      <w:pPr>
        <w:pStyle w:val="ParaNumbering"/>
      </w:pPr>
      <w:r>
        <w:t>This conclusion depends on whether the “context otherwise requires” for the purposes of cl 7 of Sch 3 to the NEL in its application to cl 1.11 of the EPO, so that the presumption in cl 7 should not be applied.  If the context does not otherwise require, the effect of cl 7 is that the reference to the Code in cl 1.11 of the EPO will be taken to be a reference to the Rules, and the result of this construction will be that the AER (and the Tribunal) is required by cl S6.2.1(c)(1) of the Rules to apply the specified opening RAB as at 1 July 2005 to ETSA, and has no discretion in the matter.  To the extent that cl 7.3 of the EPO might be inconsistent with cl S6.2.1(c)(1) of the Rules, cl 1.11 of the EPO makes it clear that the Rules must be applied.</w:t>
      </w:r>
    </w:p>
    <w:p w:rsidR="00895990" w:rsidRDefault="00895990" w:rsidP="00300131">
      <w:pPr>
        <w:pStyle w:val="ParaNumbering"/>
      </w:pPr>
      <w:r>
        <w:t xml:space="preserve">That the context “otherwise requires” is to be found in the fact that after the Rules had commenced, various provisions of the </w:t>
      </w:r>
      <w:r w:rsidRPr="00F742B2">
        <w:rPr>
          <w:i/>
        </w:rPr>
        <w:t>Electricity Act 1996</w:t>
      </w:r>
      <w:r>
        <w:t xml:space="preserve"> (SA) were amended to change references to the Code into references to the Rules (such as in s 35A), but the provision under which the EPO had been made, (s 35B(1)), was not similarly amended and was retained in its earlier form, referring to the “Code”.  </w:t>
      </w:r>
    </w:p>
    <w:p w:rsidR="00895990" w:rsidRDefault="00895990" w:rsidP="00300131">
      <w:pPr>
        <w:pStyle w:val="ParaNumbering"/>
      </w:pPr>
      <w:r>
        <w:t xml:space="preserve">As the AER submits the relevant question is whether, as at 1 July 2005 upon the replacement of the old National Electricity Law by the NEL, and upon the “remaking” of the Code in the form of the Rules, the context of cl 1.11 of the EPO “otherwise required”.  </w:t>
      </w:r>
    </w:p>
    <w:p w:rsidR="00895990" w:rsidRDefault="00895990" w:rsidP="00300131">
      <w:pPr>
        <w:pStyle w:val="ParaNumbering"/>
      </w:pPr>
      <w:r>
        <w:t xml:space="preserve">Although the amendments to the </w:t>
      </w:r>
      <w:r w:rsidRPr="00F742B2">
        <w:rPr>
          <w:i/>
        </w:rPr>
        <w:t>Electricity Act 1996</w:t>
      </w:r>
      <w:r>
        <w:t xml:space="preserve"> (SA) came into force more than two years after the commencement of the NEL and the Rules, on 1 September 2007, nevertheless the selective amendment of references to the Code other than in s 35B(1) of that Act supports the conclusion that cl 1.11 of the EPO was intended to subordinate the EPO only to the Code, and not also to the Rules.</w:t>
      </w:r>
    </w:p>
    <w:p w:rsidR="00895990" w:rsidRDefault="00895990" w:rsidP="00300131">
      <w:pPr>
        <w:pStyle w:val="ParaNumbering"/>
      </w:pPr>
      <w:r>
        <w:t>Therefore, the Tribunal is of the view that the AER did have a discretion in the matter.</w:t>
      </w:r>
    </w:p>
    <w:p w:rsidR="00895990" w:rsidRDefault="00895990" w:rsidP="00F742B2">
      <w:pPr>
        <w:pStyle w:val="ParaNumbering"/>
      </w:pPr>
      <w:r>
        <w:t>As stated in the AER’s final decision at page 35, the AER did not consider the valuation submitted by ETSA in detail, instead adopting ESCOSA’s decision in favour of the $6m value.  The Tribunal finds that the AER’s decision not to consider the valuation in detail was an incorrect exercise of discretion because:</w:t>
      </w:r>
    </w:p>
    <w:p w:rsidR="00895990" w:rsidRDefault="00895990" w:rsidP="00F742B2">
      <w:pPr>
        <w:pStyle w:val="ListNo"/>
        <w:numPr>
          <w:ilvl w:val="3"/>
          <w:numId w:val="42"/>
        </w:numPr>
        <w:tabs>
          <w:tab w:val="clear" w:pos="2880"/>
        </w:tabs>
        <w:ind w:left="709" w:hanging="709"/>
      </w:pPr>
      <w:r>
        <w:t>the origin of the $6m figure showed it to be only a partial value of the relevant easements; and</w:t>
      </w:r>
    </w:p>
    <w:p w:rsidR="00895990" w:rsidRDefault="00895990" w:rsidP="00F742B2">
      <w:pPr>
        <w:pStyle w:val="ListNo"/>
        <w:numPr>
          <w:ilvl w:val="3"/>
          <w:numId w:val="42"/>
        </w:numPr>
        <w:tabs>
          <w:tab w:val="clear" w:pos="2880"/>
        </w:tabs>
        <w:ind w:left="709" w:hanging="709"/>
      </w:pPr>
      <w:r>
        <w:t>ESCOSA’s analysis had been largely responsive to the deprival valuation methodology advanced by ETSA at the time, whereas ETSA is now advancing a valuation based on what it claims to be an IHC methodology.</w:t>
      </w:r>
    </w:p>
    <w:p w:rsidR="00895990" w:rsidRDefault="00895990" w:rsidP="00F742B2">
      <w:pPr>
        <w:pStyle w:val="ParaNumbering"/>
      </w:pPr>
      <w:r>
        <w:t>Having concluded as above, the Tribunal considered it appropriate to make the directions it did as set out above.  This would allow a proper assessment to be made by the Tribunal.  There is no question that upon forming the view that a ground of review had been established for the purposes of s 71R(3) of the NEL, that the Tribunal had the power to so direct and consider any report filed and served by the AER and any submissions made by ETSA.</w:t>
      </w:r>
    </w:p>
    <w:p w:rsidR="00895990" w:rsidRDefault="00895990" w:rsidP="00976690">
      <w:pPr>
        <w:pStyle w:val="ParaNumbering"/>
        <w:numPr>
          <w:ilvl w:val="0"/>
          <w:numId w:val="0"/>
        </w:numPr>
        <w:ind w:left="-720"/>
      </w:pPr>
      <w:r>
        <w:br w:type="page"/>
      </w:r>
    </w:p>
    <w:p w:rsidR="00895990" w:rsidRDefault="00895990">
      <w:pPr>
        <w:suppressAutoHyphens/>
      </w:pPr>
      <w:bookmarkStart w:id="12" w:name="Certification"/>
    </w:p>
    <w:tbl>
      <w:tblPr>
        <w:tblW w:w="0" w:type="auto"/>
        <w:tblLayout w:type="fixed"/>
        <w:tblLook w:val="0000"/>
      </w:tblPr>
      <w:tblGrid>
        <w:gridCol w:w="3691"/>
      </w:tblGrid>
      <w:tr w:rsidR="00895990">
        <w:tblPrEx>
          <w:tblCellMar>
            <w:top w:w="0" w:type="dxa"/>
            <w:bottom w:w="0" w:type="dxa"/>
          </w:tblCellMar>
        </w:tblPrEx>
        <w:tc>
          <w:tcPr>
            <w:tcW w:w="3799" w:type="dxa"/>
          </w:tcPr>
          <w:p w:rsidR="00895990" w:rsidRDefault="00895990">
            <w:pPr>
              <w:pStyle w:val="Certify"/>
            </w:pPr>
            <w:r w:rsidRPr="00161FFC">
              <w:t xml:space="preserve">I certify that the preceding </w:t>
            </w:r>
            <w:bookmarkStart w:id="13" w:name="NumberWord"/>
            <w:r>
              <w:t>thirty-three</w:t>
            </w:r>
            <w:bookmarkEnd w:id="13"/>
            <w:r w:rsidRPr="00161FFC">
              <w:t xml:space="preserve"> (</w:t>
            </w:r>
            <w:bookmarkStart w:id="14" w:name="NumberNumeral"/>
            <w:r>
              <w:t>33</w:t>
            </w:r>
            <w:bookmarkEnd w:id="14"/>
            <w:r w:rsidRPr="00161FFC">
              <w:t xml:space="preserve">) numbered </w:t>
            </w:r>
            <w:bookmarkStart w:id="15" w:name="CertPara"/>
            <w:r>
              <w:t>paragraphs are</w:t>
            </w:r>
            <w:bookmarkEnd w:id="15"/>
            <w:r w:rsidRPr="00161FFC">
              <w:t xml:space="preserve"> a true copy of the Reasons for </w:t>
            </w:r>
            <w:r>
              <w:t xml:space="preserve">Decision </w:t>
            </w:r>
            <w:r w:rsidRPr="00161FFC">
              <w:t xml:space="preserve">herein of the Honourable </w:t>
            </w:r>
            <w:bookmarkStart w:id="16" w:name="Justice"/>
            <w:smartTag w:uri="urn:schemas-microsoft-com:office:smarttags" w:element="PersonName">
              <w:r>
                <w:t>Justice Middleton</w:t>
              </w:r>
            </w:smartTag>
            <w:r>
              <w:t xml:space="preserve"> (Deputy President), Mr RC Davey and Mr RF Shogren</w:t>
            </w:r>
            <w:bookmarkEnd w:id="16"/>
            <w:r>
              <w:t>.</w:t>
            </w:r>
          </w:p>
        </w:tc>
      </w:tr>
    </w:tbl>
    <w:p w:rsidR="00895990" w:rsidRDefault="00895990">
      <w:pPr>
        <w:suppressAutoHyphens/>
      </w:pPr>
    </w:p>
    <w:p w:rsidR="00895990" w:rsidRDefault="00895990">
      <w:pPr>
        <w:suppressAutoHyphens/>
      </w:pPr>
      <w:r>
        <w:t>Associate:</w:t>
      </w:r>
    </w:p>
    <w:p w:rsidR="00895990" w:rsidRDefault="00895990">
      <w:pPr>
        <w:suppressAutoHyphens/>
      </w:pPr>
    </w:p>
    <w:p w:rsidR="00895990" w:rsidRDefault="00895990">
      <w:pPr>
        <w:tabs>
          <w:tab w:val="left" w:pos="1134"/>
        </w:tabs>
        <w:suppressAutoHyphens/>
      </w:pPr>
      <w:r>
        <w:t>Dated:</w:t>
      </w:r>
      <w:r>
        <w:tab/>
      </w:r>
      <w:bookmarkStart w:id="17" w:name="CertifyDated"/>
      <w:r>
        <w:t>13 October 2010</w:t>
      </w:r>
      <w:bookmarkEnd w:id="12"/>
      <w:bookmarkEnd w:id="17"/>
    </w:p>
    <w:sectPr w:rsidR="00895990" w:rsidSect="00895990">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990" w:rsidRDefault="00895990">
      <w:pPr>
        <w:spacing w:line="20" w:lineRule="exact"/>
      </w:pPr>
    </w:p>
    <w:p w:rsidR="00895990" w:rsidRDefault="00895990"/>
    <w:p w:rsidR="00895990" w:rsidRDefault="00895990"/>
  </w:endnote>
  <w:endnote w:type="continuationSeparator" w:id="1">
    <w:p w:rsidR="00895990" w:rsidRDefault="00895990">
      <w:r>
        <w:t xml:space="preserve"> </w:t>
      </w:r>
    </w:p>
    <w:p w:rsidR="00895990" w:rsidRDefault="00895990"/>
    <w:p w:rsidR="00895990" w:rsidRDefault="00895990"/>
  </w:endnote>
  <w:endnote w:type="continuationNotice" w:id="2">
    <w:p w:rsidR="00895990" w:rsidRDefault="00895990">
      <w:r>
        <w:t xml:space="preserve"> </w:t>
      </w:r>
    </w:p>
    <w:p w:rsidR="00895990" w:rsidRDefault="00895990"/>
    <w:p w:rsidR="00895990" w:rsidRDefault="008959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90" w:rsidRPr="00440582" w:rsidRDefault="00895990" w:rsidP="004405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90" w:rsidRPr="003F1FD7" w:rsidRDefault="00895990" w:rsidP="003F1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990" w:rsidRDefault="00895990"/>
    <w:p w:rsidR="00895990" w:rsidRDefault="00895990"/>
    <w:p w:rsidR="00895990" w:rsidRDefault="00895990"/>
  </w:footnote>
  <w:footnote w:type="continuationSeparator" w:id="1">
    <w:p w:rsidR="00895990" w:rsidRDefault="00895990">
      <w:r>
        <w:continuationSeparator/>
      </w:r>
    </w:p>
    <w:p w:rsidR="00895990" w:rsidRDefault="00895990"/>
    <w:p w:rsidR="00895990" w:rsidRDefault="008959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90" w:rsidRDefault="0089599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90" w:rsidRDefault="0089599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90" w:rsidRDefault="00895990">
    <w:pPr>
      <w:tabs>
        <w:tab w:val="center" w:pos="4512"/>
      </w:tabs>
      <w:suppressAutoHyphens/>
    </w:pPr>
    <w:r>
      <w:tab/>
      <w:t xml:space="preserve">- </w:t>
    </w:r>
    <w:fldSimple w:instr="page \* arabic">
      <w:r>
        <w:rPr>
          <w:noProof/>
        </w:rPr>
        <w:t>11</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90" w:rsidRDefault="00895990"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C57FC6"/>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112439B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2497785D"/>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
    <w:nsid w:val="24E10BAE"/>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
    <w:nsid w:val="29AE3DD1"/>
    <w:multiLevelType w:val="singleLevel"/>
    <w:tmpl w:val="506810F6"/>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7">
    <w:nsid w:val="33630A1B"/>
    <w:multiLevelType w:val="multilevel"/>
    <w:tmpl w:val="6D68AA8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8">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9">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A031824"/>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4E42700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06EE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5B39718B"/>
    <w:multiLevelType w:val="multilevel"/>
    <w:tmpl w:val="31FAB45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6">
    <w:nsid w:val="5F447C2C"/>
    <w:multiLevelType w:val="hybridMultilevel"/>
    <w:tmpl w:val="B2B6892C"/>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9">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8"/>
  </w:num>
  <w:num w:numId="26">
    <w:abstractNumId w:val="28"/>
  </w:num>
  <w:num w:numId="27">
    <w:abstractNumId w:val="17"/>
  </w:num>
  <w:num w:numId="28">
    <w:abstractNumId w:val="17"/>
  </w:num>
  <w:num w:numId="29">
    <w:abstractNumId w:val="27"/>
  </w:num>
  <w:num w:numId="30">
    <w:abstractNumId w:val="19"/>
  </w:num>
  <w:num w:numId="31">
    <w:abstractNumId w:val="21"/>
  </w:num>
  <w:num w:numId="32">
    <w:abstractNumId w:val="29"/>
  </w:num>
  <w:num w:numId="33">
    <w:abstractNumId w:val="29"/>
  </w:num>
  <w:num w:numId="34">
    <w:abstractNumId w:val="29"/>
  </w:num>
  <w:num w:numId="35">
    <w:abstractNumId w:val="29"/>
  </w:num>
  <w:num w:numId="36">
    <w:abstractNumId w:val="29"/>
  </w:num>
  <w:num w:numId="37">
    <w:abstractNumId w:val="25"/>
  </w:num>
  <w:num w:numId="38">
    <w:abstractNumId w:val="20"/>
  </w:num>
  <w:num w:numId="39">
    <w:abstractNumId w:val="10"/>
  </w:num>
  <w:num w:numId="40">
    <w:abstractNumId w:val="26"/>
  </w:num>
  <w:num w:numId="41">
    <w:abstractNumId w:val="15"/>
  </w:num>
  <w:num w:numId="42">
    <w:abstractNumId w:val="14"/>
  </w:num>
  <w:num w:numId="43">
    <w:abstractNumId w:val="22"/>
  </w:num>
  <w:num w:numId="44">
    <w:abstractNumId w:val="23"/>
  </w:num>
  <w:num w:numId="4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ppeal" w:val="Not an Appeal"/>
    <w:docVar w:name="Applicant" w:val="ETSA UTILITIES"/>
    <w:docVar w:name="CounselParties" w:val="Cross-Appellant"/>
    <w:docVar w:name="CounselType" w:val="Counsel for the "/>
    <w:docVar w:name="Division" w:val="GENERAL DIVISION"/>
    <w:docVar w:name="DocCreated" w:val="True"/>
    <w:docVar w:name="FileNumbers" w:val="FILE NO. 4 OF 2010"/>
    <w:docVar w:name="FullCourt" w:val="False"/>
    <w:docVar w:name="Judgdate" w:val="13 October 2010"/>
    <w:docVar w:name="Judge" w:val="JUSTICE MIDDLETON"/>
    <w:docVar w:name="JudgePlace" w:val="MELBOURNE"/>
    <w:docVar w:name="lstEntryList" w:val="-1"/>
    <w:docVar w:name="myEntryList" w:val="Counsel for the Applicant=Ms M Sloss SC with Mr CA Moore and Mr M Borsky|Solicitor for the Applicant=Gilbert + Tobin Lawyers"/>
    <w:docVar w:name="NSD" w:val="NSD FILE NO. 4 of 2010"/>
    <w:docVar w:name="NumApps" w:val="1"/>
    <w:docVar w:name="NumApps_" w:val="0"/>
    <w:docVar w:name="NumJudges" w:val="Single Judge"/>
    <w:docVar w:name="Parties" w:val="Applicant"/>
    <w:docVar w:name="Place_SentenceCase" w:val="Melbourne"/>
    <w:docVar w:name="ResState" w:val="VICTORIA"/>
    <w:docVar w:name="Single" w:val="True"/>
  </w:docVars>
  <w:rsids>
    <w:rsidRoot w:val="006461E5"/>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6E49"/>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572"/>
    <w:rsid w:val="00066B4C"/>
    <w:rsid w:val="00067C93"/>
    <w:rsid w:val="000715EE"/>
    <w:rsid w:val="000720FF"/>
    <w:rsid w:val="00073291"/>
    <w:rsid w:val="00076213"/>
    <w:rsid w:val="00077200"/>
    <w:rsid w:val="00077BFD"/>
    <w:rsid w:val="00082093"/>
    <w:rsid w:val="0008468C"/>
    <w:rsid w:val="00085D38"/>
    <w:rsid w:val="00085FB5"/>
    <w:rsid w:val="00086451"/>
    <w:rsid w:val="00086615"/>
    <w:rsid w:val="0009015A"/>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C66F9"/>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899"/>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ED6"/>
    <w:rsid w:val="00171F5F"/>
    <w:rsid w:val="001778B1"/>
    <w:rsid w:val="001804B9"/>
    <w:rsid w:val="00180D13"/>
    <w:rsid w:val="001811DD"/>
    <w:rsid w:val="001813D0"/>
    <w:rsid w:val="0018317C"/>
    <w:rsid w:val="00183E80"/>
    <w:rsid w:val="00184470"/>
    <w:rsid w:val="001875FB"/>
    <w:rsid w:val="00187E01"/>
    <w:rsid w:val="00190DA6"/>
    <w:rsid w:val="00191911"/>
    <w:rsid w:val="0019258C"/>
    <w:rsid w:val="001932FA"/>
    <w:rsid w:val="00194CA1"/>
    <w:rsid w:val="00194CDB"/>
    <w:rsid w:val="001A23E0"/>
    <w:rsid w:val="001A3EBA"/>
    <w:rsid w:val="001B06A8"/>
    <w:rsid w:val="001B43E6"/>
    <w:rsid w:val="001B532D"/>
    <w:rsid w:val="001B67C1"/>
    <w:rsid w:val="001B762C"/>
    <w:rsid w:val="001C0B29"/>
    <w:rsid w:val="001C0EC4"/>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76F39"/>
    <w:rsid w:val="00280AF5"/>
    <w:rsid w:val="002867B0"/>
    <w:rsid w:val="0028773B"/>
    <w:rsid w:val="00287811"/>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325D"/>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0131"/>
    <w:rsid w:val="00302087"/>
    <w:rsid w:val="00302183"/>
    <w:rsid w:val="00302D29"/>
    <w:rsid w:val="003034AA"/>
    <w:rsid w:val="0030528E"/>
    <w:rsid w:val="00305F9D"/>
    <w:rsid w:val="00306CFB"/>
    <w:rsid w:val="003072F7"/>
    <w:rsid w:val="003073BB"/>
    <w:rsid w:val="003100CA"/>
    <w:rsid w:val="003110AB"/>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26170"/>
    <w:rsid w:val="00331A85"/>
    <w:rsid w:val="00332D16"/>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1781"/>
    <w:rsid w:val="003744F8"/>
    <w:rsid w:val="0037541E"/>
    <w:rsid w:val="00376120"/>
    <w:rsid w:val="00376E34"/>
    <w:rsid w:val="00377774"/>
    <w:rsid w:val="0038105D"/>
    <w:rsid w:val="00382266"/>
    <w:rsid w:val="003822F7"/>
    <w:rsid w:val="003829AF"/>
    <w:rsid w:val="00382ADB"/>
    <w:rsid w:val="00383044"/>
    <w:rsid w:val="00384D78"/>
    <w:rsid w:val="00384FE6"/>
    <w:rsid w:val="00390E3B"/>
    <w:rsid w:val="00397262"/>
    <w:rsid w:val="003A3014"/>
    <w:rsid w:val="003C3AB3"/>
    <w:rsid w:val="003C709D"/>
    <w:rsid w:val="003D1152"/>
    <w:rsid w:val="003D24E2"/>
    <w:rsid w:val="003D5998"/>
    <w:rsid w:val="003D5EB6"/>
    <w:rsid w:val="003D723E"/>
    <w:rsid w:val="003D7543"/>
    <w:rsid w:val="003E0E05"/>
    <w:rsid w:val="003E11D8"/>
    <w:rsid w:val="003E1636"/>
    <w:rsid w:val="003E3537"/>
    <w:rsid w:val="003E417A"/>
    <w:rsid w:val="003E58C7"/>
    <w:rsid w:val="003E7299"/>
    <w:rsid w:val="003E7BB1"/>
    <w:rsid w:val="003F151F"/>
    <w:rsid w:val="003F1FD7"/>
    <w:rsid w:val="003F372D"/>
    <w:rsid w:val="003F4FBE"/>
    <w:rsid w:val="003F691D"/>
    <w:rsid w:val="0040123F"/>
    <w:rsid w:val="00403CD1"/>
    <w:rsid w:val="00407467"/>
    <w:rsid w:val="00410194"/>
    <w:rsid w:val="00410D37"/>
    <w:rsid w:val="0041100C"/>
    <w:rsid w:val="004121D1"/>
    <w:rsid w:val="00414519"/>
    <w:rsid w:val="00414E02"/>
    <w:rsid w:val="00416E8A"/>
    <w:rsid w:val="00417E05"/>
    <w:rsid w:val="004209E5"/>
    <w:rsid w:val="004231E3"/>
    <w:rsid w:val="00423D49"/>
    <w:rsid w:val="00423D90"/>
    <w:rsid w:val="00426EF9"/>
    <w:rsid w:val="00431095"/>
    <w:rsid w:val="004325CB"/>
    <w:rsid w:val="00432934"/>
    <w:rsid w:val="004344A1"/>
    <w:rsid w:val="0043743A"/>
    <w:rsid w:val="00437F70"/>
    <w:rsid w:val="00440582"/>
    <w:rsid w:val="00441512"/>
    <w:rsid w:val="00442DA2"/>
    <w:rsid w:val="00444234"/>
    <w:rsid w:val="00445304"/>
    <w:rsid w:val="00447AA7"/>
    <w:rsid w:val="00450F47"/>
    <w:rsid w:val="00452A50"/>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57A1"/>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C758C"/>
    <w:rsid w:val="004D1288"/>
    <w:rsid w:val="004D36ED"/>
    <w:rsid w:val="004D5541"/>
    <w:rsid w:val="004D68D7"/>
    <w:rsid w:val="004D71D8"/>
    <w:rsid w:val="004E09C1"/>
    <w:rsid w:val="004E2080"/>
    <w:rsid w:val="004E281D"/>
    <w:rsid w:val="004E2C62"/>
    <w:rsid w:val="004E457D"/>
    <w:rsid w:val="004E7997"/>
    <w:rsid w:val="004E7B89"/>
    <w:rsid w:val="004E7D9B"/>
    <w:rsid w:val="004F1BAA"/>
    <w:rsid w:val="004F619A"/>
    <w:rsid w:val="004F6CEE"/>
    <w:rsid w:val="004F7C73"/>
    <w:rsid w:val="00500EFC"/>
    <w:rsid w:val="00504770"/>
    <w:rsid w:val="00505455"/>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4964"/>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16C"/>
    <w:rsid w:val="005B6F89"/>
    <w:rsid w:val="005B757C"/>
    <w:rsid w:val="005C161D"/>
    <w:rsid w:val="005C32F4"/>
    <w:rsid w:val="005C5C56"/>
    <w:rsid w:val="005C696A"/>
    <w:rsid w:val="005C7E55"/>
    <w:rsid w:val="005D00C7"/>
    <w:rsid w:val="005D0767"/>
    <w:rsid w:val="005D18DE"/>
    <w:rsid w:val="005D1DF6"/>
    <w:rsid w:val="005D235E"/>
    <w:rsid w:val="005D3304"/>
    <w:rsid w:val="005D4F38"/>
    <w:rsid w:val="005D4F5F"/>
    <w:rsid w:val="005D5550"/>
    <w:rsid w:val="005D5558"/>
    <w:rsid w:val="005E15EE"/>
    <w:rsid w:val="005E20A8"/>
    <w:rsid w:val="005E4F3F"/>
    <w:rsid w:val="005E55C9"/>
    <w:rsid w:val="005E78D8"/>
    <w:rsid w:val="005E7BF3"/>
    <w:rsid w:val="005E7DBC"/>
    <w:rsid w:val="005F0949"/>
    <w:rsid w:val="005F155A"/>
    <w:rsid w:val="005F33A5"/>
    <w:rsid w:val="005F4FB9"/>
    <w:rsid w:val="005F5621"/>
    <w:rsid w:val="005F57BE"/>
    <w:rsid w:val="005F75F4"/>
    <w:rsid w:val="005F7770"/>
    <w:rsid w:val="00600F96"/>
    <w:rsid w:val="0060202E"/>
    <w:rsid w:val="00602108"/>
    <w:rsid w:val="00603A67"/>
    <w:rsid w:val="00603AE8"/>
    <w:rsid w:val="00604B40"/>
    <w:rsid w:val="006055B9"/>
    <w:rsid w:val="00606075"/>
    <w:rsid w:val="00610F93"/>
    <w:rsid w:val="006111DA"/>
    <w:rsid w:val="00611398"/>
    <w:rsid w:val="00612392"/>
    <w:rsid w:val="006132D6"/>
    <w:rsid w:val="00613E26"/>
    <w:rsid w:val="00617B48"/>
    <w:rsid w:val="00620C66"/>
    <w:rsid w:val="006227B4"/>
    <w:rsid w:val="006237C3"/>
    <w:rsid w:val="00626E07"/>
    <w:rsid w:val="0063031A"/>
    <w:rsid w:val="006405C0"/>
    <w:rsid w:val="00640DAC"/>
    <w:rsid w:val="00646121"/>
    <w:rsid w:val="006461E5"/>
    <w:rsid w:val="006506B3"/>
    <w:rsid w:val="00650FCE"/>
    <w:rsid w:val="00652392"/>
    <w:rsid w:val="006542B7"/>
    <w:rsid w:val="006547E7"/>
    <w:rsid w:val="00654FD6"/>
    <w:rsid w:val="00655373"/>
    <w:rsid w:val="0067292D"/>
    <w:rsid w:val="006737B2"/>
    <w:rsid w:val="00675752"/>
    <w:rsid w:val="0067680D"/>
    <w:rsid w:val="00681001"/>
    <w:rsid w:val="0068103E"/>
    <w:rsid w:val="00681310"/>
    <w:rsid w:val="0068344E"/>
    <w:rsid w:val="00685C91"/>
    <w:rsid w:val="006873C4"/>
    <w:rsid w:val="00687B23"/>
    <w:rsid w:val="006905B5"/>
    <w:rsid w:val="00693CCB"/>
    <w:rsid w:val="006A244D"/>
    <w:rsid w:val="006A3ACC"/>
    <w:rsid w:val="006A43F3"/>
    <w:rsid w:val="006B1B91"/>
    <w:rsid w:val="006B2B10"/>
    <w:rsid w:val="006B3218"/>
    <w:rsid w:val="006B3673"/>
    <w:rsid w:val="006B3891"/>
    <w:rsid w:val="006B5817"/>
    <w:rsid w:val="006C264E"/>
    <w:rsid w:val="006C26B6"/>
    <w:rsid w:val="006C38FE"/>
    <w:rsid w:val="006C6A98"/>
    <w:rsid w:val="006C6F12"/>
    <w:rsid w:val="006C7A51"/>
    <w:rsid w:val="006D342C"/>
    <w:rsid w:val="006D6599"/>
    <w:rsid w:val="006D7956"/>
    <w:rsid w:val="006E32CB"/>
    <w:rsid w:val="006E52E3"/>
    <w:rsid w:val="006E5675"/>
    <w:rsid w:val="006E5F58"/>
    <w:rsid w:val="006E77E5"/>
    <w:rsid w:val="006F34EB"/>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7295"/>
    <w:rsid w:val="00747C7C"/>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E0E62"/>
    <w:rsid w:val="007E2B03"/>
    <w:rsid w:val="007E3CDB"/>
    <w:rsid w:val="007E6065"/>
    <w:rsid w:val="007E7D5F"/>
    <w:rsid w:val="007F04F8"/>
    <w:rsid w:val="007F0A7E"/>
    <w:rsid w:val="007F3F10"/>
    <w:rsid w:val="007F6985"/>
    <w:rsid w:val="00800D15"/>
    <w:rsid w:val="00805628"/>
    <w:rsid w:val="0080566D"/>
    <w:rsid w:val="00813C77"/>
    <w:rsid w:val="0081499D"/>
    <w:rsid w:val="008149D4"/>
    <w:rsid w:val="00814FC2"/>
    <w:rsid w:val="00816AF9"/>
    <w:rsid w:val="008171B5"/>
    <w:rsid w:val="00820087"/>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18A8"/>
    <w:rsid w:val="008731FE"/>
    <w:rsid w:val="00873A29"/>
    <w:rsid w:val="00875347"/>
    <w:rsid w:val="0088371B"/>
    <w:rsid w:val="00884B15"/>
    <w:rsid w:val="008916D1"/>
    <w:rsid w:val="0089497F"/>
    <w:rsid w:val="00895990"/>
    <w:rsid w:val="008A0931"/>
    <w:rsid w:val="008A1662"/>
    <w:rsid w:val="008A3B6D"/>
    <w:rsid w:val="008A4CF3"/>
    <w:rsid w:val="008A6A0D"/>
    <w:rsid w:val="008B3287"/>
    <w:rsid w:val="008B3ACB"/>
    <w:rsid w:val="008B5059"/>
    <w:rsid w:val="008B7246"/>
    <w:rsid w:val="008B7A28"/>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47D4E"/>
    <w:rsid w:val="00950541"/>
    <w:rsid w:val="00952BF4"/>
    <w:rsid w:val="00952CC2"/>
    <w:rsid w:val="0095309D"/>
    <w:rsid w:val="00953226"/>
    <w:rsid w:val="00954EC7"/>
    <w:rsid w:val="009551E2"/>
    <w:rsid w:val="00956684"/>
    <w:rsid w:val="0095673E"/>
    <w:rsid w:val="00960114"/>
    <w:rsid w:val="00963D4C"/>
    <w:rsid w:val="00964698"/>
    <w:rsid w:val="00965FF2"/>
    <w:rsid w:val="00975610"/>
    <w:rsid w:val="00975CDD"/>
    <w:rsid w:val="00976690"/>
    <w:rsid w:val="0097752F"/>
    <w:rsid w:val="0098011C"/>
    <w:rsid w:val="00980302"/>
    <w:rsid w:val="00980E51"/>
    <w:rsid w:val="009810D6"/>
    <w:rsid w:val="009837C8"/>
    <w:rsid w:val="0098384A"/>
    <w:rsid w:val="009841A7"/>
    <w:rsid w:val="009844DE"/>
    <w:rsid w:val="00986899"/>
    <w:rsid w:val="009869EF"/>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C031C"/>
    <w:rsid w:val="009C0D2D"/>
    <w:rsid w:val="009C1086"/>
    <w:rsid w:val="009C2378"/>
    <w:rsid w:val="009C6A6E"/>
    <w:rsid w:val="009D2CC7"/>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6A19"/>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0C69"/>
    <w:rsid w:val="00A7196B"/>
    <w:rsid w:val="00A72BAB"/>
    <w:rsid w:val="00A7544A"/>
    <w:rsid w:val="00A7566D"/>
    <w:rsid w:val="00A759BE"/>
    <w:rsid w:val="00A76A2B"/>
    <w:rsid w:val="00A77E7E"/>
    <w:rsid w:val="00A80549"/>
    <w:rsid w:val="00A811D1"/>
    <w:rsid w:val="00A82BDF"/>
    <w:rsid w:val="00A84ADF"/>
    <w:rsid w:val="00A8570C"/>
    <w:rsid w:val="00A85C8E"/>
    <w:rsid w:val="00A875D8"/>
    <w:rsid w:val="00A87DD5"/>
    <w:rsid w:val="00A932C2"/>
    <w:rsid w:val="00AA1D3A"/>
    <w:rsid w:val="00AA4183"/>
    <w:rsid w:val="00AA5FA2"/>
    <w:rsid w:val="00AA69C4"/>
    <w:rsid w:val="00AB0471"/>
    <w:rsid w:val="00AB4FFF"/>
    <w:rsid w:val="00AB5374"/>
    <w:rsid w:val="00AB5720"/>
    <w:rsid w:val="00AC07AB"/>
    <w:rsid w:val="00AC0CC6"/>
    <w:rsid w:val="00AC4B26"/>
    <w:rsid w:val="00AC52FD"/>
    <w:rsid w:val="00AC5EB7"/>
    <w:rsid w:val="00AC7D8B"/>
    <w:rsid w:val="00AD18A8"/>
    <w:rsid w:val="00AD21D9"/>
    <w:rsid w:val="00AD288B"/>
    <w:rsid w:val="00AD4F1B"/>
    <w:rsid w:val="00AD518E"/>
    <w:rsid w:val="00AD5C23"/>
    <w:rsid w:val="00AD60E3"/>
    <w:rsid w:val="00AE0C56"/>
    <w:rsid w:val="00AE203B"/>
    <w:rsid w:val="00AE41B6"/>
    <w:rsid w:val="00AE5B9A"/>
    <w:rsid w:val="00AE6B40"/>
    <w:rsid w:val="00AE6C3C"/>
    <w:rsid w:val="00AF104F"/>
    <w:rsid w:val="00AF16BD"/>
    <w:rsid w:val="00AF32DE"/>
    <w:rsid w:val="00AF51F5"/>
    <w:rsid w:val="00AF5918"/>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3CD8"/>
    <w:rsid w:val="00B2600D"/>
    <w:rsid w:val="00B26075"/>
    <w:rsid w:val="00B326AD"/>
    <w:rsid w:val="00B35989"/>
    <w:rsid w:val="00B35D02"/>
    <w:rsid w:val="00B3744D"/>
    <w:rsid w:val="00B376AC"/>
    <w:rsid w:val="00B40BBD"/>
    <w:rsid w:val="00B4143A"/>
    <w:rsid w:val="00B42A2B"/>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4D01"/>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EF9"/>
    <w:rsid w:val="00BC3FFB"/>
    <w:rsid w:val="00BC546E"/>
    <w:rsid w:val="00BC6A96"/>
    <w:rsid w:val="00BC7643"/>
    <w:rsid w:val="00BD2700"/>
    <w:rsid w:val="00BD4122"/>
    <w:rsid w:val="00BD4C77"/>
    <w:rsid w:val="00BD619F"/>
    <w:rsid w:val="00BD700B"/>
    <w:rsid w:val="00BE2FED"/>
    <w:rsid w:val="00BE7211"/>
    <w:rsid w:val="00BE7DCF"/>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193B"/>
    <w:rsid w:val="00C12BEE"/>
    <w:rsid w:val="00C14ACF"/>
    <w:rsid w:val="00C14D81"/>
    <w:rsid w:val="00C24A85"/>
    <w:rsid w:val="00C26DCC"/>
    <w:rsid w:val="00C3059C"/>
    <w:rsid w:val="00C308A1"/>
    <w:rsid w:val="00C30AED"/>
    <w:rsid w:val="00C32B29"/>
    <w:rsid w:val="00C35937"/>
    <w:rsid w:val="00C35EE8"/>
    <w:rsid w:val="00C36826"/>
    <w:rsid w:val="00C369D9"/>
    <w:rsid w:val="00C36C83"/>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5C55"/>
    <w:rsid w:val="00C6624F"/>
    <w:rsid w:val="00C66926"/>
    <w:rsid w:val="00C707F5"/>
    <w:rsid w:val="00C722E7"/>
    <w:rsid w:val="00C722F9"/>
    <w:rsid w:val="00C73CC1"/>
    <w:rsid w:val="00C741C6"/>
    <w:rsid w:val="00C74553"/>
    <w:rsid w:val="00C74A55"/>
    <w:rsid w:val="00C84A3F"/>
    <w:rsid w:val="00C86019"/>
    <w:rsid w:val="00C95828"/>
    <w:rsid w:val="00C9785D"/>
    <w:rsid w:val="00CA3AD6"/>
    <w:rsid w:val="00CA5AF8"/>
    <w:rsid w:val="00CB3BE6"/>
    <w:rsid w:val="00CB680B"/>
    <w:rsid w:val="00CB7E2D"/>
    <w:rsid w:val="00CC0734"/>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0EC7"/>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610C"/>
    <w:rsid w:val="00DC6291"/>
    <w:rsid w:val="00DC7B8F"/>
    <w:rsid w:val="00DC7CFA"/>
    <w:rsid w:val="00DD040F"/>
    <w:rsid w:val="00DD07AD"/>
    <w:rsid w:val="00DD31A9"/>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431"/>
    <w:rsid w:val="00E24A13"/>
    <w:rsid w:val="00E25F5C"/>
    <w:rsid w:val="00E269A5"/>
    <w:rsid w:val="00E26C29"/>
    <w:rsid w:val="00E2742E"/>
    <w:rsid w:val="00E27C73"/>
    <w:rsid w:val="00E30CA5"/>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66F30"/>
    <w:rsid w:val="00E70219"/>
    <w:rsid w:val="00E71761"/>
    <w:rsid w:val="00E7351E"/>
    <w:rsid w:val="00E75EAD"/>
    <w:rsid w:val="00E76B9C"/>
    <w:rsid w:val="00E8128D"/>
    <w:rsid w:val="00E824F9"/>
    <w:rsid w:val="00E825E5"/>
    <w:rsid w:val="00E83803"/>
    <w:rsid w:val="00E83A6A"/>
    <w:rsid w:val="00E859FE"/>
    <w:rsid w:val="00E86C42"/>
    <w:rsid w:val="00E8791E"/>
    <w:rsid w:val="00E91F0E"/>
    <w:rsid w:val="00E936F6"/>
    <w:rsid w:val="00E96DAE"/>
    <w:rsid w:val="00EA0E72"/>
    <w:rsid w:val="00EA6AF8"/>
    <w:rsid w:val="00EA7506"/>
    <w:rsid w:val="00EB09D6"/>
    <w:rsid w:val="00EB2255"/>
    <w:rsid w:val="00EB2E36"/>
    <w:rsid w:val="00EB3FE2"/>
    <w:rsid w:val="00EB4250"/>
    <w:rsid w:val="00EB64AD"/>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26A7"/>
    <w:rsid w:val="00F161BC"/>
    <w:rsid w:val="00F179CF"/>
    <w:rsid w:val="00F20D4F"/>
    <w:rsid w:val="00F21406"/>
    <w:rsid w:val="00F22C00"/>
    <w:rsid w:val="00F23F7F"/>
    <w:rsid w:val="00F24103"/>
    <w:rsid w:val="00F24C00"/>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1D8"/>
    <w:rsid w:val="00F526FC"/>
    <w:rsid w:val="00F52748"/>
    <w:rsid w:val="00F5505B"/>
    <w:rsid w:val="00F616FA"/>
    <w:rsid w:val="00F6229E"/>
    <w:rsid w:val="00F622CE"/>
    <w:rsid w:val="00F631B6"/>
    <w:rsid w:val="00F6467F"/>
    <w:rsid w:val="00F65C04"/>
    <w:rsid w:val="00F70EDC"/>
    <w:rsid w:val="00F729AD"/>
    <w:rsid w:val="00F742B2"/>
    <w:rsid w:val="00F75588"/>
    <w:rsid w:val="00F82B2B"/>
    <w:rsid w:val="00F8396D"/>
    <w:rsid w:val="00F86630"/>
    <w:rsid w:val="00F877AF"/>
    <w:rsid w:val="00F91004"/>
    <w:rsid w:val="00F9232E"/>
    <w:rsid w:val="00F93B9E"/>
    <w:rsid w:val="00F95446"/>
    <w:rsid w:val="00F95B22"/>
    <w:rsid w:val="00F96756"/>
    <w:rsid w:val="00F97503"/>
    <w:rsid w:val="00FA0BB8"/>
    <w:rsid w:val="00FA1235"/>
    <w:rsid w:val="00FA1C16"/>
    <w:rsid w:val="00FA5608"/>
    <w:rsid w:val="00FA5DB2"/>
    <w:rsid w:val="00FA6E18"/>
    <w:rsid w:val="00FA7050"/>
    <w:rsid w:val="00FB4952"/>
    <w:rsid w:val="00FB687A"/>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link w:val="Heading1Char"/>
    <w:uiPriority w:val="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
    <w:qFormat/>
    <w:rsid w:val="009844DE"/>
    <w:pPr>
      <w:outlineLvl w:val="4"/>
    </w:pPr>
  </w:style>
  <w:style w:type="paragraph" w:styleId="Heading6">
    <w:name w:val="heading 6"/>
    <w:basedOn w:val="fcHeading2"/>
    <w:next w:val="ParaNumbering"/>
    <w:link w:val="Heading6Char"/>
    <w:uiPriority w:val="9"/>
    <w:qFormat/>
    <w:rsid w:val="009844DE"/>
    <w:pPr>
      <w:outlineLvl w:val="5"/>
    </w:pPr>
  </w:style>
  <w:style w:type="paragraph" w:styleId="Heading7">
    <w:name w:val="heading 7"/>
    <w:basedOn w:val="fcHeading3"/>
    <w:next w:val="ParaNumbering"/>
    <w:link w:val="Heading7Char"/>
    <w:uiPriority w:val="9"/>
    <w:qFormat/>
    <w:rsid w:val="009844DE"/>
    <w:pPr>
      <w:outlineLvl w:val="6"/>
    </w:pPr>
  </w:style>
  <w:style w:type="paragraph" w:styleId="Heading8">
    <w:name w:val="heading 8"/>
    <w:basedOn w:val="fcHeading4"/>
    <w:next w:val="ParaNumbering"/>
    <w:link w:val="Heading8Char"/>
    <w:uiPriority w:val="9"/>
    <w:qFormat/>
    <w:rsid w:val="009844DE"/>
    <w:pPr>
      <w:outlineLvl w:val="7"/>
    </w:pPr>
  </w:style>
  <w:style w:type="paragraph" w:styleId="Heading9">
    <w:name w:val="heading 9"/>
    <w:basedOn w:val="fcHeading5"/>
    <w:next w:val="ParaNumbering"/>
    <w:link w:val="Heading9Char"/>
    <w:uiPriority w:val="9"/>
    <w:qFormat/>
    <w:rsid w:val="00CD29CD"/>
    <w:pPr>
      <w:outlineLvl w:val="8"/>
    </w:pPr>
    <w:rPr>
      <w:i/>
      <w:caps w:val="0"/>
      <w:smallCaps/>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44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D244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D244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D244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D244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D2441"/>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5D244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D244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D2441"/>
    <w:rPr>
      <w:rFonts w:asciiTheme="majorHAnsi" w:eastAsiaTheme="majorEastAsia" w:hAnsiTheme="majorHAnsi" w:cstheme="majorBidi"/>
      <w:sz w:val="22"/>
      <w:szCs w:val="22"/>
      <w:lang w:eastAsia="en-US"/>
    </w:rPr>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5D2441"/>
    <w:rPr>
      <w:sz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5D2441"/>
    <w:rPr>
      <w:sz w:val="24"/>
      <w:lang w:eastAsia="en-US"/>
    </w:rPr>
  </w:style>
  <w:style w:type="paragraph" w:customStyle="1" w:styleId="ParaNumbering">
    <w:name w:val="ParaNumbering"/>
    <w:basedOn w:val="Normal"/>
    <w:rsid w:val="00AE203B"/>
    <w:pPr>
      <w:numPr>
        <w:numId w:val="1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uiPriority w:val="59"/>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5D2441"/>
    <w:rPr>
      <w:sz w:val="0"/>
      <w:szCs w:val="0"/>
      <w:lang w:eastAsia="en-US"/>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5D2441"/>
    <w:rPr>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5D2441"/>
    <w:rPr>
      <w:b/>
      <w:bCs/>
    </w:rPr>
  </w:style>
  <w:style w:type="paragraph" w:customStyle="1" w:styleId="FCBullets">
    <w:name w:val="FCBullets"/>
    <w:basedOn w:val="Normal"/>
    <w:rsid w:val="00520AF8"/>
    <w:pPr>
      <w:numPr>
        <w:numId w:val="1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uiPriority w:val="39"/>
    <w:semiHidden/>
    <w:rsid w:val="00523039"/>
    <w:pPr>
      <w:tabs>
        <w:tab w:val="right" w:leader="dot" w:pos="9071"/>
      </w:tabs>
    </w:pPr>
  </w:style>
  <w:style w:type="paragraph" w:styleId="TOC2">
    <w:name w:val="toc 2"/>
    <w:basedOn w:val="Normal"/>
    <w:next w:val="Normal"/>
    <w:autoRedefine/>
    <w:uiPriority w:val="39"/>
    <w:semiHidden/>
    <w:rsid w:val="00523039"/>
    <w:pPr>
      <w:tabs>
        <w:tab w:val="right" w:leader="dot" w:pos="9071"/>
      </w:tabs>
      <w:ind w:left="240"/>
    </w:pPr>
  </w:style>
  <w:style w:type="paragraph" w:styleId="TOC3">
    <w:name w:val="toc 3"/>
    <w:basedOn w:val="Normal"/>
    <w:next w:val="Normal"/>
    <w:autoRedefine/>
    <w:uiPriority w:val="39"/>
    <w:semiHidden/>
    <w:rsid w:val="00523039"/>
    <w:pPr>
      <w:tabs>
        <w:tab w:val="right" w:leader="dot" w:pos="9071"/>
      </w:tabs>
      <w:ind w:left="480"/>
    </w:pPr>
  </w:style>
  <w:style w:type="paragraph" w:styleId="TOC4">
    <w:name w:val="toc 4"/>
    <w:basedOn w:val="Normal"/>
    <w:next w:val="Normal"/>
    <w:autoRedefine/>
    <w:uiPriority w:val="39"/>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FootnoteText">
    <w:name w:val="footnote text"/>
    <w:aliases w:val="(NECG) Footnote Text,ALTS FOOTNOTE,Char6,Footnote Text Char1 Char Char1,Footnote Text Char2 Char1 Char Char1,Footnote Text Char Char1 Char1 Char Char1,Footnote Text Char1 Char Char Char1 Char Char1,Char Char1 Char"/>
    <w:basedOn w:val="Normal"/>
    <w:link w:val="FootnoteTextChar"/>
    <w:uiPriority w:val="99"/>
    <w:unhideWhenUsed/>
    <w:rsid w:val="007E7D5F"/>
    <w:pPr>
      <w:spacing w:line="240" w:lineRule="auto"/>
      <w:jc w:val="left"/>
    </w:pPr>
    <w:rPr>
      <w:rFonts w:ascii="Arial" w:hAnsi="Arial"/>
      <w:color w:val="000000"/>
      <w:sz w:val="16"/>
    </w:rPr>
  </w:style>
  <w:style w:type="character" w:customStyle="1" w:styleId="FootnoteTextChar">
    <w:name w:val="Footnote Text Char"/>
    <w:aliases w:val="(NECG) Footnote Text Char,ALTS FOOTNOTE Char,Char6 Char,Footnote Text Char1 Char Char1 Char,Footnote Text Char2 Char1 Char Char1 Char,Footnote Text Char Char1 Char1 Char Char1 Char,Footnote Text Char1 Char Char Char1 Char Char1 Char"/>
    <w:basedOn w:val="DefaultParagraphFont"/>
    <w:link w:val="FootnoteText"/>
    <w:uiPriority w:val="99"/>
    <w:locked/>
    <w:rsid w:val="007E7D5F"/>
    <w:rPr>
      <w:rFonts w:ascii="Arial" w:hAnsi="Arial" w:cs="Times New Roman"/>
      <w:color w:val="000000"/>
      <w:sz w:val="16"/>
      <w:lang w:val="en-AU" w:eastAsia="en-US" w:bidi="ar-SA"/>
    </w:rPr>
  </w:style>
  <w:style w:type="paragraph" w:styleId="TOC5">
    <w:name w:val="toc 5"/>
    <w:basedOn w:val="Normal"/>
    <w:next w:val="Normal"/>
    <w:autoRedefine/>
    <w:uiPriority w:val="3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5D2441"/>
    <w:rPr>
      <w:sz w:val="24"/>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5D2441"/>
    <w:rPr>
      <w:sz w:val="24"/>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5D2441"/>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5D2441"/>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5D2441"/>
    <w:rPr>
      <w:sz w:val="24"/>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5D2441"/>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5D2441"/>
    <w:rPr>
      <w:sz w:val="24"/>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2441"/>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5D2441"/>
    <w:rPr>
      <w:sz w:val="24"/>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5D2441"/>
    <w:rPr>
      <w:sz w:val="24"/>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5D2441"/>
    <w:rPr>
      <w:sz w:val="24"/>
      <w:lang w:eastAsia="en-US"/>
    </w:rPr>
  </w:style>
  <w:style w:type="character" w:styleId="Emphasis">
    <w:name w:val="Emphasis"/>
    <w:basedOn w:val="DefaultParagraphFont"/>
    <w:uiPriority w:val="20"/>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5D2441"/>
    <w:rPr>
      <w:i/>
      <w:iCs/>
      <w:sz w:val="24"/>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D2441"/>
    <w:rPr>
      <w:rFonts w:ascii="Courier New" w:hAnsi="Courier New" w:cs="Courier New"/>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5D2441"/>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5D2441"/>
    <w:rPr>
      <w:sz w:val="24"/>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5D2441"/>
    <w:rPr>
      <w:rFonts w:ascii="Courier New" w:hAnsi="Courier New" w:cs="Courier New"/>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5D2441"/>
    <w:rPr>
      <w:sz w:val="24"/>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5D2441"/>
    <w:rPr>
      <w:sz w:val="24"/>
      <w:lang w:eastAsia="en-US"/>
    </w:rPr>
  </w:style>
  <w:style w:type="character" w:styleId="Strong">
    <w:name w:val="Strong"/>
    <w:basedOn w:val="DefaultParagraphFont"/>
    <w:uiPriority w:val="22"/>
    <w:qFormat/>
    <w:rsid w:val="0047417B"/>
    <w:rPr>
      <w:rFonts w:cs="Times New Roman"/>
      <w:b/>
      <w:bCs/>
    </w:rPr>
  </w:style>
  <w:style w:type="paragraph" w:styleId="Subtitle">
    <w:name w:val="Subtitle"/>
    <w:basedOn w:val="Normal"/>
    <w:link w:val="SubtitleChar"/>
    <w:uiPriority w:val="11"/>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5D2441"/>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5D2441"/>
    <w:rPr>
      <w:rFonts w:asciiTheme="majorHAnsi" w:eastAsiaTheme="majorEastAsia" w:hAnsiTheme="majorHAnsi" w:cstheme="majorBidi"/>
      <w:b/>
      <w:bCs/>
      <w:kern w:val="28"/>
      <w:sz w:val="32"/>
      <w:szCs w:val="32"/>
      <w:lang w:eastAsia="en-US"/>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basedOn w:val="DefaultParagraphFont"/>
    <w:link w:val="Certify"/>
    <w:locked/>
    <w:rsid w:val="00302183"/>
    <w:rPr>
      <w:rFonts w:cs="Times New Roman"/>
      <w:sz w:val="24"/>
      <w:szCs w:val="24"/>
      <w:lang w:val="en-AU" w:eastAsia="en-US" w:bidi="ar-SA"/>
    </w:rPr>
  </w:style>
  <w:style w:type="paragraph" w:customStyle="1" w:styleId="fcHeading1">
    <w:name w:val="fcHeading 1"/>
    <w:basedOn w:val="Normal"/>
    <w:next w:val="ParaNumbering"/>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character" w:styleId="FootnoteReference">
    <w:name w:val="footnote reference"/>
    <w:aliases w:val="(NECG) Footnote Reference,eference,Appel note de bas de p,fr,o,FR,S,(NECG) Footnote Reference1,(NECG) Footnote Reference2"/>
    <w:basedOn w:val="DefaultParagraphFont"/>
    <w:uiPriority w:val="99"/>
    <w:unhideWhenUsed/>
    <w:rsid w:val="007E7D5F"/>
    <w:rPr>
      <w:rFonts w:cs="Times New Roman"/>
      <w:vertAlign w:val="superscript"/>
    </w:rPr>
  </w:style>
  <w:style w:type="numbering" w:styleId="1ai">
    <w:name w:val="Outline List 1"/>
    <w:basedOn w:val="NoList"/>
    <w:uiPriority w:val="99"/>
    <w:semiHidden/>
    <w:unhideWhenUsed/>
    <w:rsid w:val="005D2441"/>
    <w:pPr>
      <w:numPr>
        <w:numId w:val="30"/>
      </w:numPr>
    </w:pPr>
  </w:style>
  <w:style w:type="numbering" w:styleId="ArticleSection">
    <w:name w:val="Outline List 3"/>
    <w:basedOn w:val="NoList"/>
    <w:uiPriority w:val="99"/>
    <w:semiHidden/>
    <w:unhideWhenUsed/>
    <w:rsid w:val="005D2441"/>
    <w:pPr>
      <w:numPr>
        <w:numId w:val="31"/>
      </w:numPr>
    </w:pPr>
  </w:style>
  <w:style w:type="numbering" w:styleId="111111">
    <w:name w:val="Outline List 2"/>
    <w:basedOn w:val="NoList"/>
    <w:uiPriority w:val="99"/>
    <w:semiHidden/>
    <w:unhideWhenUsed/>
    <w:rsid w:val="005D2441"/>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3</TotalTime>
  <Pages>1</Pages>
  <Words>2695</Words>
  <Characters>15368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Susi Ivandic</dc:creator>
  <cp:keywords/>
  <dc:description/>
  <cp:lastModifiedBy>Anna Masters</cp:lastModifiedBy>
  <cp:revision>2</cp:revision>
  <cp:lastPrinted>2010-10-11T00:43:00Z</cp:lastPrinted>
  <dcterms:created xsi:type="dcterms:W3CDTF">2010-10-14T00:56:00Z</dcterms:created>
  <dcterms:modified xsi:type="dcterms:W3CDTF">2010-10-14T00:56:00Z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LAW FOR REVIEW OF A DISTRIBUTION DETERMINATION MADE BY THE AUSTRALIAN ENERGY REGULATOR IN RELATION TO ETSA UTLITITES PURSUANT TO CLAUSE 6.11.1 OF CHAPTER 6 OF THE NATIONAL ELECTRICITY RULES.</vt:lpwstr>
  </property>
  <property fmtid="{D5CDD505-2E9C-101B-9397-08002B2CF9AE}" pid="3" name="Judge" linkTarget="Judge">
    <vt:lpwstr>MIDDLETON J (DEPUTY PRESIDENT), .MR R DAVEY AND MR R SHOGREN </vt:lpwstr>
  </property>
  <property fmtid="{D5CDD505-2E9C-101B-9397-08002B2CF9AE}" pid="4" name="Judgment_dated" linkTarget="Judgment_dated">
    <vt:lpwstr>##</vt:lpwstr>
  </property>
  <property fmtid="{D5CDD505-2E9C-101B-9397-08002B2CF9AE}" pid="5" name="Distribution" linkTarget="Distribution">
    <vt:lpwstr>GENERAL DISTRIBUTION</vt:lpwstr>
  </property>
  <property fmtid="{D5CDD505-2E9C-101B-9397-08002B2CF9AE}" pid="6" name="MNC" linkTarget="MNC">
    <vt:lpwstr>Application by ETSA Utilities [2010] ACompT 5</vt:lpwstr>
  </property>
  <property fmtid="{D5CDD505-2E9C-101B-9397-08002B2CF9AE}" pid="7" name="File_Number" linkTarget="Num">
    <vt:lpwstr>FILE NO 4 of 2010</vt:lpwstr>
  </property>
  <property fmtid="{D5CDD505-2E9C-101B-9397-08002B2CF9AE}" pid="8" name="Pages">
    <vt:lpwstr>3</vt:lpwstr>
  </property>
  <property fmtid="{D5CDD505-2E9C-101B-9397-08002B2CF9AE}" pid="9" name="Parties" linkTarget="MNC">
    <vt:lpwstr>Application by ETSA Utilities [2010] ACompT 5</vt:lpwstr>
  </property>
  <property fmtid="{D5CDD505-2E9C-101B-9397-08002B2CF9AE}" pid="10" name="Place" linkTarget="Place">
    <vt:lpwstr>MELBOURNE</vt:lpwstr>
  </property>
  <property fmtid="{D5CDD505-2E9C-101B-9397-08002B2CF9AE}" pid="11" name="Respondent" linkTarget="Respondent">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