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DD676C">
      <w:pPr>
        <w:pStyle w:val="NormalHeadings"/>
        <w:jc w:val="center"/>
        <w:rPr>
          <w:sz w:val="32"/>
        </w:rPr>
      </w:pPr>
      <w:r>
        <w:rPr>
          <w:sz w:val="32"/>
        </w:rPr>
        <w:t xml:space="preserve"> </w:t>
      </w:r>
      <w:r w:rsidR="002C7385">
        <w:rPr>
          <w:sz w:val="32"/>
        </w:rPr>
        <w:t>FEDERAL COURT OF AUSTRALIA</w:t>
      </w:r>
    </w:p>
    <w:p w:rsidR="00395B24" w:rsidRDefault="00395B24">
      <w:pPr>
        <w:pStyle w:val="NormalHeadings"/>
        <w:jc w:val="center"/>
        <w:rPr>
          <w:sz w:val="32"/>
        </w:rPr>
      </w:pPr>
    </w:p>
    <w:p w:rsidR="00395B24" w:rsidRDefault="00C14581">
      <w:pPr>
        <w:pStyle w:val="MediaNeutralStyle"/>
      </w:pPr>
      <w:r>
        <w:t xml:space="preserve">Turner v MyBudget </w:t>
      </w:r>
      <w:r w:rsidRPr="00C14581">
        <w:t>P</w:t>
      </w:r>
      <w:r>
        <w:t>ty</w:t>
      </w:r>
      <w:r w:rsidRPr="00C14581">
        <w:t xml:space="preserve"> L</w:t>
      </w:r>
      <w:r>
        <w:t>imited</w:t>
      </w:r>
      <w:r w:rsidRPr="00C14581">
        <w:t xml:space="preserve"> </w:t>
      </w:r>
      <w:r w:rsidR="002916FA">
        <w:t>(</w:t>
      </w:r>
      <w:r w:rsidR="0064137D">
        <w:t>No 2</w:t>
      </w:r>
      <w:r w:rsidR="002916FA">
        <w:t>)</w:t>
      </w:r>
      <w:r w:rsidR="0064137D">
        <w:t xml:space="preserve"> [2018] FCA </w:t>
      </w:r>
      <w:r w:rsidR="00D33195">
        <w:t>1509</w:t>
      </w:r>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EA31A8">
        <w:tc>
          <w:tcPr>
            <w:tcW w:w="3085" w:type="dxa"/>
            <w:shd w:val="clear" w:color="auto" w:fill="auto"/>
          </w:tcPr>
          <w:p w:rsidR="00395B24" w:rsidRDefault="00D07560" w:rsidP="00663878">
            <w:pPr>
              <w:pStyle w:val="Normal1linespace"/>
              <w:widowControl w:val="0"/>
              <w:jc w:val="left"/>
            </w:pPr>
            <w:r>
              <w:t>File number</w:t>
            </w:r>
            <w:r w:rsidR="002C7385">
              <w:t>:</w:t>
            </w:r>
          </w:p>
        </w:tc>
        <w:tc>
          <w:tcPr>
            <w:tcW w:w="5989" w:type="dxa"/>
            <w:shd w:val="clear" w:color="auto" w:fill="auto"/>
          </w:tcPr>
          <w:p w:rsidR="00395B24" w:rsidRPr="00C14581" w:rsidRDefault="00722D79" w:rsidP="00C14581">
            <w:pPr>
              <w:pStyle w:val="Normal1linespace"/>
              <w:jc w:val="left"/>
            </w:pPr>
            <w:fldSimple w:instr=" REF  FileNo  \* MERGEFORMAT " w:fldLock="1">
              <w:r w:rsidR="00C14581" w:rsidRPr="00C14581">
                <w:t>NSD 297 of 2017</w:t>
              </w:r>
            </w:fldSimple>
          </w:p>
        </w:tc>
      </w:tr>
      <w:tr w:rsidR="00395B24" w:rsidTr="00EA31A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A31A8">
        <w:tc>
          <w:tcPr>
            <w:tcW w:w="3085" w:type="dxa"/>
            <w:shd w:val="clear" w:color="auto" w:fill="auto"/>
          </w:tcPr>
          <w:p w:rsidR="00395B24" w:rsidRDefault="00D07560"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C14581">
              <w:rPr>
                <w:b/>
              </w:rPr>
              <w:fldChar w:fldCharType="begin" w:fldLock="1"/>
            </w:r>
            <w:r w:rsidRPr="00C14581">
              <w:rPr>
                <w:b/>
              </w:rPr>
              <w:instrText xml:space="preserve"> REF  Judge  \* MERGEFORMAT </w:instrText>
            </w:r>
            <w:r w:rsidRPr="00C14581">
              <w:rPr>
                <w:b/>
              </w:rPr>
              <w:fldChar w:fldCharType="separate"/>
            </w:r>
            <w:r w:rsidR="00C14581" w:rsidRPr="00C14581">
              <w:rPr>
                <w:b/>
                <w:caps/>
                <w:szCs w:val="24"/>
              </w:rPr>
              <w:t>LEE J</w:t>
            </w:r>
            <w:r w:rsidRPr="00C14581">
              <w:rPr>
                <w:b/>
              </w:rPr>
              <w:fldChar w:fldCharType="end"/>
            </w:r>
          </w:p>
        </w:tc>
      </w:tr>
      <w:tr w:rsidR="00395B24" w:rsidTr="00EA31A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A31A8">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7130EE" w:rsidP="002916FA">
            <w:pPr>
              <w:pStyle w:val="Normal1linespace"/>
              <w:widowControl w:val="0"/>
              <w:jc w:val="left"/>
            </w:pPr>
            <w:bookmarkStart w:id="0" w:name="JudgmentDate"/>
            <w:r>
              <w:t>8 Octo</w:t>
            </w:r>
            <w:r w:rsidR="00520A2A">
              <w:t>ber 2018</w:t>
            </w:r>
            <w:bookmarkEnd w:id="0"/>
          </w:p>
        </w:tc>
      </w:tr>
      <w:tr w:rsidR="00395B24" w:rsidTr="00EA31A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A31A8">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7130EE" w:rsidRDefault="00545330" w:rsidP="007E1888">
            <w:pPr>
              <w:pStyle w:val="Normal1linespace"/>
              <w:widowControl w:val="0"/>
              <w:jc w:val="left"/>
            </w:pPr>
            <w:r w:rsidRPr="00545330">
              <w:rPr>
                <w:b/>
                <w:bCs/>
              </w:rPr>
              <w:t>COSTS</w:t>
            </w:r>
            <w:r w:rsidRPr="00545330">
              <w:t xml:space="preserve"> – </w:t>
            </w:r>
            <w:r w:rsidR="007E1888">
              <w:t>discussion of costs orders against representative</w:t>
            </w:r>
            <w:r w:rsidR="00755D9A">
              <w:t xml:space="preserve"> applicant in a </w:t>
            </w:r>
            <w:r w:rsidR="007E1888">
              <w:t>class action</w:t>
            </w:r>
            <w:r w:rsidR="00755D9A">
              <w:t xml:space="preserve"> with a public interest dimension</w:t>
            </w:r>
          </w:p>
          <w:p w:rsidR="007130EE" w:rsidRDefault="007130EE" w:rsidP="007E1888">
            <w:pPr>
              <w:pStyle w:val="Normal1linespace"/>
              <w:widowControl w:val="0"/>
              <w:jc w:val="left"/>
            </w:pPr>
          </w:p>
          <w:p w:rsidR="00395B24" w:rsidRDefault="007130EE" w:rsidP="007E1888">
            <w:pPr>
              <w:pStyle w:val="Normal1linespace"/>
              <w:widowControl w:val="0"/>
              <w:jc w:val="left"/>
            </w:pPr>
            <w:r w:rsidRPr="007130EE">
              <w:rPr>
                <w:b/>
              </w:rPr>
              <w:t>REPRESENTATIVE PROCEEDINGS</w:t>
            </w:r>
            <w:r w:rsidR="007E1888">
              <w:t xml:space="preserve"> </w:t>
            </w:r>
            <w:r w:rsidRPr="00545330">
              <w:t xml:space="preserve">– </w:t>
            </w:r>
            <w:r>
              <w:t>discussion of importance of willingness for persons with claims to act in a representative capacity</w:t>
            </w:r>
          </w:p>
        </w:tc>
      </w:tr>
      <w:tr w:rsidR="00395B24" w:rsidTr="00EA31A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A31A8">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F565D3" w:rsidRPr="00F565D3" w:rsidRDefault="00F565D3" w:rsidP="00D82620">
            <w:pPr>
              <w:pStyle w:val="CasesLegislationAppealFrom"/>
              <w:spacing w:after="60"/>
            </w:pPr>
            <w:bookmarkStart w:id="1" w:name="Legislation"/>
            <w:r>
              <w:rPr>
                <w:i/>
              </w:rPr>
              <w:t xml:space="preserve">Australian Consumer Law </w:t>
            </w:r>
            <w:proofErr w:type="spellStart"/>
            <w:r>
              <w:t>ss</w:t>
            </w:r>
            <w:proofErr w:type="spellEnd"/>
            <w:r>
              <w:t xml:space="preserve"> 21, 23</w:t>
            </w:r>
          </w:p>
          <w:p w:rsidR="00395B24" w:rsidRDefault="00F565D3" w:rsidP="00D82620">
            <w:pPr>
              <w:pStyle w:val="CasesLegislationAppealFrom"/>
              <w:spacing w:after="60"/>
            </w:pPr>
            <w:r w:rsidRPr="0014584D">
              <w:rPr>
                <w:i/>
              </w:rPr>
              <w:t>Federal Court of Australia Act 1976</w:t>
            </w:r>
            <w:r>
              <w:t xml:space="preserve"> (</w:t>
            </w:r>
            <w:proofErr w:type="spellStart"/>
            <w:r>
              <w:t>Cth</w:t>
            </w:r>
            <w:proofErr w:type="spellEnd"/>
            <w:r>
              <w:t>)</w:t>
            </w:r>
            <w:r w:rsidR="001407BF">
              <w:t xml:space="preserve"> Pt IVA,</w:t>
            </w:r>
            <w:r>
              <w:t xml:space="preserve"> </w:t>
            </w:r>
            <w:proofErr w:type="spellStart"/>
            <w:r>
              <w:t>s</w:t>
            </w:r>
            <w:r w:rsidR="001407BF">
              <w:t>s</w:t>
            </w:r>
            <w:proofErr w:type="spellEnd"/>
            <w:r w:rsidR="00847B3C">
              <w:t xml:space="preserve"> 33V</w:t>
            </w:r>
            <w:r>
              <w:t>,</w:t>
            </w:r>
            <w:r w:rsidR="001407BF">
              <w:t xml:space="preserve"> 43(1A)</w:t>
            </w:r>
            <w:r w:rsidR="002C7385">
              <w:t xml:space="preserve"> </w:t>
            </w:r>
            <w:bookmarkEnd w:id="1"/>
          </w:p>
        </w:tc>
      </w:tr>
      <w:tr w:rsidR="00395B24" w:rsidTr="00EA31A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A31A8">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6D2CB0" w:rsidRDefault="006D2CB0" w:rsidP="006D2CB0">
            <w:pPr>
              <w:pStyle w:val="CasesLegislationAppealFrom"/>
              <w:spacing w:after="60"/>
            </w:pPr>
            <w:bookmarkStart w:id="2" w:name="Cases_Cited"/>
            <w:r w:rsidRPr="00370BD5">
              <w:rPr>
                <w:i/>
              </w:rPr>
              <w:t>LFDB v SM (No 2)</w:t>
            </w:r>
            <w:r w:rsidRPr="00370BD5">
              <w:t xml:space="preserve"> [2017] FCAFC 207</w:t>
            </w:r>
          </w:p>
          <w:p w:rsidR="00CD0D49" w:rsidRDefault="00DD676C" w:rsidP="006D2CB0">
            <w:pPr>
              <w:pStyle w:val="CasesLegislationAppealFrom"/>
              <w:spacing w:after="60"/>
            </w:pPr>
            <w:r>
              <w:rPr>
                <w:i/>
              </w:rPr>
              <w:t>QANTAS Airways Limite</w:t>
            </w:r>
            <w:r w:rsidR="00CD0D49" w:rsidRPr="0023705B">
              <w:rPr>
                <w:i/>
              </w:rPr>
              <w:t xml:space="preserve">d v Cameron (No 3) </w:t>
            </w:r>
            <w:r w:rsidR="00CD0D49">
              <w:t>(1996) 68 FCR 387</w:t>
            </w:r>
          </w:p>
          <w:p w:rsidR="00CD0D49" w:rsidRDefault="00CD0D49" w:rsidP="006D2CB0">
            <w:pPr>
              <w:pStyle w:val="CasesLegislationAppealFrom"/>
              <w:spacing w:after="60"/>
            </w:pPr>
            <w:r w:rsidRPr="0023705B">
              <w:rPr>
                <w:i/>
              </w:rPr>
              <w:t xml:space="preserve">Ruddock v </w:t>
            </w:r>
            <w:proofErr w:type="spellStart"/>
            <w:r w:rsidRPr="0023705B">
              <w:rPr>
                <w:i/>
              </w:rPr>
              <w:t>Vadarlis</w:t>
            </w:r>
            <w:proofErr w:type="spellEnd"/>
            <w:r>
              <w:rPr>
                <w:i/>
              </w:rPr>
              <w:t xml:space="preserve"> (No 2)</w:t>
            </w:r>
            <w:r w:rsidRPr="0023705B">
              <w:rPr>
                <w:i/>
              </w:rPr>
              <w:t xml:space="preserve"> </w:t>
            </w:r>
            <w:r w:rsidRPr="0059497D">
              <w:t xml:space="preserve">[2001] FCA 1865; </w:t>
            </w:r>
            <w:r>
              <w:t>(2001) 115 FCR 229</w:t>
            </w:r>
          </w:p>
          <w:p w:rsidR="00395B24" w:rsidRPr="00847B3C" w:rsidRDefault="00CD0D49" w:rsidP="00CD0D49">
            <w:pPr>
              <w:pStyle w:val="CasesLegislationAppealFrom"/>
              <w:spacing w:after="60"/>
              <w:rPr>
                <w:i/>
              </w:rPr>
            </w:pPr>
            <w:r w:rsidRPr="007C38A7">
              <w:rPr>
                <w:i/>
              </w:rPr>
              <w:t xml:space="preserve">Turner v </w:t>
            </w:r>
            <w:proofErr w:type="spellStart"/>
            <w:r w:rsidRPr="007C38A7">
              <w:rPr>
                <w:i/>
              </w:rPr>
              <w:t>MyBudget</w:t>
            </w:r>
            <w:proofErr w:type="spellEnd"/>
            <w:r w:rsidRPr="007C38A7">
              <w:rPr>
                <w:i/>
              </w:rPr>
              <w:t xml:space="preserve"> Pty Limited</w:t>
            </w:r>
            <w:r>
              <w:t xml:space="preserve"> [2018] FCA 1407</w:t>
            </w:r>
            <w:r w:rsidR="002C7385">
              <w:t xml:space="preserve"> </w:t>
            </w:r>
            <w:bookmarkEnd w:id="2"/>
          </w:p>
        </w:tc>
      </w:tr>
      <w:tr w:rsidR="00EA31A8" w:rsidRPr="00EA31A8" w:rsidTr="00EA31A8">
        <w:tc>
          <w:tcPr>
            <w:tcW w:w="3085" w:type="dxa"/>
            <w:shd w:val="clear" w:color="auto" w:fill="auto"/>
          </w:tcPr>
          <w:p w:rsidR="00EA31A8" w:rsidRPr="00EA31A8" w:rsidRDefault="00EA31A8" w:rsidP="00EA31A8">
            <w:pPr>
              <w:pStyle w:val="Normal1linespace"/>
              <w:jc w:val="left"/>
            </w:pPr>
          </w:p>
        </w:tc>
        <w:tc>
          <w:tcPr>
            <w:tcW w:w="5989" w:type="dxa"/>
            <w:shd w:val="clear" w:color="auto" w:fill="auto"/>
          </w:tcPr>
          <w:p w:rsidR="00EA31A8" w:rsidRPr="00EA31A8" w:rsidRDefault="00EA31A8" w:rsidP="00EA31A8">
            <w:pPr>
              <w:pStyle w:val="Normal1linespace"/>
              <w:jc w:val="left"/>
            </w:pPr>
          </w:p>
        </w:tc>
      </w:tr>
      <w:tr w:rsidR="00EA31A8" w:rsidRPr="00EA31A8" w:rsidTr="00EA31A8">
        <w:tc>
          <w:tcPr>
            <w:tcW w:w="3085" w:type="dxa"/>
            <w:shd w:val="clear" w:color="auto" w:fill="auto"/>
          </w:tcPr>
          <w:p w:rsidR="00EA31A8" w:rsidRPr="00EA31A8" w:rsidRDefault="00EA31A8" w:rsidP="00EA31A8">
            <w:pPr>
              <w:pStyle w:val="Normal1linespace"/>
              <w:jc w:val="left"/>
            </w:pPr>
            <w:bookmarkStart w:id="3" w:name="CounselDate" w:colFirst="0" w:colLast="2"/>
            <w:r w:rsidRPr="00EA31A8">
              <w:t>Date of hearing:</w:t>
            </w:r>
          </w:p>
        </w:tc>
        <w:tc>
          <w:tcPr>
            <w:tcW w:w="5989" w:type="dxa"/>
            <w:shd w:val="clear" w:color="auto" w:fill="auto"/>
          </w:tcPr>
          <w:p w:rsidR="00EA31A8" w:rsidRPr="00EA31A8" w:rsidRDefault="00EA31A8" w:rsidP="00EA31A8">
            <w:pPr>
              <w:pStyle w:val="Normal1linespace"/>
              <w:jc w:val="left"/>
            </w:pPr>
            <w:bookmarkStart w:id="4" w:name="HearingDate"/>
            <w:r>
              <w:t>Determined on the papers</w:t>
            </w:r>
            <w:bookmarkEnd w:id="4"/>
          </w:p>
        </w:tc>
      </w:tr>
      <w:tr w:rsidR="00EA31A8" w:rsidRPr="00EA31A8" w:rsidTr="00EA31A8">
        <w:tc>
          <w:tcPr>
            <w:tcW w:w="3085" w:type="dxa"/>
            <w:shd w:val="clear" w:color="auto" w:fill="auto"/>
          </w:tcPr>
          <w:p w:rsidR="00EA31A8" w:rsidRPr="00EA31A8" w:rsidRDefault="00EA31A8" w:rsidP="00EA31A8">
            <w:pPr>
              <w:pStyle w:val="Normal1linespace"/>
              <w:jc w:val="left"/>
            </w:pPr>
          </w:p>
        </w:tc>
        <w:tc>
          <w:tcPr>
            <w:tcW w:w="5989" w:type="dxa"/>
            <w:shd w:val="clear" w:color="auto" w:fill="auto"/>
          </w:tcPr>
          <w:p w:rsidR="00EA31A8" w:rsidRPr="00EA31A8" w:rsidRDefault="00EA31A8" w:rsidP="00EA31A8">
            <w:pPr>
              <w:pStyle w:val="Normal1linespace"/>
              <w:jc w:val="left"/>
            </w:pPr>
          </w:p>
        </w:tc>
      </w:tr>
      <w:tr w:rsidR="00EA31A8" w:rsidRPr="00EA31A8" w:rsidTr="00EA31A8">
        <w:tc>
          <w:tcPr>
            <w:tcW w:w="3085" w:type="dxa"/>
            <w:shd w:val="clear" w:color="auto" w:fill="auto"/>
          </w:tcPr>
          <w:p w:rsidR="00EA31A8" w:rsidRPr="00EA31A8" w:rsidRDefault="00EA31A8" w:rsidP="00EA31A8">
            <w:pPr>
              <w:pStyle w:val="Normal1linespace"/>
              <w:jc w:val="left"/>
            </w:pPr>
            <w:r w:rsidRPr="00EA31A8">
              <w:t>Date of last submissions:</w:t>
            </w:r>
          </w:p>
        </w:tc>
        <w:tc>
          <w:tcPr>
            <w:tcW w:w="5989" w:type="dxa"/>
            <w:shd w:val="clear" w:color="auto" w:fill="auto"/>
          </w:tcPr>
          <w:p w:rsidR="00EA31A8" w:rsidRPr="00EA31A8" w:rsidRDefault="00F26EC7" w:rsidP="00EA31A8">
            <w:pPr>
              <w:pStyle w:val="Normal1linespace"/>
              <w:jc w:val="left"/>
            </w:pPr>
            <w:r>
              <w:t>5 October 2018</w:t>
            </w:r>
          </w:p>
        </w:tc>
      </w:tr>
      <w:bookmarkEnd w:id="3"/>
      <w:tr w:rsidR="00EA31A8" w:rsidTr="00EA31A8">
        <w:tc>
          <w:tcPr>
            <w:tcW w:w="3085" w:type="dxa"/>
            <w:shd w:val="clear" w:color="auto" w:fill="auto"/>
          </w:tcPr>
          <w:p w:rsidR="00EA31A8" w:rsidRDefault="00EA31A8" w:rsidP="00EA31A8">
            <w:pPr>
              <w:pStyle w:val="Normal1linespace"/>
              <w:widowControl w:val="0"/>
              <w:jc w:val="left"/>
            </w:pPr>
          </w:p>
        </w:tc>
        <w:tc>
          <w:tcPr>
            <w:tcW w:w="5989" w:type="dxa"/>
            <w:shd w:val="clear" w:color="auto" w:fill="auto"/>
          </w:tcPr>
          <w:p w:rsidR="00EA31A8" w:rsidRDefault="00EA31A8" w:rsidP="00EA31A8">
            <w:pPr>
              <w:pStyle w:val="Normal1linespace"/>
              <w:widowControl w:val="0"/>
              <w:jc w:val="left"/>
            </w:pPr>
          </w:p>
        </w:tc>
      </w:tr>
      <w:tr w:rsidR="00EA31A8" w:rsidTr="00EA31A8">
        <w:tc>
          <w:tcPr>
            <w:tcW w:w="3085" w:type="dxa"/>
            <w:shd w:val="clear" w:color="auto" w:fill="auto"/>
          </w:tcPr>
          <w:p w:rsidR="00EA31A8" w:rsidRDefault="00EA31A8" w:rsidP="00EA31A8">
            <w:pPr>
              <w:pStyle w:val="Normal1linespace"/>
              <w:widowControl w:val="0"/>
              <w:jc w:val="left"/>
            </w:pPr>
            <w:r>
              <w:t>Registry:</w:t>
            </w:r>
          </w:p>
        </w:tc>
        <w:tc>
          <w:tcPr>
            <w:tcW w:w="5989" w:type="dxa"/>
            <w:shd w:val="clear" w:color="auto" w:fill="auto"/>
          </w:tcPr>
          <w:p w:rsidR="00EA31A8" w:rsidRPr="00F17599" w:rsidRDefault="002870E9" w:rsidP="00EA31A8">
            <w:pPr>
              <w:pStyle w:val="Normal1linespace"/>
              <w:widowControl w:val="0"/>
              <w:jc w:val="left"/>
            </w:pPr>
            <w:r>
              <w:fldChar w:fldCharType="begin"/>
            </w:r>
            <w:r>
              <w:instrText xml:space="preserve"> DOCPROPERTY  Registry </w:instrText>
            </w:r>
            <w:r>
              <w:fldChar w:fldCharType="separate"/>
            </w:r>
            <w:r w:rsidR="00EA31A8">
              <w:t>New South Wales</w:t>
            </w:r>
            <w:r>
              <w:fldChar w:fldCharType="end"/>
            </w:r>
          </w:p>
        </w:tc>
      </w:tr>
      <w:tr w:rsidR="00EA31A8" w:rsidTr="00EA31A8">
        <w:tc>
          <w:tcPr>
            <w:tcW w:w="3085" w:type="dxa"/>
            <w:shd w:val="clear" w:color="auto" w:fill="auto"/>
          </w:tcPr>
          <w:p w:rsidR="00EA31A8" w:rsidRPr="00F26EC7" w:rsidRDefault="00EA31A8" w:rsidP="00EA31A8">
            <w:pPr>
              <w:pStyle w:val="Normal1linespace"/>
              <w:widowControl w:val="0"/>
              <w:jc w:val="left"/>
            </w:pPr>
          </w:p>
        </w:tc>
        <w:tc>
          <w:tcPr>
            <w:tcW w:w="5989" w:type="dxa"/>
            <w:shd w:val="clear" w:color="auto" w:fill="auto"/>
          </w:tcPr>
          <w:p w:rsidR="00EA31A8" w:rsidRPr="00F26EC7" w:rsidRDefault="00EA31A8" w:rsidP="00EA31A8">
            <w:pPr>
              <w:pStyle w:val="Normal1linespace"/>
              <w:widowControl w:val="0"/>
              <w:jc w:val="left"/>
            </w:pPr>
          </w:p>
        </w:tc>
      </w:tr>
      <w:tr w:rsidR="00EA31A8" w:rsidTr="00EA31A8">
        <w:tc>
          <w:tcPr>
            <w:tcW w:w="3085" w:type="dxa"/>
            <w:shd w:val="clear" w:color="auto" w:fill="auto"/>
          </w:tcPr>
          <w:p w:rsidR="00EA31A8" w:rsidRPr="00F26EC7" w:rsidRDefault="00EA31A8" w:rsidP="00EA31A8">
            <w:pPr>
              <w:pStyle w:val="Normal1linespace"/>
              <w:widowControl w:val="0"/>
              <w:jc w:val="left"/>
            </w:pPr>
            <w:r w:rsidRPr="00F26EC7">
              <w:t>Division:</w:t>
            </w:r>
          </w:p>
        </w:tc>
        <w:tc>
          <w:tcPr>
            <w:tcW w:w="5989" w:type="dxa"/>
            <w:shd w:val="clear" w:color="auto" w:fill="auto"/>
          </w:tcPr>
          <w:p w:rsidR="00EA31A8" w:rsidRPr="00F26EC7" w:rsidRDefault="002870E9" w:rsidP="00EA31A8">
            <w:pPr>
              <w:pStyle w:val="Normal1linespace"/>
              <w:widowControl w:val="0"/>
              <w:jc w:val="left"/>
            </w:pPr>
            <w:r>
              <w:fldChar w:fldCharType="begin"/>
            </w:r>
            <w:r>
              <w:instrText xml:space="preserve"> DOCPROPERTY  Division </w:instrText>
            </w:r>
            <w:r>
              <w:fldChar w:fldCharType="separate"/>
            </w:r>
            <w:r w:rsidR="00EA31A8" w:rsidRPr="00F26EC7">
              <w:t>General Division</w:t>
            </w:r>
            <w:r>
              <w:fldChar w:fldCharType="end"/>
            </w:r>
          </w:p>
        </w:tc>
      </w:tr>
      <w:tr w:rsidR="00EA31A8" w:rsidTr="00EA31A8">
        <w:tc>
          <w:tcPr>
            <w:tcW w:w="3085" w:type="dxa"/>
            <w:shd w:val="clear" w:color="auto" w:fill="auto"/>
          </w:tcPr>
          <w:p w:rsidR="00EA31A8" w:rsidRPr="00F26EC7" w:rsidRDefault="00EA31A8" w:rsidP="00EA31A8">
            <w:pPr>
              <w:pStyle w:val="Normal1linespace"/>
              <w:widowControl w:val="0"/>
              <w:jc w:val="left"/>
            </w:pPr>
          </w:p>
        </w:tc>
        <w:tc>
          <w:tcPr>
            <w:tcW w:w="5989" w:type="dxa"/>
            <w:shd w:val="clear" w:color="auto" w:fill="auto"/>
          </w:tcPr>
          <w:p w:rsidR="00EA31A8" w:rsidRPr="00F26EC7" w:rsidRDefault="00EA31A8" w:rsidP="00EA31A8">
            <w:pPr>
              <w:pStyle w:val="Normal1linespace"/>
              <w:widowControl w:val="0"/>
              <w:jc w:val="left"/>
              <w:rPr>
                <w:b/>
              </w:rPr>
            </w:pPr>
          </w:p>
        </w:tc>
      </w:tr>
      <w:tr w:rsidR="00EA31A8" w:rsidRPr="00EA31A8" w:rsidTr="00EA31A8">
        <w:tc>
          <w:tcPr>
            <w:tcW w:w="3085" w:type="dxa"/>
            <w:shd w:val="clear" w:color="auto" w:fill="auto"/>
          </w:tcPr>
          <w:p w:rsidR="00EA31A8" w:rsidRPr="00F26EC7" w:rsidRDefault="00EA31A8" w:rsidP="00EA31A8">
            <w:pPr>
              <w:pStyle w:val="Normal1linespace"/>
              <w:widowControl w:val="0"/>
              <w:jc w:val="left"/>
            </w:pPr>
            <w:r w:rsidRPr="00F26EC7">
              <w:t>National Practice Area:</w:t>
            </w:r>
          </w:p>
        </w:tc>
        <w:tc>
          <w:tcPr>
            <w:tcW w:w="5989" w:type="dxa"/>
            <w:shd w:val="clear" w:color="auto" w:fill="auto"/>
          </w:tcPr>
          <w:p w:rsidR="00EA31A8" w:rsidRPr="00F26EC7" w:rsidRDefault="00F26EC7" w:rsidP="00EA31A8">
            <w:pPr>
              <w:pStyle w:val="Normal1linespace"/>
              <w:widowControl w:val="0"/>
              <w:jc w:val="left"/>
              <w:rPr>
                <w:b/>
              </w:rPr>
            </w:pPr>
            <w:r w:rsidRPr="00F26EC7">
              <w:t>Commercial and Corporations</w:t>
            </w:r>
          </w:p>
        </w:tc>
      </w:tr>
      <w:tr w:rsidR="00EA31A8" w:rsidTr="00EA31A8">
        <w:tc>
          <w:tcPr>
            <w:tcW w:w="3085" w:type="dxa"/>
            <w:shd w:val="clear" w:color="auto" w:fill="auto"/>
          </w:tcPr>
          <w:p w:rsidR="00EA31A8" w:rsidRPr="00F26EC7" w:rsidRDefault="00EA31A8" w:rsidP="00EA31A8">
            <w:pPr>
              <w:pStyle w:val="Normal1linespace"/>
              <w:widowControl w:val="0"/>
              <w:jc w:val="left"/>
            </w:pPr>
          </w:p>
        </w:tc>
        <w:tc>
          <w:tcPr>
            <w:tcW w:w="5989" w:type="dxa"/>
            <w:shd w:val="clear" w:color="auto" w:fill="auto"/>
          </w:tcPr>
          <w:p w:rsidR="00EA31A8" w:rsidRPr="00F26EC7" w:rsidRDefault="00EA31A8" w:rsidP="00EA31A8">
            <w:pPr>
              <w:pStyle w:val="Normal1linespace"/>
              <w:widowControl w:val="0"/>
              <w:jc w:val="left"/>
            </w:pPr>
          </w:p>
        </w:tc>
      </w:tr>
      <w:tr w:rsidR="00EA31A8" w:rsidRPr="00EA31A8" w:rsidTr="00EA31A8">
        <w:tc>
          <w:tcPr>
            <w:tcW w:w="3085" w:type="dxa"/>
            <w:shd w:val="clear" w:color="auto" w:fill="auto"/>
          </w:tcPr>
          <w:p w:rsidR="00EA31A8" w:rsidRPr="00F26EC7" w:rsidRDefault="00EA31A8" w:rsidP="00EA31A8">
            <w:pPr>
              <w:pStyle w:val="Normal1linespace"/>
              <w:widowControl w:val="0"/>
              <w:jc w:val="left"/>
            </w:pPr>
            <w:r w:rsidRPr="00F26EC7">
              <w:t>Sub-area:</w:t>
            </w:r>
          </w:p>
        </w:tc>
        <w:tc>
          <w:tcPr>
            <w:tcW w:w="5989" w:type="dxa"/>
            <w:shd w:val="clear" w:color="auto" w:fill="auto"/>
          </w:tcPr>
          <w:p w:rsidR="00EA31A8" w:rsidRPr="00F26EC7" w:rsidRDefault="008C2AC4" w:rsidP="00F26EC7">
            <w:pPr>
              <w:pStyle w:val="Normal1linespace"/>
              <w:widowControl w:val="0"/>
              <w:jc w:val="left"/>
            </w:pPr>
            <w:r>
              <w:rPr>
                <w:bCs/>
                <w:lang w:val="en-US"/>
              </w:rPr>
              <w:fldChar w:fldCharType="begin"/>
            </w:r>
            <w:r>
              <w:rPr>
                <w:bCs/>
                <w:lang w:val="en-US"/>
              </w:rPr>
              <w:instrText xml:space="preserve"> DOCPROPERTY  "Sub Area"  \* MERGEFORMAT </w:instrText>
            </w:r>
            <w:r>
              <w:rPr>
                <w:bCs/>
                <w:lang w:val="en-US"/>
              </w:rPr>
              <w:fldChar w:fldCharType="separate"/>
            </w:r>
            <w:r w:rsidR="00F26EC7" w:rsidRPr="00F26EC7">
              <w:rPr>
                <w:bCs/>
                <w:lang w:val="en-US"/>
              </w:rPr>
              <w:t>Regulator and Consumer Protection</w:t>
            </w:r>
            <w:r>
              <w:rPr>
                <w:bCs/>
                <w:lang w:val="en-US"/>
              </w:rPr>
              <w:fldChar w:fldCharType="end"/>
            </w:r>
          </w:p>
        </w:tc>
      </w:tr>
      <w:tr w:rsidR="00EA31A8" w:rsidTr="00EA31A8">
        <w:tc>
          <w:tcPr>
            <w:tcW w:w="3085" w:type="dxa"/>
            <w:shd w:val="clear" w:color="auto" w:fill="auto"/>
          </w:tcPr>
          <w:p w:rsidR="00EA31A8" w:rsidRPr="00F26EC7" w:rsidRDefault="00EA31A8" w:rsidP="00EA31A8">
            <w:pPr>
              <w:pStyle w:val="Normal1linespace"/>
              <w:widowControl w:val="0"/>
              <w:jc w:val="left"/>
            </w:pPr>
          </w:p>
        </w:tc>
        <w:tc>
          <w:tcPr>
            <w:tcW w:w="5989" w:type="dxa"/>
            <w:shd w:val="clear" w:color="auto" w:fill="auto"/>
          </w:tcPr>
          <w:p w:rsidR="00EA31A8" w:rsidRPr="00F26EC7" w:rsidRDefault="00EA31A8" w:rsidP="00EA31A8">
            <w:pPr>
              <w:pStyle w:val="Normal1linespace"/>
              <w:widowControl w:val="0"/>
              <w:jc w:val="left"/>
              <w:rPr>
                <w:b/>
              </w:rPr>
            </w:pPr>
          </w:p>
        </w:tc>
      </w:tr>
      <w:tr w:rsidR="00EA31A8" w:rsidTr="00F26EC7">
        <w:trPr>
          <w:trHeight w:val="74"/>
        </w:trPr>
        <w:tc>
          <w:tcPr>
            <w:tcW w:w="3085" w:type="dxa"/>
            <w:shd w:val="clear" w:color="auto" w:fill="auto"/>
          </w:tcPr>
          <w:p w:rsidR="00EA31A8" w:rsidRPr="00F26EC7" w:rsidRDefault="00EA31A8" w:rsidP="00EA31A8">
            <w:pPr>
              <w:pStyle w:val="Normal1linespace"/>
              <w:widowControl w:val="0"/>
              <w:jc w:val="left"/>
            </w:pPr>
            <w:r w:rsidRPr="00F26EC7">
              <w:t>Category:</w:t>
            </w:r>
          </w:p>
        </w:tc>
        <w:tc>
          <w:tcPr>
            <w:tcW w:w="5989" w:type="dxa"/>
            <w:shd w:val="clear" w:color="auto" w:fill="auto"/>
          </w:tcPr>
          <w:p w:rsidR="00EA31A8" w:rsidRPr="00F26EC7" w:rsidRDefault="00EA31A8" w:rsidP="00EA31A8">
            <w:pPr>
              <w:pStyle w:val="Normal1linespace"/>
              <w:widowControl w:val="0"/>
              <w:jc w:val="left"/>
            </w:pPr>
            <w:r w:rsidRPr="00F26EC7">
              <w:t>C</w:t>
            </w:r>
            <w:r w:rsidR="00F26EC7" w:rsidRPr="00F26EC7">
              <w:t>atchwords</w:t>
            </w:r>
          </w:p>
        </w:tc>
      </w:tr>
      <w:tr w:rsidR="00EA31A8" w:rsidTr="00EA31A8">
        <w:tc>
          <w:tcPr>
            <w:tcW w:w="3085" w:type="dxa"/>
            <w:shd w:val="clear" w:color="auto" w:fill="auto"/>
          </w:tcPr>
          <w:p w:rsidR="00EA31A8" w:rsidRDefault="00EA31A8" w:rsidP="00EA31A8">
            <w:pPr>
              <w:pStyle w:val="Normal1linespace"/>
              <w:widowControl w:val="0"/>
              <w:jc w:val="left"/>
            </w:pPr>
          </w:p>
        </w:tc>
        <w:tc>
          <w:tcPr>
            <w:tcW w:w="5989" w:type="dxa"/>
            <w:shd w:val="clear" w:color="auto" w:fill="auto"/>
          </w:tcPr>
          <w:p w:rsidR="00EA31A8" w:rsidRDefault="00EA31A8" w:rsidP="00EA31A8">
            <w:pPr>
              <w:pStyle w:val="Normal1linespace"/>
              <w:widowControl w:val="0"/>
              <w:jc w:val="left"/>
            </w:pPr>
          </w:p>
        </w:tc>
      </w:tr>
      <w:tr w:rsidR="00EA31A8" w:rsidTr="00EA31A8">
        <w:tc>
          <w:tcPr>
            <w:tcW w:w="3085" w:type="dxa"/>
            <w:shd w:val="clear" w:color="auto" w:fill="auto"/>
          </w:tcPr>
          <w:p w:rsidR="00EA31A8" w:rsidRDefault="00EA31A8" w:rsidP="00EA31A8">
            <w:pPr>
              <w:pStyle w:val="Normal1linespace"/>
              <w:widowControl w:val="0"/>
              <w:jc w:val="left"/>
            </w:pPr>
            <w:r>
              <w:t>Number of paragraphs:</w:t>
            </w:r>
          </w:p>
        </w:tc>
        <w:tc>
          <w:tcPr>
            <w:tcW w:w="5989" w:type="dxa"/>
            <w:shd w:val="clear" w:color="auto" w:fill="auto"/>
          </w:tcPr>
          <w:p w:rsidR="00EA31A8" w:rsidRDefault="00EA31A8" w:rsidP="00EA31A8">
            <w:pPr>
              <w:pStyle w:val="Normal1linespace"/>
              <w:widowControl w:val="0"/>
              <w:jc w:val="left"/>
            </w:pPr>
            <w:bookmarkStart w:id="5" w:name="PlaceCategoryParagraphs"/>
            <w:r>
              <w:t>16</w:t>
            </w:r>
            <w:bookmarkEnd w:id="5"/>
          </w:p>
        </w:tc>
      </w:tr>
      <w:tr w:rsidR="00EA31A8" w:rsidTr="00EA31A8">
        <w:tc>
          <w:tcPr>
            <w:tcW w:w="3085" w:type="dxa"/>
            <w:shd w:val="clear" w:color="auto" w:fill="auto"/>
          </w:tcPr>
          <w:p w:rsidR="00EA31A8" w:rsidRDefault="00EA31A8" w:rsidP="00EA31A8">
            <w:pPr>
              <w:pStyle w:val="Normal1linespace"/>
              <w:widowControl w:val="0"/>
              <w:jc w:val="left"/>
            </w:pPr>
          </w:p>
        </w:tc>
        <w:tc>
          <w:tcPr>
            <w:tcW w:w="5989" w:type="dxa"/>
            <w:shd w:val="clear" w:color="auto" w:fill="auto"/>
          </w:tcPr>
          <w:p w:rsidR="00EA31A8" w:rsidRDefault="00EA31A8" w:rsidP="00EA31A8">
            <w:pPr>
              <w:pStyle w:val="Normal1linespace"/>
              <w:widowControl w:val="0"/>
              <w:jc w:val="left"/>
            </w:pPr>
          </w:p>
        </w:tc>
      </w:tr>
      <w:tr w:rsidR="00EA31A8" w:rsidTr="00EA31A8">
        <w:tc>
          <w:tcPr>
            <w:tcW w:w="3085" w:type="dxa"/>
            <w:shd w:val="clear" w:color="auto" w:fill="auto"/>
          </w:tcPr>
          <w:p w:rsidR="00EA31A8" w:rsidRDefault="00EA31A8" w:rsidP="00EA31A8">
            <w:pPr>
              <w:pStyle w:val="Normal1linespace"/>
              <w:widowControl w:val="0"/>
              <w:jc w:val="left"/>
            </w:pPr>
            <w:bookmarkStart w:id="6" w:name="Counsel" w:colFirst="0" w:colLast="2"/>
            <w:r>
              <w:t>Counsel for the Applicant:</w:t>
            </w:r>
          </w:p>
        </w:tc>
        <w:tc>
          <w:tcPr>
            <w:tcW w:w="5989" w:type="dxa"/>
            <w:shd w:val="clear" w:color="auto" w:fill="auto"/>
          </w:tcPr>
          <w:p w:rsidR="00EA31A8" w:rsidRDefault="00EA31A8" w:rsidP="00EA31A8">
            <w:pPr>
              <w:pStyle w:val="Normal1linespace"/>
              <w:widowControl w:val="0"/>
              <w:jc w:val="left"/>
            </w:pPr>
            <w:bookmarkStart w:id="7" w:name="AppCounsel"/>
            <w:bookmarkEnd w:id="7"/>
            <w:r>
              <w:t>Mr J C Kelly SC, Mr A Maroya, Mr D O’Connor</w:t>
            </w:r>
          </w:p>
        </w:tc>
      </w:tr>
      <w:tr w:rsidR="00F26EC7" w:rsidTr="00EA31A8">
        <w:tc>
          <w:tcPr>
            <w:tcW w:w="3085" w:type="dxa"/>
            <w:shd w:val="clear" w:color="auto" w:fill="auto"/>
          </w:tcPr>
          <w:p w:rsidR="00F26EC7" w:rsidRDefault="00F26EC7" w:rsidP="00EA31A8">
            <w:pPr>
              <w:pStyle w:val="Normal1linespace"/>
              <w:widowControl w:val="0"/>
              <w:jc w:val="left"/>
            </w:pPr>
          </w:p>
        </w:tc>
        <w:tc>
          <w:tcPr>
            <w:tcW w:w="5989" w:type="dxa"/>
            <w:shd w:val="clear" w:color="auto" w:fill="auto"/>
          </w:tcPr>
          <w:p w:rsidR="00F26EC7" w:rsidRDefault="00F26EC7" w:rsidP="00EA31A8">
            <w:pPr>
              <w:pStyle w:val="Normal1linespace"/>
              <w:widowControl w:val="0"/>
              <w:jc w:val="left"/>
            </w:pPr>
          </w:p>
        </w:tc>
      </w:tr>
      <w:tr w:rsidR="00F26EC7" w:rsidTr="00EA31A8">
        <w:tc>
          <w:tcPr>
            <w:tcW w:w="3085" w:type="dxa"/>
            <w:shd w:val="clear" w:color="auto" w:fill="auto"/>
          </w:tcPr>
          <w:p w:rsidR="00F26EC7" w:rsidRDefault="00F26EC7" w:rsidP="00F26EC7">
            <w:pPr>
              <w:pStyle w:val="Normal1linespace"/>
              <w:widowControl w:val="0"/>
              <w:jc w:val="left"/>
            </w:pPr>
            <w:r>
              <w:t>Solicitor for the Applicant:</w:t>
            </w:r>
          </w:p>
        </w:tc>
        <w:tc>
          <w:tcPr>
            <w:tcW w:w="5989" w:type="dxa"/>
            <w:shd w:val="clear" w:color="auto" w:fill="auto"/>
          </w:tcPr>
          <w:p w:rsidR="00F26EC7" w:rsidRDefault="00F26EC7" w:rsidP="00F26EC7">
            <w:pPr>
              <w:pStyle w:val="Normal1linespace"/>
              <w:widowControl w:val="0"/>
              <w:jc w:val="left"/>
            </w:pPr>
            <w:r>
              <w:t>Financial Rights Legal Centre</w:t>
            </w:r>
          </w:p>
        </w:tc>
      </w:tr>
      <w:tr w:rsidR="00F26EC7" w:rsidTr="00EA31A8">
        <w:tc>
          <w:tcPr>
            <w:tcW w:w="3085" w:type="dxa"/>
            <w:shd w:val="clear" w:color="auto" w:fill="auto"/>
          </w:tcPr>
          <w:p w:rsidR="00F26EC7" w:rsidRDefault="00F26EC7" w:rsidP="00F26EC7">
            <w:pPr>
              <w:pStyle w:val="Normal1linespace"/>
              <w:widowControl w:val="0"/>
              <w:jc w:val="left"/>
            </w:pPr>
          </w:p>
        </w:tc>
        <w:tc>
          <w:tcPr>
            <w:tcW w:w="5989" w:type="dxa"/>
            <w:shd w:val="clear" w:color="auto" w:fill="auto"/>
          </w:tcPr>
          <w:p w:rsidR="00F26EC7" w:rsidRDefault="00F26EC7" w:rsidP="00F26EC7">
            <w:pPr>
              <w:pStyle w:val="Normal1linespace"/>
              <w:widowControl w:val="0"/>
              <w:jc w:val="left"/>
            </w:pPr>
          </w:p>
        </w:tc>
      </w:tr>
      <w:tr w:rsidR="00F26EC7" w:rsidTr="00EA31A8">
        <w:tc>
          <w:tcPr>
            <w:tcW w:w="3085" w:type="dxa"/>
            <w:shd w:val="clear" w:color="auto" w:fill="auto"/>
          </w:tcPr>
          <w:p w:rsidR="00F26EC7" w:rsidRDefault="00F26EC7" w:rsidP="00F26EC7">
            <w:pPr>
              <w:pStyle w:val="Normal1linespace"/>
              <w:widowControl w:val="0"/>
              <w:jc w:val="left"/>
            </w:pPr>
            <w:r>
              <w:t>Counsel for the Respondent:</w:t>
            </w:r>
          </w:p>
        </w:tc>
        <w:tc>
          <w:tcPr>
            <w:tcW w:w="5989" w:type="dxa"/>
            <w:shd w:val="clear" w:color="auto" w:fill="auto"/>
          </w:tcPr>
          <w:p w:rsidR="00F26EC7" w:rsidRDefault="00F26EC7" w:rsidP="00F26EC7">
            <w:pPr>
              <w:pStyle w:val="Normal1linespace"/>
              <w:widowControl w:val="0"/>
              <w:jc w:val="left"/>
            </w:pPr>
            <w:r>
              <w:t xml:space="preserve">Mr D </w:t>
            </w:r>
            <w:proofErr w:type="spellStart"/>
            <w:r>
              <w:t>Sulan</w:t>
            </w:r>
            <w:proofErr w:type="spellEnd"/>
            <w:r>
              <w:t>, Mr P J Strickland</w:t>
            </w:r>
          </w:p>
        </w:tc>
      </w:tr>
      <w:tr w:rsidR="00F26EC7" w:rsidTr="00EA31A8">
        <w:tc>
          <w:tcPr>
            <w:tcW w:w="3085" w:type="dxa"/>
            <w:shd w:val="clear" w:color="auto" w:fill="auto"/>
          </w:tcPr>
          <w:p w:rsidR="00F26EC7" w:rsidRDefault="00F26EC7" w:rsidP="00F26EC7">
            <w:pPr>
              <w:pStyle w:val="Normal1linespace"/>
              <w:widowControl w:val="0"/>
              <w:jc w:val="left"/>
            </w:pPr>
          </w:p>
        </w:tc>
        <w:tc>
          <w:tcPr>
            <w:tcW w:w="5989" w:type="dxa"/>
            <w:shd w:val="clear" w:color="auto" w:fill="auto"/>
          </w:tcPr>
          <w:p w:rsidR="00F26EC7" w:rsidRDefault="00F26EC7" w:rsidP="00F26EC7">
            <w:pPr>
              <w:pStyle w:val="Normal1linespace"/>
              <w:widowControl w:val="0"/>
              <w:jc w:val="left"/>
            </w:pPr>
          </w:p>
        </w:tc>
      </w:tr>
      <w:tr w:rsidR="00F26EC7" w:rsidTr="00EA31A8">
        <w:tc>
          <w:tcPr>
            <w:tcW w:w="3085" w:type="dxa"/>
            <w:shd w:val="clear" w:color="auto" w:fill="auto"/>
          </w:tcPr>
          <w:p w:rsidR="00F26EC7" w:rsidRDefault="00F26EC7" w:rsidP="00F26EC7">
            <w:pPr>
              <w:pStyle w:val="Normal1linespace"/>
              <w:widowControl w:val="0"/>
              <w:jc w:val="left"/>
            </w:pPr>
            <w:r>
              <w:t>Solicitor for the Respondent:</w:t>
            </w:r>
          </w:p>
        </w:tc>
        <w:tc>
          <w:tcPr>
            <w:tcW w:w="5989" w:type="dxa"/>
            <w:shd w:val="clear" w:color="auto" w:fill="auto"/>
          </w:tcPr>
          <w:p w:rsidR="00F26EC7" w:rsidRDefault="00F26EC7" w:rsidP="00F26EC7">
            <w:pPr>
              <w:pStyle w:val="Normal1linespace"/>
              <w:widowControl w:val="0"/>
              <w:jc w:val="left"/>
            </w:pPr>
            <w:r>
              <w:t>Norton Rose Fulbright</w:t>
            </w:r>
          </w:p>
        </w:tc>
      </w:tr>
      <w:bookmarkEnd w:id="6"/>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1A6337" w:rsidP="00F92355">
            <w:pPr>
              <w:pStyle w:val="NormalHeadings"/>
              <w:jc w:val="right"/>
            </w:pPr>
            <w:bookmarkStart w:id="8" w:name="FileNo"/>
            <w:r>
              <w:t>NSD 297 of 2017</w:t>
            </w:r>
            <w:bookmarkEnd w:id="8"/>
          </w:p>
        </w:tc>
      </w:tr>
      <w:tr w:rsidR="00A76C13" w:rsidTr="00BF04B6">
        <w:tc>
          <w:tcPr>
            <w:tcW w:w="9242" w:type="dxa"/>
            <w:gridSpan w:val="3"/>
          </w:tcPr>
          <w:p w:rsidR="00A76C13" w:rsidRPr="00A76C13" w:rsidRDefault="00A76C13" w:rsidP="00C14581">
            <w:pPr>
              <w:pStyle w:val="NormalHeadings"/>
              <w:spacing w:before="240" w:after="240"/>
              <w:jc w:val="left"/>
            </w:pPr>
          </w:p>
        </w:tc>
      </w:tr>
      <w:tr w:rsidR="00A46CCC" w:rsidTr="00BF04B6">
        <w:trPr>
          <w:trHeight w:val="386"/>
        </w:trPr>
        <w:tc>
          <w:tcPr>
            <w:tcW w:w="2376" w:type="dxa"/>
          </w:tcPr>
          <w:p w:rsidR="00A46CCC" w:rsidRDefault="00A46CCC" w:rsidP="00BF04B6">
            <w:pPr>
              <w:pStyle w:val="NormalHeadings"/>
              <w:jc w:val="left"/>
              <w:rPr>
                <w:caps/>
                <w:szCs w:val="24"/>
              </w:rPr>
            </w:pPr>
            <w:bookmarkStart w:id="9" w:name="Parties"/>
            <w:r>
              <w:rPr>
                <w:caps/>
                <w:szCs w:val="24"/>
              </w:rPr>
              <w:t>BETWEEN:</w:t>
            </w:r>
          </w:p>
        </w:tc>
        <w:tc>
          <w:tcPr>
            <w:tcW w:w="6866" w:type="dxa"/>
            <w:gridSpan w:val="2"/>
          </w:tcPr>
          <w:p w:rsidR="00A46CCC" w:rsidRDefault="00C14581" w:rsidP="00C14581">
            <w:pPr>
              <w:pStyle w:val="NormalHeadings"/>
              <w:jc w:val="left"/>
            </w:pPr>
            <w:bookmarkStart w:id="10" w:name="Applicant"/>
            <w:bookmarkEnd w:id="10"/>
            <w:r>
              <w:t>KELVIN TURNER</w:t>
            </w:r>
          </w:p>
          <w:p w:rsidR="00C14581" w:rsidRDefault="00C14581" w:rsidP="00C14581">
            <w:pPr>
              <w:pStyle w:val="NormalHeadings"/>
              <w:jc w:val="left"/>
              <w:rPr>
                <w:b w:val="0"/>
              </w:rPr>
            </w:pPr>
            <w:r w:rsidRPr="00C14581">
              <w:rPr>
                <w:b w:val="0"/>
              </w:rPr>
              <w:t>Applicant</w:t>
            </w:r>
          </w:p>
          <w:p w:rsidR="00C14581" w:rsidRPr="00C14581" w:rsidRDefault="00C14581" w:rsidP="00C14581">
            <w:pPr>
              <w:pStyle w:val="NormalHeadings"/>
              <w:jc w:val="left"/>
              <w:rPr>
                <w:b w:val="0"/>
              </w:rPr>
            </w:pPr>
          </w:p>
        </w:tc>
      </w:tr>
      <w:tr w:rsidR="00A46CCC" w:rsidTr="00BF04B6">
        <w:trPr>
          <w:trHeight w:val="386"/>
        </w:trPr>
        <w:tc>
          <w:tcPr>
            <w:tcW w:w="2376" w:type="dxa"/>
          </w:tcPr>
          <w:p w:rsidR="00A46CCC" w:rsidRDefault="00A46CCC" w:rsidP="00BF04B6">
            <w:pPr>
              <w:pStyle w:val="NormalHeadings"/>
              <w:jc w:val="left"/>
              <w:rPr>
                <w:caps/>
                <w:szCs w:val="24"/>
              </w:rPr>
            </w:pPr>
            <w:r>
              <w:rPr>
                <w:caps/>
                <w:szCs w:val="24"/>
              </w:rPr>
              <w:t>AND:</w:t>
            </w:r>
          </w:p>
        </w:tc>
        <w:tc>
          <w:tcPr>
            <w:tcW w:w="6866" w:type="dxa"/>
            <w:gridSpan w:val="2"/>
          </w:tcPr>
          <w:p w:rsidR="00A46CCC" w:rsidRDefault="00C14581" w:rsidP="00C14581">
            <w:pPr>
              <w:pStyle w:val="NormalHeadings"/>
              <w:jc w:val="left"/>
            </w:pPr>
            <w:bookmarkStart w:id="11" w:name="Respondent"/>
            <w:bookmarkEnd w:id="11"/>
            <w:r>
              <w:t>MYBUDGET PTY LIMITED ACN 82 093 118 597</w:t>
            </w:r>
          </w:p>
          <w:p w:rsidR="00C14581" w:rsidRPr="00C14581" w:rsidRDefault="00C14581" w:rsidP="00C14581">
            <w:pPr>
              <w:pStyle w:val="NormalHeadings"/>
              <w:jc w:val="left"/>
              <w:rPr>
                <w:b w:val="0"/>
              </w:rPr>
            </w:pPr>
            <w:r>
              <w:rPr>
                <w:b w:val="0"/>
              </w:rPr>
              <w:t>Respondent</w:t>
            </w:r>
          </w:p>
        </w:tc>
      </w:tr>
    </w:tbl>
    <w:p w:rsidR="00395B24" w:rsidRDefault="00395B24">
      <w:pPr>
        <w:pStyle w:val="NormalHeadings"/>
      </w:pPr>
      <w:bookmarkStart w:id="12" w:name="CrossClaimPosition"/>
      <w:bookmarkEnd w:id="9"/>
      <w:bookmarkEnd w:id="12"/>
    </w:p>
    <w:tbl>
      <w:tblPr>
        <w:tblW w:w="9242" w:type="dxa"/>
        <w:tblLayout w:type="fixed"/>
        <w:tblLook w:val="0000" w:firstRow="0" w:lastRow="0" w:firstColumn="0" w:lastColumn="0" w:noHBand="0" w:noVBand="0"/>
        <w:tblCaption w:val="Judge"/>
        <w:tblDescription w:val="Judge"/>
      </w:tblPr>
      <w:tblGrid>
        <w:gridCol w:w="2376"/>
        <w:gridCol w:w="6866"/>
      </w:tblGrid>
      <w:tr w:rsidR="00395B24" w:rsidTr="00F26EC7">
        <w:tc>
          <w:tcPr>
            <w:tcW w:w="2376" w:type="dxa"/>
          </w:tcPr>
          <w:p w:rsidR="00395B24" w:rsidRDefault="001A6337">
            <w:pPr>
              <w:pStyle w:val="NormalHeadings"/>
              <w:spacing w:after="120"/>
              <w:jc w:val="left"/>
              <w:rPr>
                <w:caps/>
                <w:szCs w:val="24"/>
              </w:rPr>
            </w:pPr>
            <w:bookmarkStart w:id="13" w:name="JudgeText"/>
            <w:r>
              <w:rPr>
                <w:caps/>
                <w:szCs w:val="24"/>
              </w:rPr>
              <w:t>JUDGE</w:t>
            </w:r>
            <w:bookmarkEnd w:id="13"/>
            <w:r w:rsidR="002C7385">
              <w:rPr>
                <w:caps/>
                <w:szCs w:val="24"/>
              </w:rPr>
              <w:t>:</w:t>
            </w:r>
          </w:p>
        </w:tc>
        <w:tc>
          <w:tcPr>
            <w:tcW w:w="6866" w:type="dxa"/>
          </w:tcPr>
          <w:p w:rsidR="00395B24" w:rsidRDefault="001A6337">
            <w:pPr>
              <w:pStyle w:val="NormalHeadings"/>
              <w:jc w:val="left"/>
              <w:rPr>
                <w:caps/>
                <w:szCs w:val="24"/>
              </w:rPr>
            </w:pPr>
            <w:bookmarkStart w:id="14" w:name="Judge"/>
            <w:r>
              <w:rPr>
                <w:caps/>
                <w:szCs w:val="24"/>
              </w:rPr>
              <w:t>LEE J</w:t>
            </w:r>
            <w:bookmarkEnd w:id="14"/>
          </w:p>
        </w:tc>
      </w:tr>
      <w:tr w:rsidR="00395B24" w:rsidTr="00F26EC7">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101FED" w:rsidP="00E53EAA">
            <w:pPr>
              <w:pStyle w:val="NormalHeadings"/>
              <w:jc w:val="left"/>
              <w:rPr>
                <w:caps/>
                <w:szCs w:val="24"/>
              </w:rPr>
            </w:pPr>
            <w:bookmarkStart w:id="15" w:name="Judgment_Dated"/>
            <w:r>
              <w:t xml:space="preserve">8 </w:t>
            </w:r>
            <w:r w:rsidR="00E53EAA">
              <w:t xml:space="preserve">October </w:t>
            </w:r>
            <w:r w:rsidR="00520A2A">
              <w:t>2018</w:t>
            </w:r>
            <w:bookmarkEnd w:id="15"/>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64137D" w:rsidRDefault="0064137D" w:rsidP="0064137D">
      <w:pPr>
        <w:pStyle w:val="Order1"/>
      </w:pPr>
      <w:bookmarkStart w:id="16" w:name="Order_Start_Text"/>
      <w:bookmarkEnd w:id="16"/>
      <w:r>
        <w:t>There be no order as to costs.</w:t>
      </w: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pPr>
        <w:pStyle w:val="NormalHeadings"/>
        <w:spacing w:before="240" w:after="120"/>
        <w:rPr>
          <w:b w:val="0"/>
        </w:rPr>
        <w:sectPr w:rsidR="00395B24" w:rsidSect="0092590B">
          <w:headerReference w:type="default" r:id="rId7"/>
          <w:headerReference w:type="first" r:id="rId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7" w:name="ReasonsPage"/>
      <w:bookmarkEnd w:id="17"/>
      <w:r w:rsidRPr="00045BB7">
        <w:rPr>
          <w:sz w:val="28"/>
          <w:szCs w:val="28"/>
        </w:rPr>
        <w:lastRenderedPageBreak/>
        <w:t>REASONS FOR JUDGMENT</w:t>
      </w:r>
    </w:p>
    <w:p w:rsidR="00395B24" w:rsidRPr="00EA03CE" w:rsidRDefault="00C14581" w:rsidP="005E0510">
      <w:pPr>
        <w:pStyle w:val="NormalHeadings"/>
        <w:spacing w:line="360" w:lineRule="auto"/>
        <w:jc w:val="left"/>
        <w:rPr>
          <w:sz w:val="26"/>
          <w:szCs w:val="26"/>
        </w:rPr>
      </w:pPr>
      <w:r>
        <w:rPr>
          <w:sz w:val="26"/>
          <w:szCs w:val="26"/>
        </w:rPr>
        <w:t>LEE J</w:t>
      </w:r>
      <w:r w:rsidR="00484F6D" w:rsidRPr="00EA03CE">
        <w:rPr>
          <w:sz w:val="26"/>
          <w:szCs w:val="26"/>
        </w:rPr>
        <w:t>:</w:t>
      </w:r>
    </w:p>
    <w:p w:rsidR="007130EE" w:rsidRDefault="007C38A7" w:rsidP="001F37F0">
      <w:pPr>
        <w:pStyle w:val="ParaNumbering"/>
      </w:pPr>
      <w:r>
        <w:t>In</w:t>
      </w:r>
      <w:r w:rsidR="007130EE">
        <w:t xml:space="preserve"> </w:t>
      </w:r>
      <w:r w:rsidRPr="007C38A7">
        <w:rPr>
          <w:i/>
        </w:rPr>
        <w:t>Turner v MyBudget Pty Limited</w:t>
      </w:r>
      <w:r>
        <w:t xml:space="preserve"> [2018] FCA 1407 at [82], I noted </w:t>
      </w:r>
      <w:r w:rsidR="00D07560">
        <w:t xml:space="preserve">that </w:t>
      </w:r>
      <w:r>
        <w:t>I would hear from the parties as to the details of any order they seek as to costs and provided for submissions to be filed</w:t>
      </w:r>
      <w:r w:rsidR="00101FED">
        <w:t xml:space="preserve">. I further </w:t>
      </w:r>
      <w:r>
        <w:t>indicated that I would then deal with the issue of costs on the papers.</w:t>
      </w:r>
      <w:r w:rsidR="00101FED">
        <w:t xml:space="preserve">  Submissions were received </w:t>
      </w:r>
      <w:r w:rsidR="00D07560">
        <w:t>by</w:t>
      </w:r>
      <w:r w:rsidR="00101FED">
        <w:t xml:space="preserve"> 5 October 2018.</w:t>
      </w:r>
    </w:p>
    <w:p w:rsidR="00101FED" w:rsidRDefault="00E53EAA" w:rsidP="00E53EAA">
      <w:pPr>
        <w:pStyle w:val="ParaNumbering"/>
      </w:pPr>
      <w:r>
        <w:t xml:space="preserve">MyBudget seeks an order that the applicant pay its costs of and incidental to the proceeding on a party and party basis up to 10 April 2018 and thereafter on an indemnity basis.  Mr Turner seeks no order as to costs.  </w:t>
      </w:r>
    </w:p>
    <w:p w:rsidR="007C38A7" w:rsidRDefault="00E53EAA" w:rsidP="00E53EAA">
      <w:pPr>
        <w:pStyle w:val="ParaNumbering"/>
      </w:pPr>
      <w:r>
        <w:t xml:space="preserve">MyBudget advances two “key reasons” why the </w:t>
      </w:r>
      <w:r w:rsidR="000B0F55">
        <w:t xml:space="preserve">order it seeks should be made. </w:t>
      </w:r>
      <w:r>
        <w:t>They are as follows.</w:t>
      </w:r>
    </w:p>
    <w:p w:rsidR="007C38A7" w:rsidRPr="00E53EAA" w:rsidRDefault="00E53EAA" w:rsidP="00E53EAA">
      <w:pPr>
        <w:pStyle w:val="ParaNumbering"/>
      </w:pPr>
      <w:r w:rsidRPr="00E53EAA">
        <w:rPr>
          <w:i/>
        </w:rPr>
        <w:t>First</w:t>
      </w:r>
      <w:r w:rsidRPr="00E53EAA">
        <w:t xml:space="preserve">, the Court has dismissed all of Mr Turner’s claims.  </w:t>
      </w:r>
      <w:r w:rsidR="00101FED">
        <w:t>MyBudget</w:t>
      </w:r>
      <w:r w:rsidRPr="00E53EAA">
        <w:t xml:space="preserve"> contends there are no special circumstances that would warrant departure from the “usual rule that costs follow the event”.  In particular, </w:t>
      </w:r>
      <w:r w:rsidR="00755D9A">
        <w:t>MyBudget</w:t>
      </w:r>
      <w:r w:rsidR="00755D9A" w:rsidRPr="00E53EAA">
        <w:t xml:space="preserve"> </w:t>
      </w:r>
      <w:r w:rsidR="00755D9A">
        <w:t>asserts</w:t>
      </w:r>
      <w:r w:rsidRPr="00E53EAA">
        <w:t xml:space="preserve"> that this is not public interest </w:t>
      </w:r>
      <w:r w:rsidR="00101FED">
        <w:t xml:space="preserve">litigation </w:t>
      </w:r>
      <w:r w:rsidRPr="00E53EAA">
        <w:t>given that Mr Turner (and group members) sought monetary remedies including equitable compensation and damages, and the proceeding “did not raise issues of broader public interest or significance”.</w:t>
      </w:r>
    </w:p>
    <w:p w:rsidR="007C38A7" w:rsidRDefault="00E53EAA" w:rsidP="00E53EAA">
      <w:pPr>
        <w:pStyle w:val="ParaNumbering"/>
      </w:pPr>
      <w:r w:rsidRPr="00E53EAA">
        <w:rPr>
          <w:i/>
        </w:rPr>
        <w:t>Secondly</w:t>
      </w:r>
      <w:r w:rsidRPr="00E53EAA">
        <w:t xml:space="preserve">, on 20 March 2018, MyBudget offered to settle the litigation on the basis that the proceeding be dismissed with each party bearing its own costs incurred until that date.  It also notified Mr Turner that MyBudget had incurred costs to that date in excess of $200,000 and that if the offer was not accepted that the making of </w:t>
      </w:r>
      <w:r w:rsidR="00101FED">
        <w:t xml:space="preserve">the </w:t>
      </w:r>
      <w:r w:rsidR="00101FED" w:rsidRPr="00101FED">
        <w:rPr>
          <w:i/>
        </w:rPr>
        <w:t>Calderbank</w:t>
      </w:r>
      <w:r w:rsidR="00101FED">
        <w:t xml:space="preserve"> </w:t>
      </w:r>
      <w:r w:rsidRPr="00E53EAA">
        <w:t xml:space="preserve">offer would be </w:t>
      </w:r>
      <w:r w:rsidR="00101FED">
        <w:t>relied upon</w:t>
      </w:r>
      <w:r w:rsidRPr="00E53EAA">
        <w:t xml:space="preserve">.  </w:t>
      </w:r>
    </w:p>
    <w:p w:rsidR="007C38A7" w:rsidRDefault="00203C1F" w:rsidP="001F37F0">
      <w:pPr>
        <w:pStyle w:val="ParaNumbering"/>
      </w:pPr>
      <w:r>
        <w:t xml:space="preserve">For the reasons that follow I am not persuaded that I should make the order that </w:t>
      </w:r>
      <w:r w:rsidR="00DD431D" w:rsidRPr="00E53EAA">
        <w:t>MyBudget</w:t>
      </w:r>
      <w:r w:rsidR="00DD431D">
        <w:t xml:space="preserve"> </w:t>
      </w:r>
      <w:r>
        <w:t xml:space="preserve">seeks and </w:t>
      </w:r>
      <w:r w:rsidR="00DD431D">
        <w:t xml:space="preserve">I </w:t>
      </w:r>
      <w:r>
        <w:t xml:space="preserve">propose to make no order as to costs.  </w:t>
      </w:r>
    </w:p>
    <w:p w:rsidR="00370BD5" w:rsidRPr="001F37F0" w:rsidRDefault="000B0F55" w:rsidP="00370BD5">
      <w:pPr>
        <w:pStyle w:val="ParaNumbering"/>
      </w:pPr>
      <w:r>
        <w:t>MyBudget has submitted there is a “</w:t>
      </w:r>
      <w:r w:rsidR="00C45355">
        <w:t xml:space="preserve">usual </w:t>
      </w:r>
      <w:r>
        <w:t>rule that</w:t>
      </w:r>
      <w:r w:rsidR="00370BD5">
        <w:t xml:space="preserve"> costs follow the event</w:t>
      </w:r>
      <w:r w:rsidR="007C38A7">
        <w:t>”</w:t>
      </w:r>
      <w:r w:rsidR="00370BD5">
        <w:t>.  This is somewhat of an oversimplification.  As was noted by the Full Court</w:t>
      </w:r>
      <w:r w:rsidR="00DC71D7">
        <w:t xml:space="preserve"> (</w:t>
      </w:r>
      <w:r w:rsidR="00370BD5" w:rsidRPr="00370BD5">
        <w:t>B</w:t>
      </w:r>
      <w:r w:rsidR="00233A5E">
        <w:t>esanko</w:t>
      </w:r>
      <w:r w:rsidR="00370BD5">
        <w:t>, Jagot</w:t>
      </w:r>
      <w:r w:rsidR="00DC71D7">
        <w:t xml:space="preserve"> and Lee JJ)</w:t>
      </w:r>
      <w:r w:rsidR="00370BD5">
        <w:t xml:space="preserve">, in </w:t>
      </w:r>
      <w:r w:rsidR="00370BD5" w:rsidRPr="00370BD5">
        <w:rPr>
          <w:i/>
        </w:rPr>
        <w:t>LFDB v SM (No 2)</w:t>
      </w:r>
      <w:r w:rsidR="00370BD5" w:rsidRPr="00370BD5">
        <w:t xml:space="preserve"> [2017] FCAFC 207</w:t>
      </w:r>
      <w:r w:rsidR="00370BD5">
        <w:t xml:space="preserve"> at [6]:</w:t>
      </w:r>
    </w:p>
    <w:p w:rsidR="00902A7E" w:rsidRDefault="004D0598" w:rsidP="00370BD5">
      <w:pPr>
        <w:pStyle w:val="Quote1"/>
      </w:pPr>
      <w:r w:rsidRPr="004D0598">
        <w:t xml:space="preserve">The presently relevant approach is as was explained by Gleeson CJ, </w:t>
      </w:r>
      <w:proofErr w:type="spellStart"/>
      <w:r w:rsidRPr="004D0598">
        <w:t>Gummow</w:t>
      </w:r>
      <w:proofErr w:type="spellEnd"/>
      <w:r w:rsidRPr="004D0598">
        <w:t xml:space="preserve">, Hayne and </w:t>
      </w:r>
      <w:proofErr w:type="spellStart"/>
      <w:r w:rsidRPr="004D0598">
        <w:t>Crennan</w:t>
      </w:r>
      <w:proofErr w:type="spellEnd"/>
      <w:r w:rsidRPr="004D0598">
        <w:t xml:space="preserve"> JJ in </w:t>
      </w:r>
      <w:r w:rsidRPr="004D0598">
        <w:rPr>
          <w:i/>
          <w:iCs/>
        </w:rPr>
        <w:t>Foots v Southern Cross Mine Management Pty Ltd </w:t>
      </w:r>
      <w:r w:rsidRPr="004D0598">
        <w:t>[2007] HCA 56; (2007) 234 CLR 52 at 62-63 [25] that although there is “</w:t>
      </w:r>
      <w:r w:rsidRPr="004D0598">
        <w:rPr>
          <w:i/>
          <w:iCs/>
        </w:rPr>
        <w:t>no absolute rule</w:t>
      </w:r>
      <w:r w:rsidRPr="004D0598">
        <w:t>”, one of the “</w:t>
      </w:r>
      <w:r w:rsidRPr="004D0598">
        <w:rPr>
          <w:i/>
          <w:iCs/>
        </w:rPr>
        <w:t>general propositions</w:t>
      </w:r>
      <w:r w:rsidRPr="004D0598">
        <w:t>” regarding an award of costs is that “</w:t>
      </w:r>
      <w:r w:rsidRPr="004D0598">
        <w:rPr>
          <w:i/>
          <w:iCs/>
        </w:rPr>
        <w:t>the award is discretionary but generally that discretion is exercised in favour of the successful party</w:t>
      </w:r>
      <w:r w:rsidRPr="004D0598">
        <w:t>”: see also </w:t>
      </w:r>
      <w:proofErr w:type="spellStart"/>
      <w:r w:rsidRPr="004D0598">
        <w:rPr>
          <w:i/>
          <w:iCs/>
        </w:rPr>
        <w:t>Oshlack</w:t>
      </w:r>
      <w:proofErr w:type="spellEnd"/>
      <w:r w:rsidRPr="004D0598">
        <w:rPr>
          <w:i/>
          <w:iCs/>
        </w:rPr>
        <w:t xml:space="preserve"> v Richmond River Council</w:t>
      </w:r>
      <w:r w:rsidRPr="004D0598">
        <w:t xml:space="preserve"> [1998] HCA 11; (1998) 193 CLR 72 at 88-89 [40]-[41] per </w:t>
      </w:r>
      <w:proofErr w:type="spellStart"/>
      <w:r w:rsidRPr="004D0598">
        <w:t>Gaudron</w:t>
      </w:r>
      <w:proofErr w:type="spellEnd"/>
      <w:r w:rsidRPr="004D0598">
        <w:t xml:space="preserve"> and </w:t>
      </w:r>
      <w:proofErr w:type="spellStart"/>
      <w:r w:rsidRPr="004D0598">
        <w:t>Gummow</w:t>
      </w:r>
      <w:proofErr w:type="spellEnd"/>
      <w:r w:rsidRPr="004D0598">
        <w:t xml:space="preserve"> JJ.</w:t>
      </w:r>
    </w:p>
    <w:p w:rsidR="003B2156" w:rsidRDefault="00370BD5" w:rsidP="003B2156">
      <w:pPr>
        <w:pStyle w:val="ParaNumbering"/>
      </w:pPr>
      <w:r>
        <w:lastRenderedPageBreak/>
        <w:t>Although the f</w:t>
      </w:r>
      <w:r w:rsidR="004D0598">
        <w:t>act that MyBudget has</w:t>
      </w:r>
      <w:r>
        <w:t xml:space="preserve"> been successful in resisting the claim by Mr Turner is a very powerful discretionary factor militating in favour of an award of costs, it is not </w:t>
      </w:r>
      <w:r w:rsidR="00DC71D7">
        <w:t xml:space="preserve">necessarily </w:t>
      </w:r>
      <w:r>
        <w:t xml:space="preserve">determinative.  </w:t>
      </w:r>
      <w:r w:rsidR="00E97540">
        <w:t>While</w:t>
      </w:r>
      <w:r>
        <w:t xml:space="preserve"> the discretion as to costs is a very broad one</w:t>
      </w:r>
      <w:r w:rsidR="00DC71D7">
        <w:t>,</w:t>
      </w:r>
      <w:r>
        <w:t xml:space="preserve"> it is restrained in the case of representative proceedings by the prohibition on making an award for costs against group members</w:t>
      </w:r>
      <w:r w:rsidR="00DC71D7">
        <w:t xml:space="preserve"> except in defined circumstances</w:t>
      </w:r>
      <w:r>
        <w:t>: see s 43</w:t>
      </w:r>
      <w:r w:rsidR="00DC71D7">
        <w:t>(1A)</w:t>
      </w:r>
      <w:r>
        <w:t xml:space="preserve"> of the </w:t>
      </w:r>
      <w:r w:rsidRPr="00DD431D">
        <w:rPr>
          <w:i/>
        </w:rPr>
        <w:t>F</w:t>
      </w:r>
      <w:r w:rsidR="00DD431D" w:rsidRPr="00DD431D">
        <w:rPr>
          <w:i/>
        </w:rPr>
        <w:t>ederal Court of Australia Act 1976</w:t>
      </w:r>
      <w:r w:rsidR="00DD431D">
        <w:t xml:space="preserve"> (Cth)</w:t>
      </w:r>
      <w:r>
        <w:t xml:space="preserve">.  </w:t>
      </w:r>
      <w:r w:rsidR="003B2156">
        <w:t>Although this provision is not directly relevant in the case of costs sought against a representative party, it</w:t>
      </w:r>
      <w:r>
        <w:t xml:space="preserve"> recognises the </w:t>
      </w:r>
      <w:r w:rsidR="003B2156">
        <w:t>reality</w:t>
      </w:r>
      <w:r>
        <w:t xml:space="preserve"> that the questions determined in representative proceedings </w:t>
      </w:r>
      <w:r w:rsidR="003B2156">
        <w:t>have a</w:t>
      </w:r>
      <w:r w:rsidR="007B0C75">
        <w:t xml:space="preserve"> public dimension which transcends ordinary </w:t>
      </w:r>
      <w:r w:rsidR="007B0C75" w:rsidRPr="00DC71D7">
        <w:rPr>
          <w:i/>
        </w:rPr>
        <w:t xml:space="preserve">inter partes </w:t>
      </w:r>
      <w:r w:rsidR="007B0C75">
        <w:t>litigation</w:t>
      </w:r>
      <w:r w:rsidR="003B2156">
        <w:t xml:space="preserve"> and the rights of the parties to the litigation </w:t>
      </w:r>
      <w:r w:rsidR="003B2156" w:rsidRPr="003B2156">
        <w:rPr>
          <w:i/>
        </w:rPr>
        <w:t>inter se</w:t>
      </w:r>
      <w:r w:rsidR="007B0C75">
        <w:t xml:space="preserve">.  </w:t>
      </w:r>
    </w:p>
    <w:p w:rsidR="00370BD5" w:rsidRDefault="007B0C75" w:rsidP="003B2156">
      <w:pPr>
        <w:pStyle w:val="ParaNumbering"/>
      </w:pPr>
      <w:r>
        <w:t>The case brought by Mr Turner is an exe</w:t>
      </w:r>
      <w:r w:rsidR="00DD431D">
        <w:t>mplar of the type of proceeding</w:t>
      </w:r>
      <w:r>
        <w:t xml:space="preserve"> that the Australian Law Reform Com</w:t>
      </w:r>
      <w:r w:rsidR="00F910D4">
        <w:t>mission had in mind when, in 198</w:t>
      </w:r>
      <w:r>
        <w:t>8, it first recommended the introduction of a class action regime</w:t>
      </w:r>
      <w:r w:rsidR="00F910D4">
        <w:t xml:space="preserve"> in ALRC Report 46</w:t>
      </w:r>
      <w:r>
        <w:t xml:space="preserve">.  </w:t>
      </w:r>
      <w:r w:rsidR="003B2156">
        <w:t>Here</w:t>
      </w:r>
      <w:r w:rsidR="007F0398">
        <w:t>,</w:t>
      </w:r>
      <w:r w:rsidR="003B2156">
        <w:t xml:space="preserve"> a</w:t>
      </w:r>
      <w:r>
        <w:t xml:space="preserve"> very large number of persons were affected by a common issue of law (in this case being the proper construction of the In</w:t>
      </w:r>
      <w:r w:rsidR="00945315">
        <w:t xml:space="preserve">terest </w:t>
      </w:r>
      <w:r>
        <w:t xml:space="preserve">Provision).  It would have made no sense </w:t>
      </w:r>
      <w:r w:rsidR="003B2156">
        <w:t xml:space="preserve">whatsoever </w:t>
      </w:r>
      <w:r w:rsidR="00554E91">
        <w:t xml:space="preserve">for any individual litigant to have commenced a proceeding seeking clarification of this issue given the very small amount of money at stake for any individual litigant.  </w:t>
      </w:r>
      <w:r w:rsidR="003B2156">
        <w:t>The</w:t>
      </w:r>
      <w:r w:rsidR="000B0F55">
        <w:t xml:space="preserve"> </w:t>
      </w:r>
      <w:r w:rsidR="00945315">
        <w:t xml:space="preserve">benefit </w:t>
      </w:r>
      <w:r w:rsidR="003B2156">
        <w:t xml:space="preserve">of a grouping of claims by a Part IVA proceeding </w:t>
      </w:r>
      <w:r w:rsidR="00945315">
        <w:t>could only be achieved in the event that one person was prepared to come forward and act as the repr</w:t>
      </w:r>
      <w:r w:rsidR="00F910D4">
        <w:t>esentative applicant.  Unless</w:t>
      </w:r>
      <w:r w:rsidR="00945315">
        <w:t xml:space="preserve"> Mr Turner </w:t>
      </w:r>
      <w:r w:rsidR="00F910D4">
        <w:t xml:space="preserve">had been </w:t>
      </w:r>
      <w:r w:rsidR="00945315">
        <w:t>prepared to bring the claim</w:t>
      </w:r>
      <w:r w:rsidR="00F910D4">
        <w:t xml:space="preserve"> (assisted by </w:t>
      </w:r>
      <w:r w:rsidR="007F0398">
        <w:t>t</w:t>
      </w:r>
      <w:r w:rsidR="00CE5001" w:rsidRPr="00CE5001">
        <w:t>he Financial Rights Legal Centre (formerly Consumer Credit Law Centre</w:t>
      </w:r>
      <w:r w:rsidR="00CE5001">
        <w:t xml:space="preserve"> NSW), </w:t>
      </w:r>
      <w:r w:rsidR="00CE5001" w:rsidRPr="00CE5001">
        <w:t>a community legal centre specialising in financial services</w:t>
      </w:r>
      <w:r w:rsidR="00CE5001">
        <w:t>)</w:t>
      </w:r>
      <w:r w:rsidR="00945315">
        <w:t>, uncertainty would have continued to e</w:t>
      </w:r>
      <w:r w:rsidR="002550A5">
        <w:t>xist relating to the true effect</w:t>
      </w:r>
      <w:r w:rsidR="00945315">
        <w:t xml:space="preserve"> of the Interest Provision.  Although I have reached a view that the proper construction is </w:t>
      </w:r>
      <w:r w:rsidR="007C38A7">
        <w:t>as MyBudget contended</w:t>
      </w:r>
      <w:r w:rsidR="00945315">
        <w:t>, the arguments advanced by Mr Turner were far from being unarguable and, if I</w:t>
      </w:r>
      <w:r w:rsidR="00CE5001">
        <w:t xml:space="preserve"> may say so, were advanced in an</w:t>
      </w:r>
      <w:r w:rsidR="00945315">
        <w:t xml:space="preserve"> efficient and </w:t>
      </w:r>
      <w:r w:rsidR="002550A5">
        <w:t>comprehensive</w:t>
      </w:r>
      <w:r w:rsidR="00945315">
        <w:t xml:space="preserve"> manner</w:t>
      </w:r>
      <w:r w:rsidR="000B0F55">
        <w:t xml:space="preserve"> by Counsel for the applicant</w:t>
      </w:r>
      <w:r w:rsidR="00CE5001">
        <w:t>,</w:t>
      </w:r>
      <w:r w:rsidR="00945315">
        <w:t xml:space="preserve"> </w:t>
      </w:r>
      <w:r w:rsidR="002550A5">
        <w:t xml:space="preserve">and in a way which was </w:t>
      </w:r>
      <w:r w:rsidR="00945315">
        <w:t xml:space="preserve">consistent with the overarching purpose.  </w:t>
      </w:r>
    </w:p>
    <w:p w:rsidR="007C38A7" w:rsidRDefault="006C639C" w:rsidP="00945315">
      <w:pPr>
        <w:pStyle w:val="ParaNumbering"/>
      </w:pPr>
      <w:r>
        <w:t xml:space="preserve">This is </w:t>
      </w:r>
      <w:r w:rsidR="00A45853">
        <w:t xml:space="preserve">a world away from </w:t>
      </w:r>
      <w:r>
        <w:t xml:space="preserve">a </w:t>
      </w:r>
      <w:r w:rsidR="003B2156">
        <w:t>commercial</w:t>
      </w:r>
      <w:r>
        <w:t xml:space="preserve"> class action, where </w:t>
      </w:r>
      <w:r w:rsidR="006A4308">
        <w:t xml:space="preserve">the applicant is part of some form of common enterprise which seeks to use the Court’s processes not only for the vindication of the applicant’s personal claim but also as a means by which a managed investment scheme is seeking to derive </w:t>
      </w:r>
      <w:r w:rsidR="00A45853">
        <w:t xml:space="preserve">a significant </w:t>
      </w:r>
      <w:r w:rsidR="006A4308">
        <w:t xml:space="preserve">financial advantage for the participants in the scheme including a litigation funder.  </w:t>
      </w:r>
      <w:r w:rsidR="007C38A7">
        <w:t xml:space="preserve"> </w:t>
      </w:r>
    </w:p>
    <w:p w:rsidR="00203C1F" w:rsidRDefault="00203C1F" w:rsidP="00197DCF">
      <w:pPr>
        <w:pStyle w:val="ParaNumbering"/>
      </w:pPr>
      <w:proofErr w:type="spellStart"/>
      <w:r>
        <w:t>MyBudget</w:t>
      </w:r>
      <w:proofErr w:type="spellEnd"/>
      <w:r>
        <w:t xml:space="preserve"> recognises </w:t>
      </w:r>
      <w:r w:rsidR="00DD431D">
        <w:t xml:space="preserve">the fact that a proceeding </w:t>
      </w:r>
      <w:r>
        <w:t>brought in the “public interest” may be a basis</w:t>
      </w:r>
      <w:r w:rsidR="00DD431D">
        <w:t>, at least</w:t>
      </w:r>
      <w:r>
        <w:t xml:space="preserve"> in some circumstances</w:t>
      </w:r>
      <w:r w:rsidR="00DD431D">
        <w:t>,</w:t>
      </w:r>
      <w:r>
        <w:t xml:space="preserve"> for not awarding against an unsuccessful applicant: see </w:t>
      </w:r>
      <w:r w:rsidRPr="0023705B">
        <w:rPr>
          <w:i/>
        </w:rPr>
        <w:t xml:space="preserve">Ruddock </w:t>
      </w:r>
      <w:r w:rsidRPr="0023705B">
        <w:rPr>
          <w:i/>
        </w:rPr>
        <w:lastRenderedPageBreak/>
        <w:t xml:space="preserve">v </w:t>
      </w:r>
      <w:proofErr w:type="spellStart"/>
      <w:r w:rsidRPr="0023705B">
        <w:rPr>
          <w:i/>
        </w:rPr>
        <w:t>Vadarlis</w:t>
      </w:r>
      <w:proofErr w:type="spellEnd"/>
      <w:r w:rsidR="00CD0D49">
        <w:rPr>
          <w:i/>
        </w:rPr>
        <w:t xml:space="preserve"> (No 2)</w:t>
      </w:r>
      <w:r w:rsidRPr="0023705B">
        <w:rPr>
          <w:i/>
        </w:rPr>
        <w:t xml:space="preserve"> </w:t>
      </w:r>
      <w:r w:rsidR="0059497D" w:rsidRPr="0059497D">
        <w:t xml:space="preserve">[2001] FCA 1865; </w:t>
      </w:r>
      <w:r w:rsidR="000B0F55">
        <w:t xml:space="preserve">(2001) 115 FCR 229. </w:t>
      </w:r>
      <w:r>
        <w:t xml:space="preserve">It asserts, however, that there is no general principle that the usual </w:t>
      </w:r>
      <w:r w:rsidR="000B0F55">
        <w:t>“</w:t>
      </w:r>
      <w:r>
        <w:t>costs rule</w:t>
      </w:r>
      <w:r w:rsidR="000B0F55">
        <w:t>”</w:t>
      </w:r>
      <w:r>
        <w:t xml:space="preserve"> should not apply </w:t>
      </w:r>
      <w:r w:rsidR="0023705B">
        <w:t xml:space="preserve">if the subject matter of litigation is a matter of public importance.  It also points to </w:t>
      </w:r>
      <w:r w:rsidR="0023705B" w:rsidRPr="0023705B">
        <w:rPr>
          <w:i/>
        </w:rPr>
        <w:t>QANTAS Airways L</w:t>
      </w:r>
      <w:r w:rsidR="00EF4FAA">
        <w:rPr>
          <w:i/>
        </w:rPr>
        <w:t>imi</w:t>
      </w:r>
      <w:r w:rsidR="0023705B" w:rsidRPr="0023705B">
        <w:rPr>
          <w:i/>
        </w:rPr>
        <w:t>t</w:t>
      </w:r>
      <w:r w:rsidR="00EF4FAA">
        <w:rPr>
          <w:i/>
        </w:rPr>
        <w:t>e</w:t>
      </w:r>
      <w:r w:rsidR="0023705B" w:rsidRPr="0023705B">
        <w:rPr>
          <w:i/>
        </w:rPr>
        <w:t xml:space="preserve">d v Cameron (No 3) </w:t>
      </w:r>
      <w:r w:rsidR="0023705B">
        <w:t>(1996) 68 FCR 387</w:t>
      </w:r>
      <w:r w:rsidR="00DD431D">
        <w:t>, a case</w:t>
      </w:r>
      <w:r w:rsidR="0023705B">
        <w:t xml:space="preserve"> which involved the question </w:t>
      </w:r>
      <w:r w:rsidR="00DD431D">
        <w:t>as to</w:t>
      </w:r>
      <w:r w:rsidR="0023705B">
        <w:t xml:space="preserve"> whether an unsuccessful applicant in </w:t>
      </w:r>
      <w:r w:rsidR="00DD431D">
        <w:t>a class action</w:t>
      </w:r>
      <w:r w:rsidR="0023705B">
        <w:t xml:space="preserve"> should be ordered to pay costs.  </w:t>
      </w:r>
      <w:r w:rsidR="00DD431D" w:rsidRPr="0023705B">
        <w:rPr>
          <w:i/>
        </w:rPr>
        <w:t>QANTAS Airways</w:t>
      </w:r>
      <w:r w:rsidR="0023705B">
        <w:t xml:space="preserve"> was a case </w:t>
      </w:r>
      <w:r w:rsidR="00DD431D">
        <w:t xml:space="preserve">brought to vindicate </w:t>
      </w:r>
      <w:r w:rsidR="0023705B">
        <w:t xml:space="preserve">mixed public and private interests: see at 390.  Lindgren and </w:t>
      </w:r>
      <w:proofErr w:type="spellStart"/>
      <w:r w:rsidR="0023705B">
        <w:t>Lehane</w:t>
      </w:r>
      <w:proofErr w:type="spellEnd"/>
      <w:r w:rsidR="0023705B">
        <w:t xml:space="preserve"> JJ considered that the litigation served the “public interest” to the extent that i</w:t>
      </w:r>
      <w:r w:rsidR="00EC2842">
        <w:t>t elucidated the duty of care owed by</w:t>
      </w:r>
      <w:r w:rsidR="0023705B">
        <w:t xml:space="preserve"> international airlines to passengers in relation to environmental tobacco smoke and that this s</w:t>
      </w:r>
      <w:r w:rsidR="00DD431D">
        <w:t xml:space="preserve">hould be given some weight, but </w:t>
      </w:r>
      <w:r w:rsidR="0023705B">
        <w:t>damages w</w:t>
      </w:r>
      <w:r w:rsidR="00DD431D">
        <w:t>ere claimed and it was</w:t>
      </w:r>
      <w:r w:rsidR="0023705B">
        <w:t xml:space="preserve"> “impossible to view the proceedings as having been brought and pursued purely in the public interest”: see 389-390.  In those circumstances</w:t>
      </w:r>
      <w:r w:rsidR="00DD431D">
        <w:t>,</w:t>
      </w:r>
      <w:r w:rsidR="0023705B">
        <w:t xml:space="preserve"> the applicant was ordered to pay </w:t>
      </w:r>
      <w:r w:rsidR="00DD431D">
        <w:t>some</w:t>
      </w:r>
      <w:r w:rsidR="0023705B">
        <w:t xml:space="preserve"> costs.</w:t>
      </w:r>
    </w:p>
    <w:p w:rsidR="0023705B" w:rsidRDefault="00DD431D" w:rsidP="00197DCF">
      <w:pPr>
        <w:pStyle w:val="ParaNumbering"/>
      </w:pPr>
      <w:r>
        <w:t>Similarly</w:t>
      </w:r>
      <w:r w:rsidR="00A45853">
        <w:t>, it is submitted,</w:t>
      </w:r>
      <w:r>
        <w:t xml:space="preserve"> </w:t>
      </w:r>
      <w:r w:rsidR="0023705B">
        <w:t>Mr Turner</w:t>
      </w:r>
      <w:r>
        <w:t xml:space="preserve"> </w:t>
      </w:r>
      <w:r w:rsidR="0023705B">
        <w:t xml:space="preserve">sought monetary relief </w:t>
      </w:r>
      <w:r>
        <w:t xml:space="preserve">and hence </w:t>
      </w:r>
      <w:r w:rsidR="0023705B">
        <w:t xml:space="preserve">“his case cannot be viewed as </w:t>
      </w:r>
      <w:r w:rsidR="00EA31A8">
        <w:t>having been</w:t>
      </w:r>
      <w:r w:rsidR="0023705B">
        <w:t xml:space="preserve"> pursued purely in the public interest”.</w:t>
      </w:r>
    </w:p>
    <w:p w:rsidR="0023705B" w:rsidRPr="00203C1F" w:rsidRDefault="0046653F" w:rsidP="00197DCF">
      <w:pPr>
        <w:pStyle w:val="ParaNumbering"/>
      </w:pPr>
      <w:r>
        <w:t>It may be accepted that this was not a “pure” public interest claim, but a</w:t>
      </w:r>
      <w:r w:rsidR="00A45853">
        <w:t xml:space="preserve"> striking feature of this c</w:t>
      </w:r>
      <w:r w:rsidR="00755D9A">
        <w:t xml:space="preserve">ase </w:t>
      </w:r>
      <w:r w:rsidR="00A45853">
        <w:t xml:space="preserve">was that any claim of </w:t>
      </w:r>
      <w:r w:rsidR="0055059C">
        <w:t xml:space="preserve">Mr Turner </w:t>
      </w:r>
      <w:r w:rsidR="000B0F55">
        <w:t xml:space="preserve">(or any group member) </w:t>
      </w:r>
      <w:r w:rsidR="00A45853">
        <w:t>was very modest</w:t>
      </w:r>
      <w:r>
        <w:t>,</w:t>
      </w:r>
      <w:r w:rsidR="00A45853">
        <w:t xml:space="preserve"> </w:t>
      </w:r>
      <w:r>
        <w:t>yet</w:t>
      </w:r>
      <w:r w:rsidR="00A45853">
        <w:t xml:space="preserve"> the collective benefit was potentially large</w:t>
      </w:r>
      <w:r w:rsidR="0055059C">
        <w:t xml:space="preserve">.  </w:t>
      </w:r>
      <w:r w:rsidR="00755D9A">
        <w:t>Although t</w:t>
      </w:r>
      <w:r w:rsidR="00A45853">
        <w:t xml:space="preserve">he </w:t>
      </w:r>
      <w:r w:rsidR="00755D9A">
        <w:t>class action</w:t>
      </w:r>
      <w:r w:rsidR="00A45853">
        <w:t xml:space="preserve"> </w:t>
      </w:r>
      <w:r w:rsidR="00755D9A">
        <w:t>did seek</w:t>
      </w:r>
      <w:r w:rsidR="00A45853">
        <w:t xml:space="preserve"> to vindicate </w:t>
      </w:r>
      <w:r w:rsidR="000B0F55">
        <w:t>Mr Turner’s claim</w:t>
      </w:r>
      <w:r w:rsidR="00755D9A">
        <w:t>,</w:t>
      </w:r>
      <w:r w:rsidR="00A45853">
        <w:t xml:space="preserve"> </w:t>
      </w:r>
      <w:r w:rsidR="00755D9A">
        <w:t xml:space="preserve">it </w:t>
      </w:r>
      <w:r w:rsidR="0055059C">
        <w:t>had a</w:t>
      </w:r>
      <w:r w:rsidR="00A45853">
        <w:t xml:space="preserve"> very significant</w:t>
      </w:r>
      <w:r w:rsidR="000B0F55">
        <w:t xml:space="preserve"> </w:t>
      </w:r>
      <w:r w:rsidR="0055059C">
        <w:t xml:space="preserve">benefit </w:t>
      </w:r>
      <w:r w:rsidR="000B0F55">
        <w:t xml:space="preserve">transcending the parties </w:t>
      </w:r>
      <w:r w:rsidR="00A45853">
        <w:t xml:space="preserve">relative to the stake of </w:t>
      </w:r>
      <w:r w:rsidR="000B0F55">
        <w:t>the</w:t>
      </w:r>
      <w:r w:rsidR="00A45853">
        <w:t xml:space="preserve"> personal </w:t>
      </w:r>
      <w:r w:rsidR="00755D9A">
        <w:t xml:space="preserve">financial </w:t>
      </w:r>
      <w:r w:rsidR="00A45853">
        <w:t>claim</w:t>
      </w:r>
      <w:r w:rsidR="000B0F55">
        <w:t xml:space="preserve"> of the applicant.  24,222 others</w:t>
      </w:r>
      <w:r w:rsidR="00424672">
        <w:t xml:space="preserve"> have obtained certainty as to their position. This number includes, </w:t>
      </w:r>
      <w:r w:rsidR="000B0F55">
        <w:t>it is safe to infer, many persons likely to ha</w:t>
      </w:r>
      <w:r w:rsidR="00424672">
        <w:t>ve some financial vulnerability</w:t>
      </w:r>
      <w:r w:rsidR="000B0F55">
        <w:t xml:space="preserve">. </w:t>
      </w:r>
    </w:p>
    <w:p w:rsidR="006C639C" w:rsidRDefault="0046653F" w:rsidP="00945315">
      <w:pPr>
        <w:pStyle w:val="ParaNumbering"/>
      </w:pPr>
      <w:r>
        <w:t>Although</w:t>
      </w:r>
      <w:r w:rsidR="00A45853">
        <w:t xml:space="preserve"> </w:t>
      </w:r>
      <w:r w:rsidR="001B08CF">
        <w:t>I do take into account the important consideration that Mr Turner’s individual case has failed</w:t>
      </w:r>
      <w:r w:rsidR="003B2156">
        <w:t>,</w:t>
      </w:r>
      <w:r w:rsidR="003650B8">
        <w:t xml:space="preserve"> he </w:t>
      </w:r>
      <w:r w:rsidR="00CE5001">
        <w:t xml:space="preserve">(together with his lawyers) </w:t>
      </w:r>
      <w:r w:rsidR="003650B8">
        <w:t>has performed a valuable se</w:t>
      </w:r>
      <w:r w:rsidR="003B2156">
        <w:t>rv</w:t>
      </w:r>
      <w:r w:rsidR="000B0F55">
        <w:t xml:space="preserve">ice for the benefit of others. </w:t>
      </w:r>
      <w:r w:rsidR="003B2156">
        <w:t>I</w:t>
      </w:r>
      <w:r w:rsidR="001B08CF">
        <w:t xml:space="preserve">n </w:t>
      </w:r>
      <w:r w:rsidR="003650B8">
        <w:t xml:space="preserve">all </w:t>
      </w:r>
      <w:r w:rsidR="001B08CF">
        <w:t>the circumstances</w:t>
      </w:r>
      <w:r w:rsidR="003650B8">
        <w:t>,</w:t>
      </w:r>
      <w:r w:rsidR="001B08CF">
        <w:t xml:space="preserve"> </w:t>
      </w:r>
      <w:r w:rsidR="003B2156">
        <w:t xml:space="preserve">while taking fully </w:t>
      </w:r>
      <w:r w:rsidR="003B2156" w:rsidRPr="003B2156">
        <w:t xml:space="preserve">into account that the costs discretion is </w:t>
      </w:r>
      <w:r w:rsidR="00755D9A">
        <w:t xml:space="preserve">generally </w:t>
      </w:r>
      <w:r w:rsidR="003B2156" w:rsidRPr="003B2156">
        <w:t>to be exercised in favour of the successful party,</w:t>
      </w:r>
      <w:r w:rsidR="003B2156">
        <w:t xml:space="preserve"> </w:t>
      </w:r>
      <w:r w:rsidR="003650B8">
        <w:t xml:space="preserve">my </w:t>
      </w:r>
      <w:r w:rsidR="001B08CF">
        <w:t xml:space="preserve">view is that no order for costs should be made.  </w:t>
      </w:r>
      <w:r w:rsidR="00020636">
        <w:t>Although on one level this might be thought to operate unfairly on MyBudget</w:t>
      </w:r>
      <w:r>
        <w:t xml:space="preserve"> which has incurred not insignificant costs</w:t>
      </w:r>
      <w:r w:rsidR="00020636">
        <w:t xml:space="preserve">, it </w:t>
      </w:r>
      <w:r w:rsidR="003B2156">
        <w:t xml:space="preserve">must be recalled that it </w:t>
      </w:r>
      <w:r w:rsidR="00020636">
        <w:t xml:space="preserve">has </w:t>
      </w:r>
      <w:r w:rsidR="003B2156">
        <w:t xml:space="preserve">now </w:t>
      </w:r>
      <w:r w:rsidR="00020636">
        <w:t>rece</w:t>
      </w:r>
      <w:r w:rsidR="003650B8">
        <w:t>ived the benefit of quelling the</w:t>
      </w:r>
      <w:r w:rsidR="00020636">
        <w:t xml:space="preserve"> controversy relating to the operation of the Interest Provision not only in relation to Mr Turner</w:t>
      </w:r>
      <w:r w:rsidR="003B2156">
        <w:t>,</w:t>
      </w:r>
      <w:r w:rsidR="00020636">
        <w:t xml:space="preserve"> but wi</w:t>
      </w:r>
      <w:r>
        <w:t>th regard to all group members.</w:t>
      </w:r>
      <w:r w:rsidR="000B0F55">
        <w:t xml:space="preserve"> Costs applications are not determined solely by identifying who was responsible for the litigation, but </w:t>
      </w:r>
      <w:r w:rsidR="009B0685">
        <w:t>by</w:t>
      </w:r>
      <w:r w:rsidR="000B0F55">
        <w:t xml:space="preserve"> a broad assessment as to whether the order does occasion an injustice, it should be borne in mind that the genesis of this dispute was a clause which even MyBudget accepted at the hearing was not </w:t>
      </w:r>
      <w:r w:rsidR="000B0F55">
        <w:lastRenderedPageBreak/>
        <w:t xml:space="preserve">drafted adroitly (as </w:t>
      </w:r>
      <w:r w:rsidR="00F80677">
        <w:t xml:space="preserve">a </w:t>
      </w:r>
      <w:r w:rsidR="000B0F55">
        <w:t xml:space="preserve">comparison </w:t>
      </w:r>
      <w:r w:rsidR="00EF08B7">
        <w:t>with</w:t>
      </w:r>
      <w:r w:rsidR="000B0F55">
        <w:t xml:space="preserve"> the previous version of the Interest Provision demonstrates).</w:t>
      </w:r>
    </w:p>
    <w:p w:rsidR="00370BD5" w:rsidRDefault="0055059C" w:rsidP="00512E1C">
      <w:pPr>
        <w:pStyle w:val="ParaNumbering"/>
      </w:pPr>
      <w:r>
        <w:t xml:space="preserve">In the light of the above it is unnecessary for me to deal with </w:t>
      </w:r>
      <w:r w:rsidR="000B0F55">
        <w:t xml:space="preserve">two matters.  </w:t>
      </w:r>
      <w:r w:rsidR="000B0F55" w:rsidRPr="000B0F55">
        <w:rPr>
          <w:i/>
        </w:rPr>
        <w:t>First</w:t>
      </w:r>
      <w:r w:rsidR="000B0F55">
        <w:t xml:space="preserve">, </w:t>
      </w:r>
      <w:r>
        <w:t xml:space="preserve">the claim for indemnity costs said to arise by reason of the </w:t>
      </w:r>
      <w:proofErr w:type="spellStart"/>
      <w:r>
        <w:rPr>
          <w:i/>
        </w:rPr>
        <w:t>Calderbank</w:t>
      </w:r>
      <w:proofErr w:type="spellEnd"/>
      <w:r>
        <w:rPr>
          <w:i/>
        </w:rPr>
        <w:t xml:space="preserve"> </w:t>
      </w:r>
      <w:r>
        <w:t xml:space="preserve">offer made to Mr Turner.  </w:t>
      </w:r>
      <w:r w:rsidR="00A45853">
        <w:t>It suffices to note that e</w:t>
      </w:r>
      <w:r>
        <w:t>ven if I had been persuaded to make an order for costs</w:t>
      </w:r>
      <w:r w:rsidR="00A45853">
        <w:t>,</w:t>
      </w:r>
      <w:r>
        <w:t xml:space="preserve"> I would not have made a special costs order in the light of the </w:t>
      </w:r>
      <w:r>
        <w:rPr>
          <w:i/>
        </w:rPr>
        <w:t xml:space="preserve">Calderbank </w:t>
      </w:r>
      <w:r>
        <w:t>offer.  The reas</w:t>
      </w:r>
      <w:r w:rsidR="00BD7CD2">
        <w:t>on is a simple one.  If I had</w:t>
      </w:r>
      <w:r>
        <w:t xml:space="preserve"> been asked to make an order under s 33V of the </w:t>
      </w:r>
      <w:r>
        <w:rPr>
          <w:i/>
        </w:rPr>
        <w:t xml:space="preserve">Federal Court of Australia Act 1976 </w:t>
      </w:r>
      <w:r>
        <w:t xml:space="preserve">(Cth) approving a settlement </w:t>
      </w:r>
      <w:r w:rsidR="00A45853">
        <w:t xml:space="preserve">on the basis </w:t>
      </w:r>
      <w:r>
        <w:t>that each party walk away</w:t>
      </w:r>
      <w:r w:rsidR="00A45853">
        <w:t>,</w:t>
      </w:r>
      <w:r>
        <w:t xml:space="preserve"> I very much doubt that I would have given approval.  </w:t>
      </w:r>
      <w:r w:rsidR="00A45853">
        <w:t>I</w:t>
      </w:r>
      <w:r>
        <w:t xml:space="preserve">t is difficult for me to see why the acceptance by Mr Turner of the offer made would have been a fair and reasonable settlement in the interests of </w:t>
      </w:r>
      <w:r w:rsidR="000B0F55">
        <w:t xml:space="preserve">the 24,222 </w:t>
      </w:r>
      <w:r>
        <w:t>group members</w:t>
      </w:r>
      <w:r w:rsidR="00A45853">
        <w:t xml:space="preserve"> as a whole</w:t>
      </w:r>
      <w:r>
        <w:t>.  There was a not insubstantial prospect of success</w:t>
      </w:r>
      <w:r w:rsidR="00A45853">
        <w:t>,</w:t>
      </w:r>
      <w:r>
        <w:t xml:space="preserve"> and the incremental costs associated with the finalisation of the proceeding</w:t>
      </w:r>
      <w:r w:rsidR="00A45853">
        <w:t xml:space="preserve"> from the date of the offer</w:t>
      </w:r>
      <w:r>
        <w:t xml:space="preserve"> would </w:t>
      </w:r>
      <w:r w:rsidR="0046653F">
        <w:t>likely</w:t>
      </w:r>
      <w:r w:rsidR="00A45853">
        <w:t xml:space="preserve"> not</w:t>
      </w:r>
      <w:r>
        <w:t xml:space="preserve"> </w:t>
      </w:r>
      <w:r w:rsidR="0046653F">
        <w:t xml:space="preserve">have </w:t>
      </w:r>
      <w:r>
        <w:t>justified settling on such a basis.</w:t>
      </w:r>
      <w:r w:rsidR="000B0F55">
        <w:t xml:space="preserve"> </w:t>
      </w:r>
    </w:p>
    <w:p w:rsidR="00DA4D46" w:rsidRDefault="000B0F55" w:rsidP="00815065">
      <w:pPr>
        <w:pStyle w:val="ParaNumbering"/>
      </w:pPr>
      <w:r w:rsidRPr="000B0F55">
        <w:rPr>
          <w:i/>
        </w:rPr>
        <w:t>Secondly</w:t>
      </w:r>
      <w:r>
        <w:t xml:space="preserve">, it is unnecessary for me to form a view on the quantum of fees incurred by MyBudget prior to an initial trial on issues which were </w:t>
      </w:r>
      <w:r w:rsidRPr="000B0F55">
        <w:rPr>
          <w:i/>
        </w:rPr>
        <w:t>necessary</w:t>
      </w:r>
      <w:r>
        <w:t xml:space="preserve"> to be resolved at that initial trial.  Even if I had been persuaded to make an order for costs, I would have made a lump sum costs order after receiving further material.  </w:t>
      </w:r>
    </w:p>
    <w:p w:rsidR="00DA4D46" w:rsidRDefault="00DA4D46" w:rsidP="00DA4D46">
      <w:pPr>
        <w:pStyle w:val="ParaNumbering"/>
        <w:numPr>
          <w:ilvl w:val="0"/>
          <w:numId w:val="0"/>
        </w:numPr>
      </w:pPr>
      <w:bookmarkStart w:id="18" w:name="Certification"/>
      <w:r>
        <w:t xml:space="preserve"> </w:t>
      </w:r>
    </w:p>
    <w:tbl>
      <w:tblPr>
        <w:tblW w:w="0" w:type="auto"/>
        <w:tblLook w:val="04A0" w:firstRow="1" w:lastRow="0" w:firstColumn="1" w:lastColumn="0" w:noHBand="0" w:noVBand="1"/>
      </w:tblPr>
      <w:tblGrid>
        <w:gridCol w:w="3794"/>
      </w:tblGrid>
      <w:tr w:rsidR="00EA31A8" w:rsidRPr="00EA31A8">
        <w:tc>
          <w:tcPr>
            <w:tcW w:w="3794" w:type="dxa"/>
            <w:shd w:val="clear" w:color="auto" w:fill="auto"/>
          </w:tcPr>
          <w:p w:rsidR="00EA31A8" w:rsidRPr="00EA31A8" w:rsidRDefault="00EA31A8" w:rsidP="00EA31A8">
            <w:pPr>
              <w:pStyle w:val="Normal1linespace"/>
            </w:pPr>
            <w:r w:rsidRPr="00EA31A8">
              <w:t xml:space="preserve">I certify that the preceding </w:t>
            </w:r>
            <w:bookmarkStart w:id="19" w:name="NumberWord"/>
            <w:r>
              <w:t>sixteen</w:t>
            </w:r>
            <w:bookmarkEnd w:id="19"/>
            <w:r w:rsidRPr="00EA31A8">
              <w:t xml:space="preserve"> (</w:t>
            </w:r>
            <w:bookmarkStart w:id="20" w:name="NumberNumeral"/>
            <w:r>
              <w:t>16</w:t>
            </w:r>
            <w:bookmarkEnd w:id="20"/>
            <w:r w:rsidRPr="00EA31A8">
              <w:t xml:space="preserve">) numbered </w:t>
            </w:r>
            <w:bookmarkStart w:id="21" w:name="CertPara"/>
            <w:r>
              <w:t>paragraphs are</w:t>
            </w:r>
            <w:bookmarkEnd w:id="21"/>
            <w:r w:rsidRPr="00EA31A8">
              <w:t xml:space="preserve"> a true copy of the Reasons for Judgment herein of the Honourable </w:t>
            </w:r>
            <w:bookmarkStart w:id="22" w:name="Justice"/>
            <w:r>
              <w:t>Justice Lee</w:t>
            </w:r>
            <w:bookmarkEnd w:id="22"/>
            <w:r w:rsidRPr="00EA31A8">
              <w:t>.</w:t>
            </w:r>
          </w:p>
        </w:tc>
      </w:tr>
    </w:tbl>
    <w:p w:rsidR="00EA31A8" w:rsidRDefault="00EA31A8" w:rsidP="00815065">
      <w:pPr>
        <w:pStyle w:val="BodyText"/>
      </w:pPr>
    </w:p>
    <w:p w:rsidR="00EA31A8" w:rsidRPr="002870E9" w:rsidRDefault="00EA31A8" w:rsidP="00815065">
      <w:pPr>
        <w:pStyle w:val="BodyText"/>
      </w:pPr>
      <w:bookmarkStart w:id="23" w:name="_GoBack"/>
      <w:bookmarkEnd w:id="23"/>
    </w:p>
    <w:p w:rsidR="00EA31A8" w:rsidRDefault="00EA31A8" w:rsidP="00815065">
      <w:pPr>
        <w:pStyle w:val="BodyText"/>
      </w:pPr>
      <w:r>
        <w:t>Associate:</w:t>
      </w:r>
    </w:p>
    <w:p w:rsidR="00EA31A8" w:rsidRDefault="00EA31A8" w:rsidP="00815065">
      <w:pPr>
        <w:pStyle w:val="BodyText"/>
      </w:pPr>
    </w:p>
    <w:p w:rsidR="00EA31A8" w:rsidRDefault="00EA31A8" w:rsidP="00815065">
      <w:pPr>
        <w:pStyle w:val="BodyText"/>
        <w:tabs>
          <w:tab w:val="left" w:pos="1134"/>
        </w:tabs>
      </w:pPr>
      <w:r>
        <w:t>Dated:</w:t>
      </w:r>
      <w:r>
        <w:tab/>
      </w:r>
      <w:bookmarkStart w:id="24" w:name="CertifyDated"/>
      <w:r>
        <w:t>8 October 2018</w:t>
      </w:r>
      <w:bookmarkEnd w:id="24"/>
    </w:p>
    <w:p w:rsidR="00EA31A8" w:rsidRDefault="00EA31A8" w:rsidP="00815065">
      <w:pPr>
        <w:pStyle w:val="BodyText"/>
      </w:pPr>
    </w:p>
    <w:bookmarkEnd w:id="18"/>
    <w:p w:rsidR="00EA31A8" w:rsidRPr="00902A7E" w:rsidRDefault="00EA31A8" w:rsidP="00EA31A8">
      <w:pPr>
        <w:pStyle w:val="BodyText"/>
      </w:pPr>
    </w:p>
    <w:sectPr w:rsidR="00EA31A8" w:rsidRPr="00902A7E">
      <w:headerReference w:type="even" r:id="rId9"/>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16" w:rsidRDefault="00A40416">
      <w:pPr>
        <w:spacing w:line="20" w:lineRule="exact"/>
      </w:pPr>
    </w:p>
    <w:p w:rsidR="00A40416" w:rsidRDefault="00A40416"/>
    <w:p w:rsidR="00A40416" w:rsidRDefault="00A40416"/>
  </w:endnote>
  <w:endnote w:type="continuationSeparator" w:id="0">
    <w:p w:rsidR="00A40416" w:rsidRDefault="00A40416">
      <w:r>
        <w:t xml:space="preserve"> </w:t>
      </w:r>
    </w:p>
    <w:p w:rsidR="00A40416" w:rsidRDefault="00A40416"/>
    <w:p w:rsidR="00A40416" w:rsidRDefault="00A40416"/>
  </w:endnote>
  <w:endnote w:type="continuationNotice" w:id="1">
    <w:p w:rsidR="00A40416" w:rsidRDefault="00A40416">
      <w:r>
        <w:t xml:space="preserve"> </w:t>
      </w:r>
    </w:p>
    <w:p w:rsidR="00A40416" w:rsidRDefault="00A40416"/>
    <w:p w:rsidR="00A40416" w:rsidRDefault="00A40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6" w:rsidRPr="00F26EC7" w:rsidRDefault="00A40416" w:rsidP="00F26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6" w:rsidRPr="00F26EC7" w:rsidRDefault="00A40416" w:rsidP="00F2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16" w:rsidRDefault="00A40416"/>
    <w:p w:rsidR="00A40416" w:rsidRDefault="00A40416"/>
    <w:p w:rsidR="00A40416" w:rsidRDefault="00A40416"/>
  </w:footnote>
  <w:footnote w:type="continuationSeparator" w:id="0">
    <w:p w:rsidR="00A40416" w:rsidRDefault="00A40416">
      <w:r>
        <w:continuationSeparator/>
      </w:r>
    </w:p>
    <w:p w:rsidR="00A40416" w:rsidRDefault="00A40416"/>
    <w:p w:rsidR="00A40416" w:rsidRDefault="00A404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6" w:rsidRDefault="00A40416">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6" w:rsidRDefault="00A40416">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6" w:rsidRDefault="00A4041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6" w:rsidRDefault="00A40416">
    <w:pPr>
      <w:tabs>
        <w:tab w:val="center" w:pos="4512"/>
      </w:tabs>
      <w:suppressAutoHyphens/>
    </w:pPr>
    <w:r>
      <w:tab/>
      <w:t xml:space="preserve">- </w:t>
    </w:r>
    <w:r>
      <w:fldChar w:fldCharType="begin"/>
    </w:r>
    <w:r>
      <w:instrText>page \* arabic</w:instrText>
    </w:r>
    <w:r>
      <w:fldChar w:fldCharType="separate"/>
    </w:r>
    <w:r w:rsidR="002870E9">
      <w:rPr>
        <w:noProof/>
      </w:rPr>
      <w:t>3</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6" w:rsidRDefault="00A40416">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85FBA"/>
    <w:multiLevelType w:val="hybridMultilevel"/>
    <w:tmpl w:val="A70A9A5A"/>
    <w:lvl w:ilvl="0" w:tplc="9ED4D2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9B7C7A"/>
    <w:multiLevelType w:val="hybridMultilevel"/>
    <w:tmpl w:val="634853E0"/>
    <w:lvl w:ilvl="0" w:tplc="9ED4D23A">
      <w:start w:val="1"/>
      <w:numFmt w:val="lowerLetter"/>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102732"/>
    <w:multiLevelType w:val="hybridMultilevel"/>
    <w:tmpl w:val="48008E88"/>
    <w:lvl w:ilvl="0" w:tplc="1608944A">
      <w:start w:val="1"/>
      <w:numFmt w:val="lowerLetter"/>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6EE6CF0"/>
    <w:multiLevelType w:val="hybridMultilevel"/>
    <w:tmpl w:val="EBD4C550"/>
    <w:lvl w:ilvl="0" w:tplc="4220409A">
      <w:start w:val="1"/>
      <w:numFmt w:val="decimal"/>
      <w:lvlText w:val="%1."/>
      <w:lvlJc w:val="left"/>
      <w:pPr>
        <w:ind w:left="851" w:hanging="720"/>
      </w:pPr>
      <w:rPr>
        <w:rFonts w:ascii="Arial" w:eastAsia="Arial" w:hAnsi="Arial" w:cs="Arial" w:hint="default"/>
        <w:spacing w:val="0"/>
        <w:w w:val="100"/>
        <w:sz w:val="22"/>
        <w:szCs w:val="22"/>
      </w:rPr>
    </w:lvl>
    <w:lvl w:ilvl="1" w:tplc="CA8E4C02">
      <w:start w:val="1"/>
      <w:numFmt w:val="lowerLetter"/>
      <w:lvlText w:val="%2."/>
      <w:lvlJc w:val="left"/>
      <w:pPr>
        <w:ind w:left="1571" w:hanging="360"/>
      </w:pPr>
      <w:rPr>
        <w:rFonts w:ascii="Arial" w:eastAsia="Arial" w:hAnsi="Arial" w:cs="Arial" w:hint="default"/>
        <w:spacing w:val="0"/>
        <w:w w:val="100"/>
        <w:sz w:val="22"/>
        <w:szCs w:val="22"/>
      </w:rPr>
    </w:lvl>
    <w:lvl w:ilvl="2" w:tplc="3C329F1C">
      <w:start w:val="1"/>
      <w:numFmt w:val="lowerRoman"/>
      <w:lvlText w:val="%3."/>
      <w:lvlJc w:val="left"/>
      <w:pPr>
        <w:ind w:left="2291" w:hanging="288"/>
      </w:pPr>
      <w:rPr>
        <w:rFonts w:ascii="Arial" w:eastAsia="Arial" w:hAnsi="Arial" w:cs="Arial" w:hint="default"/>
        <w:spacing w:val="-2"/>
        <w:w w:val="100"/>
        <w:sz w:val="22"/>
        <w:szCs w:val="22"/>
      </w:rPr>
    </w:lvl>
    <w:lvl w:ilvl="3" w:tplc="96DE4C36">
      <w:numFmt w:val="bullet"/>
      <w:lvlText w:val="•"/>
      <w:lvlJc w:val="left"/>
      <w:pPr>
        <w:ind w:left="1640" w:hanging="288"/>
      </w:pPr>
      <w:rPr>
        <w:rFonts w:hint="default"/>
      </w:rPr>
    </w:lvl>
    <w:lvl w:ilvl="4" w:tplc="160C34D4">
      <w:numFmt w:val="bullet"/>
      <w:lvlText w:val="•"/>
      <w:lvlJc w:val="left"/>
      <w:pPr>
        <w:ind w:left="2300" w:hanging="288"/>
      </w:pPr>
      <w:rPr>
        <w:rFonts w:hint="default"/>
      </w:rPr>
    </w:lvl>
    <w:lvl w:ilvl="5" w:tplc="365E317A">
      <w:numFmt w:val="bullet"/>
      <w:lvlText w:val="•"/>
      <w:lvlJc w:val="left"/>
      <w:pPr>
        <w:ind w:left="3340" w:hanging="288"/>
      </w:pPr>
      <w:rPr>
        <w:rFonts w:hint="default"/>
      </w:rPr>
    </w:lvl>
    <w:lvl w:ilvl="6" w:tplc="8C3C4044">
      <w:numFmt w:val="bullet"/>
      <w:lvlText w:val="•"/>
      <w:lvlJc w:val="left"/>
      <w:pPr>
        <w:ind w:left="4380" w:hanging="288"/>
      </w:pPr>
      <w:rPr>
        <w:rFonts w:hint="default"/>
      </w:rPr>
    </w:lvl>
    <w:lvl w:ilvl="7" w:tplc="0062EC46">
      <w:numFmt w:val="bullet"/>
      <w:lvlText w:val="•"/>
      <w:lvlJc w:val="left"/>
      <w:pPr>
        <w:ind w:left="5420" w:hanging="288"/>
      </w:pPr>
      <w:rPr>
        <w:rFonts w:hint="default"/>
      </w:rPr>
    </w:lvl>
    <w:lvl w:ilvl="8" w:tplc="DEF8730C">
      <w:numFmt w:val="bullet"/>
      <w:lvlText w:val="•"/>
      <w:lvlJc w:val="left"/>
      <w:pPr>
        <w:ind w:left="6460" w:hanging="288"/>
      </w:pPr>
      <w:rPr>
        <w:rFonts w:hint="default"/>
      </w:rPr>
    </w:lvl>
  </w:abstractNum>
  <w:abstractNum w:abstractNumId="15" w15:restartNumberingAfterBreak="0">
    <w:nsid w:val="1C1468D3"/>
    <w:multiLevelType w:val="multilevel"/>
    <w:tmpl w:val="0F0EC90E"/>
    <w:styleLink w:val="FCListNo"/>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52E7D93"/>
    <w:multiLevelType w:val="hybridMultilevel"/>
    <w:tmpl w:val="650AA736"/>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7D70A3A"/>
    <w:multiLevelType w:val="hybridMultilevel"/>
    <w:tmpl w:val="4538D25A"/>
    <w:lvl w:ilvl="0" w:tplc="9ED4D23A">
      <w:start w:val="1"/>
      <w:numFmt w:val="lowerLetter"/>
      <w:lvlText w:val="(%1)"/>
      <w:lvlJc w:val="left"/>
      <w:pPr>
        <w:ind w:left="1457" w:hanging="360"/>
      </w:pPr>
      <w:rPr>
        <w:rFonts w:hint="default"/>
      </w:rPr>
    </w:lvl>
    <w:lvl w:ilvl="1" w:tplc="2EA28440" w:tentative="1">
      <w:start w:val="1"/>
      <w:numFmt w:val="bullet"/>
      <w:lvlText w:val="o"/>
      <w:lvlJc w:val="left"/>
      <w:pPr>
        <w:ind w:left="2177" w:hanging="360"/>
      </w:pPr>
      <w:rPr>
        <w:rFonts w:ascii="Courier New" w:hAnsi="Courier New" w:cs="Courier New" w:hint="default"/>
      </w:rPr>
    </w:lvl>
    <w:lvl w:ilvl="2" w:tplc="0C86B73C" w:tentative="1">
      <w:start w:val="1"/>
      <w:numFmt w:val="bullet"/>
      <w:lvlText w:val=""/>
      <w:lvlJc w:val="left"/>
      <w:pPr>
        <w:ind w:left="2897" w:hanging="360"/>
      </w:pPr>
      <w:rPr>
        <w:rFonts w:ascii="Wingdings" w:hAnsi="Wingdings" w:hint="default"/>
      </w:rPr>
    </w:lvl>
    <w:lvl w:ilvl="3" w:tplc="15C2F176" w:tentative="1">
      <w:start w:val="1"/>
      <w:numFmt w:val="bullet"/>
      <w:lvlText w:val=""/>
      <w:lvlJc w:val="left"/>
      <w:pPr>
        <w:ind w:left="3617" w:hanging="360"/>
      </w:pPr>
      <w:rPr>
        <w:rFonts w:ascii="Symbol" w:hAnsi="Symbol" w:hint="default"/>
      </w:rPr>
    </w:lvl>
    <w:lvl w:ilvl="4" w:tplc="DA00C77A" w:tentative="1">
      <w:start w:val="1"/>
      <w:numFmt w:val="bullet"/>
      <w:lvlText w:val="o"/>
      <w:lvlJc w:val="left"/>
      <w:pPr>
        <w:ind w:left="4337" w:hanging="360"/>
      </w:pPr>
      <w:rPr>
        <w:rFonts w:ascii="Courier New" w:hAnsi="Courier New" w:cs="Courier New" w:hint="default"/>
      </w:rPr>
    </w:lvl>
    <w:lvl w:ilvl="5" w:tplc="28720EF2" w:tentative="1">
      <w:start w:val="1"/>
      <w:numFmt w:val="bullet"/>
      <w:lvlText w:val=""/>
      <w:lvlJc w:val="left"/>
      <w:pPr>
        <w:ind w:left="5057" w:hanging="360"/>
      </w:pPr>
      <w:rPr>
        <w:rFonts w:ascii="Wingdings" w:hAnsi="Wingdings" w:hint="default"/>
      </w:rPr>
    </w:lvl>
    <w:lvl w:ilvl="6" w:tplc="C9288AA4" w:tentative="1">
      <w:start w:val="1"/>
      <w:numFmt w:val="bullet"/>
      <w:lvlText w:val=""/>
      <w:lvlJc w:val="left"/>
      <w:pPr>
        <w:ind w:left="5777" w:hanging="360"/>
      </w:pPr>
      <w:rPr>
        <w:rFonts w:ascii="Symbol" w:hAnsi="Symbol" w:hint="default"/>
      </w:rPr>
    </w:lvl>
    <w:lvl w:ilvl="7" w:tplc="54129660" w:tentative="1">
      <w:start w:val="1"/>
      <w:numFmt w:val="bullet"/>
      <w:lvlText w:val="o"/>
      <w:lvlJc w:val="left"/>
      <w:pPr>
        <w:ind w:left="6497" w:hanging="360"/>
      </w:pPr>
      <w:rPr>
        <w:rFonts w:ascii="Courier New" w:hAnsi="Courier New" w:cs="Courier New" w:hint="default"/>
      </w:rPr>
    </w:lvl>
    <w:lvl w:ilvl="8" w:tplc="71149DF6" w:tentative="1">
      <w:start w:val="1"/>
      <w:numFmt w:val="bullet"/>
      <w:lvlText w:val=""/>
      <w:lvlJc w:val="left"/>
      <w:pPr>
        <w:ind w:left="7217" w:hanging="360"/>
      </w:pPr>
      <w:rPr>
        <w:rFonts w:ascii="Wingdings" w:hAnsi="Wingdings" w:hint="default"/>
      </w:rPr>
    </w:lvl>
  </w:abstractNum>
  <w:abstractNum w:abstractNumId="23" w15:restartNumberingAfterBreak="0">
    <w:nsid w:val="63724B6D"/>
    <w:multiLevelType w:val="hybridMultilevel"/>
    <w:tmpl w:val="3E8CEA2E"/>
    <w:lvl w:ilvl="0" w:tplc="9506A388">
      <w:start w:val="1"/>
      <w:numFmt w:val="decimal"/>
      <w:lvlText w:val="%1."/>
      <w:lvlJc w:val="left"/>
      <w:pPr>
        <w:ind w:left="720" w:hanging="360"/>
      </w:pPr>
      <w:rPr>
        <w:rFonts w:hint="default"/>
      </w:rPr>
    </w:lvl>
    <w:lvl w:ilvl="1" w:tplc="729662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351A64"/>
    <w:multiLevelType w:val="hybridMultilevel"/>
    <w:tmpl w:val="D4928BB4"/>
    <w:lvl w:ilvl="0" w:tplc="82B8585A">
      <w:start w:val="1"/>
      <w:numFmt w:val="decimal"/>
      <w:lvlText w:val="(%1)"/>
      <w:lvlJc w:val="left"/>
      <w:pPr>
        <w:ind w:left="1127" w:hanging="39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6F9B6398"/>
    <w:multiLevelType w:val="hybridMultilevel"/>
    <w:tmpl w:val="4C945682"/>
    <w:lvl w:ilvl="0" w:tplc="9ED4D23A">
      <w:start w:val="1"/>
      <w:numFmt w:val="lowerLetter"/>
      <w:lvlText w:val="(%1)"/>
      <w:lvlJc w:val="left"/>
      <w:pPr>
        <w:ind w:left="1457" w:hanging="360"/>
      </w:pPr>
      <w:rPr>
        <w:rFonts w:hint="default"/>
      </w:rPr>
    </w:lvl>
    <w:lvl w:ilvl="1" w:tplc="2EA28440" w:tentative="1">
      <w:start w:val="1"/>
      <w:numFmt w:val="bullet"/>
      <w:lvlText w:val="o"/>
      <w:lvlJc w:val="left"/>
      <w:pPr>
        <w:ind w:left="2177" w:hanging="360"/>
      </w:pPr>
      <w:rPr>
        <w:rFonts w:ascii="Courier New" w:hAnsi="Courier New" w:cs="Courier New" w:hint="default"/>
      </w:rPr>
    </w:lvl>
    <w:lvl w:ilvl="2" w:tplc="0C86B73C" w:tentative="1">
      <w:start w:val="1"/>
      <w:numFmt w:val="bullet"/>
      <w:lvlText w:val=""/>
      <w:lvlJc w:val="left"/>
      <w:pPr>
        <w:ind w:left="2897" w:hanging="360"/>
      </w:pPr>
      <w:rPr>
        <w:rFonts w:ascii="Wingdings" w:hAnsi="Wingdings" w:hint="default"/>
      </w:rPr>
    </w:lvl>
    <w:lvl w:ilvl="3" w:tplc="15C2F176" w:tentative="1">
      <w:start w:val="1"/>
      <w:numFmt w:val="bullet"/>
      <w:lvlText w:val=""/>
      <w:lvlJc w:val="left"/>
      <w:pPr>
        <w:ind w:left="3617" w:hanging="360"/>
      </w:pPr>
      <w:rPr>
        <w:rFonts w:ascii="Symbol" w:hAnsi="Symbol" w:hint="default"/>
      </w:rPr>
    </w:lvl>
    <w:lvl w:ilvl="4" w:tplc="DA00C77A" w:tentative="1">
      <w:start w:val="1"/>
      <w:numFmt w:val="bullet"/>
      <w:lvlText w:val="o"/>
      <w:lvlJc w:val="left"/>
      <w:pPr>
        <w:ind w:left="4337" w:hanging="360"/>
      </w:pPr>
      <w:rPr>
        <w:rFonts w:ascii="Courier New" w:hAnsi="Courier New" w:cs="Courier New" w:hint="default"/>
      </w:rPr>
    </w:lvl>
    <w:lvl w:ilvl="5" w:tplc="28720EF2" w:tentative="1">
      <w:start w:val="1"/>
      <w:numFmt w:val="bullet"/>
      <w:lvlText w:val=""/>
      <w:lvlJc w:val="left"/>
      <w:pPr>
        <w:ind w:left="5057" w:hanging="360"/>
      </w:pPr>
      <w:rPr>
        <w:rFonts w:ascii="Wingdings" w:hAnsi="Wingdings" w:hint="default"/>
      </w:rPr>
    </w:lvl>
    <w:lvl w:ilvl="6" w:tplc="C9288AA4" w:tentative="1">
      <w:start w:val="1"/>
      <w:numFmt w:val="bullet"/>
      <w:lvlText w:val=""/>
      <w:lvlJc w:val="left"/>
      <w:pPr>
        <w:ind w:left="5777" w:hanging="360"/>
      </w:pPr>
      <w:rPr>
        <w:rFonts w:ascii="Symbol" w:hAnsi="Symbol" w:hint="default"/>
      </w:rPr>
    </w:lvl>
    <w:lvl w:ilvl="7" w:tplc="54129660" w:tentative="1">
      <w:start w:val="1"/>
      <w:numFmt w:val="bullet"/>
      <w:lvlText w:val="o"/>
      <w:lvlJc w:val="left"/>
      <w:pPr>
        <w:ind w:left="6497" w:hanging="360"/>
      </w:pPr>
      <w:rPr>
        <w:rFonts w:ascii="Courier New" w:hAnsi="Courier New" w:cs="Courier New" w:hint="default"/>
      </w:rPr>
    </w:lvl>
    <w:lvl w:ilvl="8" w:tplc="71149DF6"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0"/>
  </w:num>
  <w:num w:numId="15">
    <w:abstractNumId w:val="21"/>
  </w:num>
  <w:num w:numId="16">
    <w:abstractNumId w:val="27"/>
  </w:num>
  <w:num w:numId="17">
    <w:abstractNumId w:val="15"/>
  </w:num>
  <w:num w:numId="18">
    <w:abstractNumId w:val="26"/>
  </w:num>
  <w:num w:numId="19">
    <w:abstractNumId w:val="11"/>
  </w:num>
  <w:num w:numId="20">
    <w:abstractNumId w:val="19"/>
  </w:num>
  <w:num w:numId="21">
    <w:abstractNumId w:val="18"/>
  </w:num>
  <w:num w:numId="22">
    <w:abstractNumId w:val="18"/>
  </w:num>
  <w:num w:numId="23">
    <w:abstractNumId w:val="16"/>
  </w:num>
  <w:num w:numId="24">
    <w:abstractNumId w:val="10"/>
  </w:num>
  <w:num w:numId="25">
    <w:abstractNumId w:val="14"/>
  </w:num>
  <w:num w:numId="26">
    <w:abstractNumId w:val="25"/>
  </w:num>
  <w:num w:numId="27">
    <w:abstractNumId w:val="17"/>
  </w:num>
  <w:num w:numId="28">
    <w:abstractNumId w:val="22"/>
  </w:num>
  <w:num w:numId="29">
    <w:abstractNumId w:val="12"/>
  </w:num>
  <w:num w:numId="30">
    <w:abstractNumId w:val="23"/>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r Kelvin Turner"/>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EntryList" w:val="Counsel for the Respondent"/>
    <w:docVar w:name="FileNumbers" w:val="NSD 297 of 2017"/>
    <w:docVar w:name="HearingDate" w:val="Determined on the papers"/>
    <w:docVar w:name="Initiators" w:val="(and another named in the Schedule)"/>
    <w:docVar w:name="InTheMatterOf" w:val="Kelvin Turner v MyBudget Pty Limited ACN 82 093 118 597"/>
    <w:docVar w:name="Judgdate" w:val="8 October 2018"/>
    <w:docVar w:name="Judge" w:val="LEE"/>
    <w:docVar w:name="Justices" w:val="Justice"/>
    <w:docVar w:name="lstEntryList" w:val="1"/>
    <w:docVar w:name="myEntryList" w:val="Counsel for the Applicant=Mr J C Kelly SC, Mr A Maroya, Mr D O'Connor|Counsel for the Respondent=Mr C Moore SC, Mr D Sulan, Mr P J Strickland|Solicitor for the Respondent=Norton Rose Fulbright|Solicitor for the Applicant=Financial Rights Legal Centre"/>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none]"/>
    <w:docVar w:name="RESAndAnother" w:val="True"/>
    <w:docVar w:name="RESAndOthers" w:val="False"/>
    <w:docVar w:name="Respondent" w:val="Mybudget Pty Ltd Acn 82 093 118 597"/>
    <w:docVar w:name="ResState" w:val="New South Wales"/>
    <w:docVar w:name="SubArea" w:val="[none]"/>
  </w:docVars>
  <w:rsids>
    <w:rsidRoot w:val="00C14581"/>
    <w:rsid w:val="00001579"/>
    <w:rsid w:val="0001469E"/>
    <w:rsid w:val="00015993"/>
    <w:rsid w:val="00020636"/>
    <w:rsid w:val="000219AD"/>
    <w:rsid w:val="00022289"/>
    <w:rsid w:val="00023845"/>
    <w:rsid w:val="00030662"/>
    <w:rsid w:val="00032F9F"/>
    <w:rsid w:val="00041C07"/>
    <w:rsid w:val="00042A42"/>
    <w:rsid w:val="00045BB7"/>
    <w:rsid w:val="00051692"/>
    <w:rsid w:val="000531B8"/>
    <w:rsid w:val="00055719"/>
    <w:rsid w:val="0005641B"/>
    <w:rsid w:val="00056EF2"/>
    <w:rsid w:val="00064C6F"/>
    <w:rsid w:val="00081497"/>
    <w:rsid w:val="000849BE"/>
    <w:rsid w:val="00087AD2"/>
    <w:rsid w:val="0009263D"/>
    <w:rsid w:val="00093364"/>
    <w:rsid w:val="000A2E76"/>
    <w:rsid w:val="000A4807"/>
    <w:rsid w:val="000A4BE4"/>
    <w:rsid w:val="000A771A"/>
    <w:rsid w:val="000B0C96"/>
    <w:rsid w:val="000B0F55"/>
    <w:rsid w:val="000B1F21"/>
    <w:rsid w:val="000B3E06"/>
    <w:rsid w:val="000B649A"/>
    <w:rsid w:val="000B744C"/>
    <w:rsid w:val="000C023E"/>
    <w:rsid w:val="000C5195"/>
    <w:rsid w:val="000C62EF"/>
    <w:rsid w:val="000C69F2"/>
    <w:rsid w:val="000D2137"/>
    <w:rsid w:val="000D2955"/>
    <w:rsid w:val="000D3FD2"/>
    <w:rsid w:val="000D5FF0"/>
    <w:rsid w:val="000D71A8"/>
    <w:rsid w:val="000E2090"/>
    <w:rsid w:val="000E2118"/>
    <w:rsid w:val="000E7BAE"/>
    <w:rsid w:val="000F133D"/>
    <w:rsid w:val="000F2448"/>
    <w:rsid w:val="00101FED"/>
    <w:rsid w:val="001020BD"/>
    <w:rsid w:val="001022E3"/>
    <w:rsid w:val="0010536B"/>
    <w:rsid w:val="0010719D"/>
    <w:rsid w:val="0011145C"/>
    <w:rsid w:val="001128BD"/>
    <w:rsid w:val="0011419D"/>
    <w:rsid w:val="00132054"/>
    <w:rsid w:val="00135231"/>
    <w:rsid w:val="00135886"/>
    <w:rsid w:val="0013738B"/>
    <w:rsid w:val="001407BF"/>
    <w:rsid w:val="001420C0"/>
    <w:rsid w:val="0014584D"/>
    <w:rsid w:val="00152FF1"/>
    <w:rsid w:val="00160621"/>
    <w:rsid w:val="00165185"/>
    <w:rsid w:val="00170384"/>
    <w:rsid w:val="001727A4"/>
    <w:rsid w:val="0017376C"/>
    <w:rsid w:val="001738AB"/>
    <w:rsid w:val="001760F1"/>
    <w:rsid w:val="001765E0"/>
    <w:rsid w:val="00177759"/>
    <w:rsid w:val="00185E6B"/>
    <w:rsid w:val="00187BBC"/>
    <w:rsid w:val="00192290"/>
    <w:rsid w:val="001932F3"/>
    <w:rsid w:val="001969AE"/>
    <w:rsid w:val="001970D9"/>
    <w:rsid w:val="00197DCF"/>
    <w:rsid w:val="001A2A9B"/>
    <w:rsid w:val="001A4309"/>
    <w:rsid w:val="001A6337"/>
    <w:rsid w:val="001B08CF"/>
    <w:rsid w:val="001B1053"/>
    <w:rsid w:val="001B14AC"/>
    <w:rsid w:val="001B5047"/>
    <w:rsid w:val="001B7940"/>
    <w:rsid w:val="001C37CA"/>
    <w:rsid w:val="001C6B0E"/>
    <w:rsid w:val="001D4303"/>
    <w:rsid w:val="001D6746"/>
    <w:rsid w:val="001E17E6"/>
    <w:rsid w:val="001E2739"/>
    <w:rsid w:val="001E3B49"/>
    <w:rsid w:val="001E5EF3"/>
    <w:rsid w:val="001E7388"/>
    <w:rsid w:val="001E7DD0"/>
    <w:rsid w:val="001F13DD"/>
    <w:rsid w:val="001F2DBC"/>
    <w:rsid w:val="001F37F0"/>
    <w:rsid w:val="001F475F"/>
    <w:rsid w:val="002023F8"/>
    <w:rsid w:val="0020262C"/>
    <w:rsid w:val="002033E1"/>
    <w:rsid w:val="00203C1F"/>
    <w:rsid w:val="00207636"/>
    <w:rsid w:val="00217EAE"/>
    <w:rsid w:val="00224537"/>
    <w:rsid w:val="00226F3E"/>
    <w:rsid w:val="002276E2"/>
    <w:rsid w:val="002318F7"/>
    <w:rsid w:val="00233A5E"/>
    <w:rsid w:val="00235956"/>
    <w:rsid w:val="0023705B"/>
    <w:rsid w:val="00237F97"/>
    <w:rsid w:val="00241C71"/>
    <w:rsid w:val="00244AE4"/>
    <w:rsid w:val="00247C9A"/>
    <w:rsid w:val="0025160C"/>
    <w:rsid w:val="002535D0"/>
    <w:rsid w:val="002539B3"/>
    <w:rsid w:val="002550A5"/>
    <w:rsid w:val="00255809"/>
    <w:rsid w:val="00255F9E"/>
    <w:rsid w:val="00257C3E"/>
    <w:rsid w:val="002602C2"/>
    <w:rsid w:val="002666C9"/>
    <w:rsid w:val="00266ECC"/>
    <w:rsid w:val="00270136"/>
    <w:rsid w:val="0027037C"/>
    <w:rsid w:val="00270CD9"/>
    <w:rsid w:val="00272AEE"/>
    <w:rsid w:val="002735EF"/>
    <w:rsid w:val="00274F5B"/>
    <w:rsid w:val="00275503"/>
    <w:rsid w:val="00280836"/>
    <w:rsid w:val="00280C9E"/>
    <w:rsid w:val="00282E1A"/>
    <w:rsid w:val="0028495A"/>
    <w:rsid w:val="002870E9"/>
    <w:rsid w:val="0029113B"/>
    <w:rsid w:val="002916FA"/>
    <w:rsid w:val="002934C0"/>
    <w:rsid w:val="002A1B50"/>
    <w:rsid w:val="002A7D8F"/>
    <w:rsid w:val="002B0E91"/>
    <w:rsid w:val="002B3688"/>
    <w:rsid w:val="002B44EF"/>
    <w:rsid w:val="002B6779"/>
    <w:rsid w:val="002B71C0"/>
    <w:rsid w:val="002B7A34"/>
    <w:rsid w:val="002C2733"/>
    <w:rsid w:val="002C31AD"/>
    <w:rsid w:val="002C7385"/>
    <w:rsid w:val="002C7D04"/>
    <w:rsid w:val="002C7FA1"/>
    <w:rsid w:val="002D2DBB"/>
    <w:rsid w:val="002D3073"/>
    <w:rsid w:val="002D4D10"/>
    <w:rsid w:val="002D54A6"/>
    <w:rsid w:val="002E1CB8"/>
    <w:rsid w:val="002E311A"/>
    <w:rsid w:val="002E6A7A"/>
    <w:rsid w:val="002F1E49"/>
    <w:rsid w:val="002F3C31"/>
    <w:rsid w:val="002F4E9C"/>
    <w:rsid w:val="002F62BF"/>
    <w:rsid w:val="00300CFA"/>
    <w:rsid w:val="003045E6"/>
    <w:rsid w:val="00305C85"/>
    <w:rsid w:val="0031256C"/>
    <w:rsid w:val="00314A92"/>
    <w:rsid w:val="00314D6C"/>
    <w:rsid w:val="0031627B"/>
    <w:rsid w:val="00316D2A"/>
    <w:rsid w:val="003207C1"/>
    <w:rsid w:val="00322A7C"/>
    <w:rsid w:val="0033207E"/>
    <w:rsid w:val="0033577B"/>
    <w:rsid w:val="003402D3"/>
    <w:rsid w:val="00343ABC"/>
    <w:rsid w:val="003463FE"/>
    <w:rsid w:val="00351593"/>
    <w:rsid w:val="00352D50"/>
    <w:rsid w:val="003554B3"/>
    <w:rsid w:val="00356632"/>
    <w:rsid w:val="00360535"/>
    <w:rsid w:val="00360D0A"/>
    <w:rsid w:val="003650B8"/>
    <w:rsid w:val="00370BD5"/>
    <w:rsid w:val="00376B7D"/>
    <w:rsid w:val="0038227B"/>
    <w:rsid w:val="00382BC6"/>
    <w:rsid w:val="00383147"/>
    <w:rsid w:val="0038405B"/>
    <w:rsid w:val="003845A9"/>
    <w:rsid w:val="003906DD"/>
    <w:rsid w:val="00390883"/>
    <w:rsid w:val="003922F8"/>
    <w:rsid w:val="00395B24"/>
    <w:rsid w:val="003A001E"/>
    <w:rsid w:val="003A2212"/>
    <w:rsid w:val="003A2D38"/>
    <w:rsid w:val="003A7E05"/>
    <w:rsid w:val="003A7ECC"/>
    <w:rsid w:val="003B2156"/>
    <w:rsid w:val="003B265A"/>
    <w:rsid w:val="003B2C72"/>
    <w:rsid w:val="003C0B66"/>
    <w:rsid w:val="003C1333"/>
    <w:rsid w:val="003C20FF"/>
    <w:rsid w:val="003D0ECA"/>
    <w:rsid w:val="003D2650"/>
    <w:rsid w:val="003D560C"/>
    <w:rsid w:val="003D74B6"/>
    <w:rsid w:val="003E5874"/>
    <w:rsid w:val="003F193E"/>
    <w:rsid w:val="003F34F1"/>
    <w:rsid w:val="0040522E"/>
    <w:rsid w:val="00411AE8"/>
    <w:rsid w:val="004127FE"/>
    <w:rsid w:val="00413B74"/>
    <w:rsid w:val="004170FB"/>
    <w:rsid w:val="00422DCB"/>
    <w:rsid w:val="004236EA"/>
    <w:rsid w:val="00423B2A"/>
    <w:rsid w:val="00424672"/>
    <w:rsid w:val="00431642"/>
    <w:rsid w:val="00434012"/>
    <w:rsid w:val="00435C5F"/>
    <w:rsid w:val="00437B8B"/>
    <w:rsid w:val="00441E98"/>
    <w:rsid w:val="0045032F"/>
    <w:rsid w:val="004532F7"/>
    <w:rsid w:val="00455DFF"/>
    <w:rsid w:val="00457095"/>
    <w:rsid w:val="00462595"/>
    <w:rsid w:val="0046653F"/>
    <w:rsid w:val="00472027"/>
    <w:rsid w:val="004804CF"/>
    <w:rsid w:val="00484962"/>
    <w:rsid w:val="00484E76"/>
    <w:rsid w:val="00484F6D"/>
    <w:rsid w:val="00486093"/>
    <w:rsid w:val="00490F81"/>
    <w:rsid w:val="00491B19"/>
    <w:rsid w:val="0049338A"/>
    <w:rsid w:val="0049417F"/>
    <w:rsid w:val="00495FBD"/>
    <w:rsid w:val="004B0485"/>
    <w:rsid w:val="004B362B"/>
    <w:rsid w:val="004B3EFA"/>
    <w:rsid w:val="004C2A87"/>
    <w:rsid w:val="004C2F4E"/>
    <w:rsid w:val="004C4AF3"/>
    <w:rsid w:val="004C4ED3"/>
    <w:rsid w:val="004D0598"/>
    <w:rsid w:val="004D2EA5"/>
    <w:rsid w:val="004D32A6"/>
    <w:rsid w:val="004D53E5"/>
    <w:rsid w:val="00501A12"/>
    <w:rsid w:val="00512E1C"/>
    <w:rsid w:val="0051346D"/>
    <w:rsid w:val="00513A4F"/>
    <w:rsid w:val="00513EAE"/>
    <w:rsid w:val="00515752"/>
    <w:rsid w:val="00516806"/>
    <w:rsid w:val="00520A2A"/>
    <w:rsid w:val="0052261B"/>
    <w:rsid w:val="00525A49"/>
    <w:rsid w:val="00527AA1"/>
    <w:rsid w:val="00535613"/>
    <w:rsid w:val="005359EB"/>
    <w:rsid w:val="00535A2A"/>
    <w:rsid w:val="0054039C"/>
    <w:rsid w:val="00542098"/>
    <w:rsid w:val="0054217C"/>
    <w:rsid w:val="0054254A"/>
    <w:rsid w:val="00545330"/>
    <w:rsid w:val="005466B5"/>
    <w:rsid w:val="0055059C"/>
    <w:rsid w:val="00554E91"/>
    <w:rsid w:val="00556617"/>
    <w:rsid w:val="00557EA0"/>
    <w:rsid w:val="005629B3"/>
    <w:rsid w:val="00573AC4"/>
    <w:rsid w:val="00574CBE"/>
    <w:rsid w:val="005801FC"/>
    <w:rsid w:val="005838CC"/>
    <w:rsid w:val="00584ACC"/>
    <w:rsid w:val="005863CB"/>
    <w:rsid w:val="005930D8"/>
    <w:rsid w:val="0059497D"/>
    <w:rsid w:val="00595016"/>
    <w:rsid w:val="00597AAE"/>
    <w:rsid w:val="005A222C"/>
    <w:rsid w:val="005A2A7A"/>
    <w:rsid w:val="005A4DF8"/>
    <w:rsid w:val="005B1426"/>
    <w:rsid w:val="005B6E2F"/>
    <w:rsid w:val="005C0A8E"/>
    <w:rsid w:val="005C1767"/>
    <w:rsid w:val="005C42EF"/>
    <w:rsid w:val="005C4D89"/>
    <w:rsid w:val="005C7C16"/>
    <w:rsid w:val="005D0D39"/>
    <w:rsid w:val="005D6813"/>
    <w:rsid w:val="005E02F5"/>
    <w:rsid w:val="005E0510"/>
    <w:rsid w:val="005E172D"/>
    <w:rsid w:val="005E176E"/>
    <w:rsid w:val="005E218E"/>
    <w:rsid w:val="005E35A0"/>
    <w:rsid w:val="005F0D1B"/>
    <w:rsid w:val="005F1865"/>
    <w:rsid w:val="005F40A4"/>
    <w:rsid w:val="005F5564"/>
    <w:rsid w:val="006007BD"/>
    <w:rsid w:val="006013C8"/>
    <w:rsid w:val="0060270D"/>
    <w:rsid w:val="00603CC2"/>
    <w:rsid w:val="00604611"/>
    <w:rsid w:val="00611586"/>
    <w:rsid w:val="00621887"/>
    <w:rsid w:val="00624520"/>
    <w:rsid w:val="0062666D"/>
    <w:rsid w:val="00631599"/>
    <w:rsid w:val="00632BB7"/>
    <w:rsid w:val="00635B36"/>
    <w:rsid w:val="00636871"/>
    <w:rsid w:val="00640F4E"/>
    <w:rsid w:val="0064137D"/>
    <w:rsid w:val="00643DE0"/>
    <w:rsid w:val="00644E85"/>
    <w:rsid w:val="006453AF"/>
    <w:rsid w:val="00645FE3"/>
    <w:rsid w:val="00647D5C"/>
    <w:rsid w:val="00650470"/>
    <w:rsid w:val="00652D18"/>
    <w:rsid w:val="00657D67"/>
    <w:rsid w:val="0066063F"/>
    <w:rsid w:val="00662BB0"/>
    <w:rsid w:val="00663878"/>
    <w:rsid w:val="00667773"/>
    <w:rsid w:val="00670743"/>
    <w:rsid w:val="0067572F"/>
    <w:rsid w:val="00690EE2"/>
    <w:rsid w:val="006A0E20"/>
    <w:rsid w:val="006A17C0"/>
    <w:rsid w:val="006A4308"/>
    <w:rsid w:val="006A5695"/>
    <w:rsid w:val="006A6A2E"/>
    <w:rsid w:val="006B1C7E"/>
    <w:rsid w:val="006B3904"/>
    <w:rsid w:val="006B5B7D"/>
    <w:rsid w:val="006C639C"/>
    <w:rsid w:val="006D0ECF"/>
    <w:rsid w:val="006D1631"/>
    <w:rsid w:val="006D2CB0"/>
    <w:rsid w:val="006D2E51"/>
    <w:rsid w:val="006D4C92"/>
    <w:rsid w:val="006D4EB6"/>
    <w:rsid w:val="006D611E"/>
    <w:rsid w:val="006E35BF"/>
    <w:rsid w:val="006E7850"/>
    <w:rsid w:val="006F1065"/>
    <w:rsid w:val="006F39B6"/>
    <w:rsid w:val="00700051"/>
    <w:rsid w:val="007012F2"/>
    <w:rsid w:val="007028D9"/>
    <w:rsid w:val="00704B45"/>
    <w:rsid w:val="00705C54"/>
    <w:rsid w:val="00707218"/>
    <w:rsid w:val="00711215"/>
    <w:rsid w:val="00712B1D"/>
    <w:rsid w:val="007130EE"/>
    <w:rsid w:val="00722D79"/>
    <w:rsid w:val="00724A5C"/>
    <w:rsid w:val="007325D9"/>
    <w:rsid w:val="00732778"/>
    <w:rsid w:val="007360CA"/>
    <w:rsid w:val="007377AB"/>
    <w:rsid w:val="00744CB3"/>
    <w:rsid w:val="007500B2"/>
    <w:rsid w:val="007538CB"/>
    <w:rsid w:val="00755D9A"/>
    <w:rsid w:val="00763D12"/>
    <w:rsid w:val="007645E0"/>
    <w:rsid w:val="00765CE2"/>
    <w:rsid w:val="00770363"/>
    <w:rsid w:val="00771CD5"/>
    <w:rsid w:val="00777CA4"/>
    <w:rsid w:val="0078003A"/>
    <w:rsid w:val="00780771"/>
    <w:rsid w:val="00783F60"/>
    <w:rsid w:val="007929CF"/>
    <w:rsid w:val="0079629E"/>
    <w:rsid w:val="0079687C"/>
    <w:rsid w:val="00796FDA"/>
    <w:rsid w:val="007A28A8"/>
    <w:rsid w:val="007A6F28"/>
    <w:rsid w:val="007B03C6"/>
    <w:rsid w:val="007B0C75"/>
    <w:rsid w:val="007B0DB1"/>
    <w:rsid w:val="007B6485"/>
    <w:rsid w:val="007C0EB2"/>
    <w:rsid w:val="007C38A7"/>
    <w:rsid w:val="007C55D6"/>
    <w:rsid w:val="007C749F"/>
    <w:rsid w:val="007D1F6D"/>
    <w:rsid w:val="007D2EF8"/>
    <w:rsid w:val="007D561F"/>
    <w:rsid w:val="007D7BAC"/>
    <w:rsid w:val="007D7FD2"/>
    <w:rsid w:val="007E13D9"/>
    <w:rsid w:val="007E1888"/>
    <w:rsid w:val="007E4DB6"/>
    <w:rsid w:val="007E7CD4"/>
    <w:rsid w:val="007F0398"/>
    <w:rsid w:val="00801800"/>
    <w:rsid w:val="00801B5B"/>
    <w:rsid w:val="00802852"/>
    <w:rsid w:val="00803BA7"/>
    <w:rsid w:val="00816D84"/>
    <w:rsid w:val="00820EC5"/>
    <w:rsid w:val="00826CB8"/>
    <w:rsid w:val="008276B4"/>
    <w:rsid w:val="00831927"/>
    <w:rsid w:val="00831D25"/>
    <w:rsid w:val="00833980"/>
    <w:rsid w:val="00841BD3"/>
    <w:rsid w:val="0084273D"/>
    <w:rsid w:val="008444AE"/>
    <w:rsid w:val="00844E3F"/>
    <w:rsid w:val="00845A83"/>
    <w:rsid w:val="008469F9"/>
    <w:rsid w:val="008479B1"/>
    <w:rsid w:val="00847B3C"/>
    <w:rsid w:val="00861B56"/>
    <w:rsid w:val="00864B1E"/>
    <w:rsid w:val="008712BB"/>
    <w:rsid w:val="00876191"/>
    <w:rsid w:val="00882E4C"/>
    <w:rsid w:val="00887307"/>
    <w:rsid w:val="0089061F"/>
    <w:rsid w:val="008A1964"/>
    <w:rsid w:val="008A2484"/>
    <w:rsid w:val="008A401F"/>
    <w:rsid w:val="008A4A06"/>
    <w:rsid w:val="008C26D9"/>
    <w:rsid w:val="008C2AC4"/>
    <w:rsid w:val="008C6D50"/>
    <w:rsid w:val="008C7167"/>
    <w:rsid w:val="008C7503"/>
    <w:rsid w:val="008D1617"/>
    <w:rsid w:val="008E6118"/>
    <w:rsid w:val="008E6315"/>
    <w:rsid w:val="008E7AF3"/>
    <w:rsid w:val="008F11E0"/>
    <w:rsid w:val="008F27E0"/>
    <w:rsid w:val="008F3A09"/>
    <w:rsid w:val="008F78BC"/>
    <w:rsid w:val="008F7B63"/>
    <w:rsid w:val="008F7D4E"/>
    <w:rsid w:val="008F7D6A"/>
    <w:rsid w:val="00902A7E"/>
    <w:rsid w:val="00905319"/>
    <w:rsid w:val="009054CB"/>
    <w:rsid w:val="009121CA"/>
    <w:rsid w:val="00912F94"/>
    <w:rsid w:val="00917CF3"/>
    <w:rsid w:val="009216AE"/>
    <w:rsid w:val="009253CF"/>
    <w:rsid w:val="0092590B"/>
    <w:rsid w:val="00925E60"/>
    <w:rsid w:val="009261BB"/>
    <w:rsid w:val="009264B3"/>
    <w:rsid w:val="00930ACD"/>
    <w:rsid w:val="00937373"/>
    <w:rsid w:val="00942BA2"/>
    <w:rsid w:val="00943AD7"/>
    <w:rsid w:val="00944C86"/>
    <w:rsid w:val="00945315"/>
    <w:rsid w:val="0095078F"/>
    <w:rsid w:val="00957380"/>
    <w:rsid w:val="00957DE8"/>
    <w:rsid w:val="00960ECB"/>
    <w:rsid w:val="009615D6"/>
    <w:rsid w:val="00967855"/>
    <w:rsid w:val="0097012B"/>
    <w:rsid w:val="00980736"/>
    <w:rsid w:val="00981A39"/>
    <w:rsid w:val="00983E96"/>
    <w:rsid w:val="00987097"/>
    <w:rsid w:val="00990330"/>
    <w:rsid w:val="009A29C9"/>
    <w:rsid w:val="009B046C"/>
    <w:rsid w:val="009B0685"/>
    <w:rsid w:val="009B13FA"/>
    <w:rsid w:val="009B1876"/>
    <w:rsid w:val="009B1E2D"/>
    <w:rsid w:val="009B5C41"/>
    <w:rsid w:val="009B7F3D"/>
    <w:rsid w:val="009C2985"/>
    <w:rsid w:val="009C59FB"/>
    <w:rsid w:val="009C6F3B"/>
    <w:rsid w:val="009C79DE"/>
    <w:rsid w:val="009D26A8"/>
    <w:rsid w:val="009D53E3"/>
    <w:rsid w:val="009E4FA6"/>
    <w:rsid w:val="009E7D93"/>
    <w:rsid w:val="009F5C33"/>
    <w:rsid w:val="009F697F"/>
    <w:rsid w:val="009F7EC7"/>
    <w:rsid w:val="00A03EAC"/>
    <w:rsid w:val="00A11CA6"/>
    <w:rsid w:val="00A14E5E"/>
    <w:rsid w:val="00A20C49"/>
    <w:rsid w:val="00A269CA"/>
    <w:rsid w:val="00A32724"/>
    <w:rsid w:val="00A33762"/>
    <w:rsid w:val="00A359AC"/>
    <w:rsid w:val="00A40416"/>
    <w:rsid w:val="00A41413"/>
    <w:rsid w:val="00A45853"/>
    <w:rsid w:val="00A45A4E"/>
    <w:rsid w:val="00A45FB1"/>
    <w:rsid w:val="00A46CCC"/>
    <w:rsid w:val="00A50ACE"/>
    <w:rsid w:val="00A51CFE"/>
    <w:rsid w:val="00A70E3A"/>
    <w:rsid w:val="00A753CB"/>
    <w:rsid w:val="00A763BB"/>
    <w:rsid w:val="00A76C13"/>
    <w:rsid w:val="00A84324"/>
    <w:rsid w:val="00A903B6"/>
    <w:rsid w:val="00A90DF1"/>
    <w:rsid w:val="00A92E79"/>
    <w:rsid w:val="00A950B6"/>
    <w:rsid w:val="00AA4660"/>
    <w:rsid w:val="00AB0F92"/>
    <w:rsid w:val="00AB2203"/>
    <w:rsid w:val="00AB275B"/>
    <w:rsid w:val="00AB41C1"/>
    <w:rsid w:val="00AB6548"/>
    <w:rsid w:val="00AD12A8"/>
    <w:rsid w:val="00AD572E"/>
    <w:rsid w:val="00AE271D"/>
    <w:rsid w:val="00AF3577"/>
    <w:rsid w:val="00AF35F9"/>
    <w:rsid w:val="00AF7DFA"/>
    <w:rsid w:val="00B02B2F"/>
    <w:rsid w:val="00B05C7D"/>
    <w:rsid w:val="00B10944"/>
    <w:rsid w:val="00B346C3"/>
    <w:rsid w:val="00B4471C"/>
    <w:rsid w:val="00B44A96"/>
    <w:rsid w:val="00B451A6"/>
    <w:rsid w:val="00B55E4A"/>
    <w:rsid w:val="00B615CA"/>
    <w:rsid w:val="00B64892"/>
    <w:rsid w:val="00B722DE"/>
    <w:rsid w:val="00B72FE3"/>
    <w:rsid w:val="00B76C44"/>
    <w:rsid w:val="00B83F87"/>
    <w:rsid w:val="00B86D64"/>
    <w:rsid w:val="00BA2EFA"/>
    <w:rsid w:val="00BA3DBC"/>
    <w:rsid w:val="00BB2DA2"/>
    <w:rsid w:val="00BB56DC"/>
    <w:rsid w:val="00BC1051"/>
    <w:rsid w:val="00BC13F2"/>
    <w:rsid w:val="00BC32B7"/>
    <w:rsid w:val="00BD7CD2"/>
    <w:rsid w:val="00BE183D"/>
    <w:rsid w:val="00BE469C"/>
    <w:rsid w:val="00BF04B6"/>
    <w:rsid w:val="00BF0A08"/>
    <w:rsid w:val="00BF4F1D"/>
    <w:rsid w:val="00BF5D3D"/>
    <w:rsid w:val="00BF5D7A"/>
    <w:rsid w:val="00BF65F4"/>
    <w:rsid w:val="00BF70FF"/>
    <w:rsid w:val="00C001E2"/>
    <w:rsid w:val="00C07F47"/>
    <w:rsid w:val="00C10C95"/>
    <w:rsid w:val="00C14581"/>
    <w:rsid w:val="00C3056F"/>
    <w:rsid w:val="00C36442"/>
    <w:rsid w:val="00C400CE"/>
    <w:rsid w:val="00C410FD"/>
    <w:rsid w:val="00C45355"/>
    <w:rsid w:val="00C5222B"/>
    <w:rsid w:val="00C539FB"/>
    <w:rsid w:val="00C55837"/>
    <w:rsid w:val="00C62330"/>
    <w:rsid w:val="00C63072"/>
    <w:rsid w:val="00C707B3"/>
    <w:rsid w:val="00C75F7F"/>
    <w:rsid w:val="00C91F7F"/>
    <w:rsid w:val="00CA246D"/>
    <w:rsid w:val="00CA6F8D"/>
    <w:rsid w:val="00CB1E5F"/>
    <w:rsid w:val="00CB4D0A"/>
    <w:rsid w:val="00CB5636"/>
    <w:rsid w:val="00CC2E21"/>
    <w:rsid w:val="00CC3371"/>
    <w:rsid w:val="00CD0021"/>
    <w:rsid w:val="00CD04CD"/>
    <w:rsid w:val="00CD0D49"/>
    <w:rsid w:val="00CD4D0C"/>
    <w:rsid w:val="00CD5267"/>
    <w:rsid w:val="00CE0453"/>
    <w:rsid w:val="00CE5001"/>
    <w:rsid w:val="00CF1A07"/>
    <w:rsid w:val="00CF319F"/>
    <w:rsid w:val="00CF495A"/>
    <w:rsid w:val="00D07560"/>
    <w:rsid w:val="00D10F21"/>
    <w:rsid w:val="00D1743B"/>
    <w:rsid w:val="00D23CE4"/>
    <w:rsid w:val="00D26C91"/>
    <w:rsid w:val="00D30957"/>
    <w:rsid w:val="00D32E9A"/>
    <w:rsid w:val="00D33195"/>
    <w:rsid w:val="00D34040"/>
    <w:rsid w:val="00D34E69"/>
    <w:rsid w:val="00D375EE"/>
    <w:rsid w:val="00D4057C"/>
    <w:rsid w:val="00D44B3B"/>
    <w:rsid w:val="00D450AF"/>
    <w:rsid w:val="00D47314"/>
    <w:rsid w:val="00D62699"/>
    <w:rsid w:val="00D62C3C"/>
    <w:rsid w:val="00D75154"/>
    <w:rsid w:val="00D82620"/>
    <w:rsid w:val="00D9215C"/>
    <w:rsid w:val="00D9693D"/>
    <w:rsid w:val="00D9725F"/>
    <w:rsid w:val="00D97307"/>
    <w:rsid w:val="00DA01B1"/>
    <w:rsid w:val="00DA11A2"/>
    <w:rsid w:val="00DA14ED"/>
    <w:rsid w:val="00DA4D46"/>
    <w:rsid w:val="00DA55CA"/>
    <w:rsid w:val="00DB2EF1"/>
    <w:rsid w:val="00DB3DE1"/>
    <w:rsid w:val="00DB5DA0"/>
    <w:rsid w:val="00DB716C"/>
    <w:rsid w:val="00DC036E"/>
    <w:rsid w:val="00DC1530"/>
    <w:rsid w:val="00DC5C85"/>
    <w:rsid w:val="00DC71D7"/>
    <w:rsid w:val="00DD37E2"/>
    <w:rsid w:val="00DD4236"/>
    <w:rsid w:val="00DD431D"/>
    <w:rsid w:val="00DD44F1"/>
    <w:rsid w:val="00DD676C"/>
    <w:rsid w:val="00DE19EB"/>
    <w:rsid w:val="00DE1E45"/>
    <w:rsid w:val="00DE3067"/>
    <w:rsid w:val="00DE6160"/>
    <w:rsid w:val="00DF5238"/>
    <w:rsid w:val="00E027BC"/>
    <w:rsid w:val="00E05F8E"/>
    <w:rsid w:val="00E14EA5"/>
    <w:rsid w:val="00E21133"/>
    <w:rsid w:val="00E2327E"/>
    <w:rsid w:val="00E243DA"/>
    <w:rsid w:val="00E263B7"/>
    <w:rsid w:val="00E266EF"/>
    <w:rsid w:val="00E46AB6"/>
    <w:rsid w:val="00E47428"/>
    <w:rsid w:val="00E53EAA"/>
    <w:rsid w:val="00E646A7"/>
    <w:rsid w:val="00E66B9F"/>
    <w:rsid w:val="00E710D6"/>
    <w:rsid w:val="00E76E45"/>
    <w:rsid w:val="00E777C9"/>
    <w:rsid w:val="00E81DA6"/>
    <w:rsid w:val="00E84212"/>
    <w:rsid w:val="00E86E80"/>
    <w:rsid w:val="00E9086C"/>
    <w:rsid w:val="00E91A0F"/>
    <w:rsid w:val="00E94A71"/>
    <w:rsid w:val="00E97540"/>
    <w:rsid w:val="00E97C11"/>
    <w:rsid w:val="00EA03CE"/>
    <w:rsid w:val="00EA03E9"/>
    <w:rsid w:val="00EA23E5"/>
    <w:rsid w:val="00EA31A8"/>
    <w:rsid w:val="00EA4E2E"/>
    <w:rsid w:val="00EB0B69"/>
    <w:rsid w:val="00EB2CCB"/>
    <w:rsid w:val="00EC2842"/>
    <w:rsid w:val="00EC33D6"/>
    <w:rsid w:val="00EC57A7"/>
    <w:rsid w:val="00EC6B0F"/>
    <w:rsid w:val="00ED0817"/>
    <w:rsid w:val="00ED08BB"/>
    <w:rsid w:val="00ED5D73"/>
    <w:rsid w:val="00ED7DD9"/>
    <w:rsid w:val="00EF08B7"/>
    <w:rsid w:val="00EF1C3E"/>
    <w:rsid w:val="00EF3113"/>
    <w:rsid w:val="00EF3AB7"/>
    <w:rsid w:val="00EF3F84"/>
    <w:rsid w:val="00EF4FAA"/>
    <w:rsid w:val="00F13AD9"/>
    <w:rsid w:val="00F176AC"/>
    <w:rsid w:val="00F26EC7"/>
    <w:rsid w:val="00F27714"/>
    <w:rsid w:val="00F3276E"/>
    <w:rsid w:val="00F33D3C"/>
    <w:rsid w:val="00F35805"/>
    <w:rsid w:val="00F37A91"/>
    <w:rsid w:val="00F40892"/>
    <w:rsid w:val="00F45CF5"/>
    <w:rsid w:val="00F47DB0"/>
    <w:rsid w:val="00F509E6"/>
    <w:rsid w:val="00F50E34"/>
    <w:rsid w:val="00F51281"/>
    <w:rsid w:val="00F53EF7"/>
    <w:rsid w:val="00F54BF2"/>
    <w:rsid w:val="00F565D3"/>
    <w:rsid w:val="00F70CA6"/>
    <w:rsid w:val="00F71925"/>
    <w:rsid w:val="00F73B4B"/>
    <w:rsid w:val="00F80677"/>
    <w:rsid w:val="00F810EE"/>
    <w:rsid w:val="00F827E6"/>
    <w:rsid w:val="00F84053"/>
    <w:rsid w:val="00F848FB"/>
    <w:rsid w:val="00F84C48"/>
    <w:rsid w:val="00F8560B"/>
    <w:rsid w:val="00F910D4"/>
    <w:rsid w:val="00F92355"/>
    <w:rsid w:val="00F93963"/>
    <w:rsid w:val="00F94291"/>
    <w:rsid w:val="00FA1AB4"/>
    <w:rsid w:val="00FA4DC4"/>
    <w:rsid w:val="00FB0CC5"/>
    <w:rsid w:val="00FB7982"/>
    <w:rsid w:val="00FC0734"/>
    <w:rsid w:val="00FC0FC5"/>
    <w:rsid w:val="00FC2255"/>
    <w:rsid w:val="00FC3C61"/>
    <w:rsid w:val="00FC4690"/>
    <w:rsid w:val="00FC588F"/>
    <w:rsid w:val="00FC675C"/>
    <w:rsid w:val="00FC72A1"/>
    <w:rsid w:val="00FC79AF"/>
    <w:rsid w:val="00FD14C7"/>
    <w:rsid w:val="00FD4205"/>
    <w:rsid w:val="00FD50BE"/>
    <w:rsid w:val="00FD5BCC"/>
    <w:rsid w:val="00FD7564"/>
    <w:rsid w:val="00FE1B30"/>
    <w:rsid w:val="00FE2A18"/>
    <w:rsid w:val="00FE643D"/>
    <w:rsid w:val="00FE6672"/>
    <w:rsid w:val="00FE7B44"/>
    <w:rsid w:val="00FF6B63"/>
    <w:rsid w:val="00FF7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docId w15:val="{6E847D60-C0B3-4E8C-8242-B51AE335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ind w:left="720" w:hanging="360"/>
    </w:pPr>
  </w:style>
  <w:style w:type="paragraph" w:customStyle="1" w:styleId="ListNo3">
    <w:name w:val="List No 3"/>
    <w:basedOn w:val="ListNo2"/>
    <w:rsid w:val="00E14EA5"/>
    <w:pPr>
      <w:numPr>
        <w:ilvl w:val="2"/>
      </w:numPr>
      <w:ind w:left="720" w:hanging="360"/>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ind w:left="0"/>
    </w:pPr>
  </w:style>
  <w:style w:type="paragraph" w:customStyle="1" w:styleId="Quote2Bullet">
    <w:name w:val="Quote2 Bullet"/>
    <w:basedOn w:val="Quote2"/>
    <w:rsid w:val="00EF3F84"/>
    <w:pPr>
      <w:ind w:left="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2"/>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aselawNumbered1">
    <w:name w:val="Caselaw Numbered 1"/>
    <w:basedOn w:val="Normal"/>
    <w:uiPriority w:val="5"/>
    <w:qFormat/>
    <w:rsid w:val="000B0C96"/>
    <w:pPr>
      <w:widowControl w:val="0"/>
      <w:tabs>
        <w:tab w:val="num" w:pos="720"/>
      </w:tabs>
      <w:adjustRightInd w:val="0"/>
      <w:spacing w:after="240"/>
      <w:ind w:left="720" w:hanging="720"/>
      <w:jc w:val="left"/>
    </w:pPr>
    <w:rPr>
      <w:rFonts w:ascii="Arial" w:eastAsia="Times New Roman" w:hAnsi="Arial" w:cs="Arial"/>
      <w:szCs w:val="24"/>
      <w:lang w:eastAsia="en-AU"/>
    </w:rPr>
  </w:style>
  <w:style w:type="character" w:customStyle="1" w:styleId="citation">
    <w:name w:val="citation"/>
    <w:basedOn w:val="DefaultParagraphFont"/>
    <w:rsid w:val="00305C85"/>
  </w:style>
  <w:style w:type="paragraph" w:styleId="ListParagraph">
    <w:name w:val="List Paragraph"/>
    <w:basedOn w:val="Normal"/>
    <w:uiPriority w:val="1"/>
    <w:qFormat/>
    <w:rsid w:val="00FF7798"/>
    <w:pPr>
      <w:widowControl w:val="0"/>
      <w:autoSpaceDE w:val="0"/>
      <w:autoSpaceDN w:val="0"/>
      <w:spacing w:line="240" w:lineRule="auto"/>
      <w:ind w:left="838" w:hanging="353"/>
    </w:pPr>
    <w:rPr>
      <w:rFonts w:ascii="Arial" w:eastAsia="Arial" w:hAnsi="Arial" w:cs="Arial"/>
      <w:sz w:val="22"/>
      <w:szCs w:val="22"/>
      <w:lang w:val="en-US"/>
    </w:rPr>
  </w:style>
  <w:style w:type="character" w:customStyle="1" w:styleId="gwt-inlinelabel">
    <w:name w:val="gwt-inlinelabel"/>
    <w:basedOn w:val="DefaultParagraphFont"/>
    <w:rsid w:val="00724A5C"/>
  </w:style>
  <w:style w:type="character" w:customStyle="1" w:styleId="ilfuvd">
    <w:name w:val="ilfuvd"/>
    <w:basedOn w:val="DefaultParagraphFont"/>
    <w:rsid w:val="00CE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8845">
      <w:bodyDiv w:val="1"/>
      <w:marLeft w:val="0"/>
      <w:marRight w:val="0"/>
      <w:marTop w:val="0"/>
      <w:marBottom w:val="0"/>
      <w:divBdr>
        <w:top w:val="none" w:sz="0" w:space="0" w:color="auto"/>
        <w:left w:val="none" w:sz="0" w:space="0" w:color="auto"/>
        <w:bottom w:val="none" w:sz="0" w:space="0" w:color="auto"/>
        <w:right w:val="none" w:sz="0" w:space="0" w:color="auto"/>
      </w:divBdr>
    </w:div>
    <w:div w:id="192307262">
      <w:bodyDiv w:val="1"/>
      <w:marLeft w:val="0"/>
      <w:marRight w:val="0"/>
      <w:marTop w:val="0"/>
      <w:marBottom w:val="0"/>
      <w:divBdr>
        <w:top w:val="none" w:sz="0" w:space="0" w:color="auto"/>
        <w:left w:val="none" w:sz="0" w:space="0" w:color="auto"/>
        <w:bottom w:val="none" w:sz="0" w:space="0" w:color="auto"/>
        <w:right w:val="none" w:sz="0" w:space="0" w:color="auto"/>
      </w:divBdr>
    </w:div>
    <w:div w:id="1501853046">
      <w:bodyDiv w:val="1"/>
      <w:marLeft w:val="0"/>
      <w:marRight w:val="0"/>
      <w:marTop w:val="0"/>
      <w:marBottom w:val="0"/>
      <w:divBdr>
        <w:top w:val="none" w:sz="0" w:space="0" w:color="auto"/>
        <w:left w:val="none" w:sz="0" w:space="0" w:color="auto"/>
        <w:bottom w:val="none" w:sz="0" w:space="0" w:color="auto"/>
        <w:right w:val="none" w:sz="0" w:space="0" w:color="auto"/>
      </w:divBdr>
    </w:div>
    <w:div w:id="1604149452">
      <w:bodyDiv w:val="1"/>
      <w:marLeft w:val="0"/>
      <w:marRight w:val="0"/>
      <w:marTop w:val="0"/>
      <w:marBottom w:val="0"/>
      <w:divBdr>
        <w:top w:val="none" w:sz="0" w:space="0" w:color="auto"/>
        <w:left w:val="none" w:sz="0" w:space="0" w:color="auto"/>
        <w:bottom w:val="none" w:sz="0" w:space="0" w:color="auto"/>
        <w:right w:val="none" w:sz="0" w:space="0" w:color="auto"/>
      </w:divBdr>
      <w:divsChild>
        <w:div w:id="25718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199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920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1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7831470">
      <w:bodyDiv w:val="1"/>
      <w:marLeft w:val="0"/>
      <w:marRight w:val="0"/>
      <w:marTop w:val="0"/>
      <w:marBottom w:val="0"/>
      <w:divBdr>
        <w:top w:val="none" w:sz="0" w:space="0" w:color="auto"/>
        <w:left w:val="none" w:sz="0" w:space="0" w:color="auto"/>
        <w:bottom w:val="none" w:sz="0" w:space="0" w:color="auto"/>
        <w:right w:val="none" w:sz="0" w:space="0" w:color="auto"/>
      </w:divBdr>
      <w:divsChild>
        <w:div w:id="67384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575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563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449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sou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2</TotalTime>
  <Pages>7</Pages>
  <Words>1917</Words>
  <Characters>9491</Characters>
  <Application>Microsoft Office Word</Application>
  <DocSecurity>0</DocSecurity>
  <Lines>249</Lines>
  <Paragraphs>98</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subject/>
  <dc:creator/>
  <cp:keywords/>
  <dc:description/>
  <cp:lastModifiedBy>Angela Fassoulas</cp:lastModifiedBy>
  <cp:revision>4</cp:revision>
  <cp:lastPrinted>2018-10-08T04:47:00Z</cp:lastPrinted>
  <dcterms:created xsi:type="dcterms:W3CDTF">2018-10-08T05:49:00Z</dcterms:created>
  <dcterms:modified xsi:type="dcterms:W3CDTF">2018-10-08T05:50:00Z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LEE J</vt:lpwstr>
  </property>
  <property fmtid="{D5CDD505-2E9C-101B-9397-08002B2CF9AE}" pid="4" name="Judgment_dated" linkTarget="Judgment_dated">
    <vt:lpwstr>8 October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Delete these rows - not required</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