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6C" w:rsidRDefault="002D6C6C" w:rsidP="00072AFA">
      <w:pPr>
        <w:pStyle w:val="NormalHeadings"/>
        <w:jc w:val="center"/>
        <w:rPr>
          <w:sz w:val="32"/>
        </w:rPr>
      </w:pPr>
      <w:r>
        <w:rPr>
          <w:sz w:val="32"/>
        </w:rPr>
        <w:t>AUSTRALIAN COMPETITION TRIBUNAL</w:t>
      </w:r>
    </w:p>
    <w:p w:rsidR="002D6C6C" w:rsidRPr="00777DA9" w:rsidRDefault="002D6C6C" w:rsidP="00072AFA">
      <w:pPr>
        <w:pStyle w:val="NormalHeadings"/>
        <w:jc w:val="center"/>
        <w:rPr>
          <w:sz w:val="32"/>
        </w:rPr>
      </w:pPr>
    </w:p>
    <w:p w:rsidR="002D6C6C" w:rsidRDefault="002D6C6C">
      <w:pPr>
        <w:pStyle w:val="MediaNeutralStyle"/>
      </w:pPr>
      <w:bookmarkStart w:id="0" w:name="MNC"/>
      <w:r>
        <w:t>Application by Energex Limited (Gamma) (No 5) [2011] ACompT 9</w:t>
      </w:r>
      <w:bookmarkEnd w:id="0"/>
    </w:p>
    <w:p w:rsidR="002D6C6C" w:rsidRPr="00005647" w:rsidRDefault="002D6C6C" w:rsidP="00005647">
      <w:pPr>
        <w:pStyle w:val="Normal1linespace"/>
      </w:pPr>
    </w:p>
    <w:tbl>
      <w:tblPr>
        <w:tblW w:w="0" w:type="auto"/>
        <w:tblLook w:val="01E0"/>
      </w:tblPr>
      <w:tblGrid>
        <w:gridCol w:w="3085"/>
        <w:gridCol w:w="5954"/>
      </w:tblGrid>
      <w:tr w:rsidR="002D6C6C">
        <w:tc>
          <w:tcPr>
            <w:tcW w:w="3085" w:type="dxa"/>
          </w:tcPr>
          <w:p w:rsidR="002D6C6C" w:rsidRDefault="002D6C6C" w:rsidP="00272579">
            <w:pPr>
              <w:pStyle w:val="Normal1linespace"/>
              <w:widowControl w:val="0"/>
            </w:pPr>
            <w:r>
              <w:t>Citation:</w:t>
            </w:r>
          </w:p>
        </w:tc>
        <w:tc>
          <w:tcPr>
            <w:tcW w:w="5954" w:type="dxa"/>
          </w:tcPr>
          <w:p w:rsidR="002D6C6C" w:rsidRDefault="002D6C6C" w:rsidP="00272579">
            <w:pPr>
              <w:pStyle w:val="Normal1linespace"/>
              <w:widowControl w:val="0"/>
              <w:jc w:val="left"/>
            </w:pPr>
            <w:r>
              <w:t>Application by Energex Limited (Gamma) (No 5) [2011] ACompT 9</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272579">
            <w:pPr>
              <w:pStyle w:val="Normal1linespace"/>
              <w:widowControl w:val="0"/>
            </w:pPr>
            <w:r>
              <w:t>Review from:</w:t>
            </w:r>
          </w:p>
        </w:tc>
        <w:tc>
          <w:tcPr>
            <w:tcW w:w="5954" w:type="dxa"/>
          </w:tcPr>
          <w:p w:rsidR="002D6C6C" w:rsidRDefault="002D6C6C" w:rsidP="00272579">
            <w:pPr>
              <w:pStyle w:val="Normal1linespace"/>
              <w:widowControl w:val="0"/>
              <w:jc w:val="left"/>
            </w:pPr>
            <w:r>
              <w:t>Australian Energy Regulator</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272579">
            <w:pPr>
              <w:pStyle w:val="Normal1linespace"/>
              <w:widowControl w:val="0"/>
            </w:pPr>
            <w:r>
              <w:t>Parties:</w:t>
            </w:r>
          </w:p>
        </w:tc>
        <w:tc>
          <w:tcPr>
            <w:tcW w:w="5954" w:type="dxa"/>
          </w:tcPr>
          <w:p w:rsidR="002D6C6C" w:rsidRPr="00272579" w:rsidRDefault="002D6C6C" w:rsidP="00272579">
            <w:pPr>
              <w:pStyle w:val="Normal1linespace"/>
              <w:widowControl w:val="0"/>
              <w:jc w:val="left"/>
              <w:rPr>
                <w:b/>
              </w:rPr>
            </w:pPr>
            <w:bookmarkStart w:id="1" w:name="JudgmentFP"/>
            <w:r w:rsidRPr="00272579">
              <w:rPr>
                <w:b/>
              </w:rPr>
              <w:t>E</w:t>
            </w:r>
            <w:r>
              <w:rPr>
                <w:b/>
              </w:rPr>
              <w:t xml:space="preserve">NERGEX LIMITED (ACN </w:t>
            </w:r>
            <w:r w:rsidRPr="00272579">
              <w:rPr>
                <w:b/>
              </w:rPr>
              <w:t>078 849 055)</w:t>
            </w:r>
          </w:p>
          <w:p w:rsidR="002D6C6C" w:rsidRPr="00272579" w:rsidRDefault="002D6C6C" w:rsidP="00272579">
            <w:pPr>
              <w:pStyle w:val="Normal1linespace"/>
              <w:widowControl w:val="0"/>
              <w:jc w:val="left"/>
              <w:rPr>
                <w:b/>
              </w:rPr>
            </w:pPr>
          </w:p>
          <w:p w:rsidR="002D6C6C" w:rsidRDefault="002D6C6C" w:rsidP="00272579">
            <w:pPr>
              <w:pStyle w:val="Normal1linespace"/>
              <w:widowControl w:val="0"/>
              <w:jc w:val="left"/>
              <w:rPr>
                <w:b/>
              </w:rPr>
            </w:pPr>
            <w:r w:rsidRPr="00272579">
              <w:rPr>
                <w:b/>
              </w:rPr>
              <w:t>E</w:t>
            </w:r>
            <w:r>
              <w:rPr>
                <w:b/>
              </w:rPr>
              <w:t xml:space="preserve">RGON ENERGY CORPORATION LIMITED </w:t>
            </w:r>
          </w:p>
          <w:p w:rsidR="002D6C6C" w:rsidRPr="00272579" w:rsidRDefault="002D6C6C" w:rsidP="00272579">
            <w:pPr>
              <w:pStyle w:val="Normal1linespace"/>
              <w:widowControl w:val="0"/>
              <w:jc w:val="left"/>
              <w:rPr>
                <w:b/>
              </w:rPr>
            </w:pPr>
            <w:r w:rsidRPr="00272579">
              <w:rPr>
                <w:b/>
              </w:rPr>
              <w:t>(ACN 078 646 062)</w:t>
            </w:r>
          </w:p>
          <w:p w:rsidR="002D6C6C" w:rsidRPr="00272579" w:rsidRDefault="002D6C6C" w:rsidP="00272579">
            <w:pPr>
              <w:pStyle w:val="Normal1linespace"/>
              <w:widowControl w:val="0"/>
              <w:jc w:val="left"/>
              <w:rPr>
                <w:b/>
              </w:rPr>
            </w:pPr>
          </w:p>
          <w:p w:rsidR="002D6C6C" w:rsidRPr="00272579" w:rsidRDefault="002D6C6C" w:rsidP="00272579">
            <w:pPr>
              <w:pStyle w:val="Normal1linespace"/>
              <w:widowControl w:val="0"/>
              <w:jc w:val="left"/>
              <w:rPr>
                <w:b/>
              </w:rPr>
            </w:pPr>
            <w:r w:rsidRPr="00272579">
              <w:rPr>
                <w:b/>
              </w:rPr>
              <w:t xml:space="preserve">ETSA </w:t>
            </w:r>
            <w:r>
              <w:rPr>
                <w:b/>
              </w:rPr>
              <w:t xml:space="preserve">UTILITIES </w:t>
            </w:r>
            <w:r w:rsidRPr="00272579">
              <w:rPr>
                <w:b/>
              </w:rPr>
              <w:t>(ABN 13 332 330 749)</w:t>
            </w:r>
            <w:bookmarkEnd w:id="1"/>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272579">
            <w:pPr>
              <w:pStyle w:val="Normal1linespace"/>
              <w:widowControl w:val="0"/>
            </w:pPr>
            <w:r>
              <w:t>File number(s):</w:t>
            </w:r>
          </w:p>
        </w:tc>
        <w:tc>
          <w:tcPr>
            <w:tcW w:w="5954" w:type="dxa"/>
          </w:tcPr>
          <w:p w:rsidR="002D6C6C" w:rsidRPr="00272579" w:rsidRDefault="002D6C6C" w:rsidP="00272579">
            <w:pPr>
              <w:pStyle w:val="Normal1linespace"/>
              <w:widowControl w:val="0"/>
              <w:jc w:val="left"/>
              <w:rPr>
                <w:szCs w:val="24"/>
              </w:rPr>
            </w:pPr>
            <w:fldSimple w:instr=" REF  Num  \* MERGEFORMAT " w:fldLock="1">
              <w:r w:rsidRPr="00272579">
                <w:rPr>
                  <w:szCs w:val="24"/>
                </w:rPr>
                <w:t>2 of 2010</w:t>
              </w:r>
            </w:fldSimple>
          </w:p>
          <w:p w:rsidR="002D6C6C" w:rsidRPr="00272579" w:rsidRDefault="002D6C6C" w:rsidP="00272579">
            <w:pPr>
              <w:pStyle w:val="Normal1linespace"/>
              <w:widowControl w:val="0"/>
              <w:jc w:val="left"/>
              <w:rPr>
                <w:szCs w:val="24"/>
              </w:rPr>
            </w:pPr>
            <w:r w:rsidRPr="00272579">
              <w:rPr>
                <w:szCs w:val="24"/>
              </w:rPr>
              <w:t>3 of 2010</w:t>
            </w:r>
          </w:p>
          <w:p w:rsidR="002D6C6C" w:rsidRPr="00012E32" w:rsidRDefault="002D6C6C" w:rsidP="00272579">
            <w:pPr>
              <w:pStyle w:val="Normal1linespace"/>
              <w:widowControl w:val="0"/>
              <w:jc w:val="left"/>
            </w:pPr>
            <w:r w:rsidRPr="00272579">
              <w:rPr>
                <w:szCs w:val="24"/>
              </w:rPr>
              <w:t>4 of 2010</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272579">
            <w:pPr>
              <w:pStyle w:val="Normal1linespace"/>
              <w:widowControl w:val="0"/>
            </w:pPr>
            <w:r>
              <w:t>Members:</w:t>
            </w:r>
          </w:p>
        </w:tc>
        <w:tc>
          <w:tcPr>
            <w:tcW w:w="5954" w:type="dxa"/>
          </w:tcPr>
          <w:p w:rsidR="002D6C6C" w:rsidRPr="00272579" w:rsidRDefault="002D6C6C" w:rsidP="00272579">
            <w:pPr>
              <w:pStyle w:val="Normal1linespace"/>
              <w:widowControl w:val="0"/>
              <w:jc w:val="left"/>
              <w:rPr>
                <w:b/>
              </w:rPr>
            </w:pPr>
            <w:fldSimple w:instr=" REF  Judge  \* MERGEFORMAT " w:fldLock="1">
              <w:r w:rsidRPr="008D4D38">
                <w:rPr>
                  <w:b/>
                  <w:caps/>
                  <w:szCs w:val="24"/>
                </w:rPr>
                <w:t>MIDDLETON J</w:t>
              </w:r>
            </w:fldSimple>
            <w:r w:rsidRPr="00272579">
              <w:rPr>
                <w:b/>
              </w:rPr>
              <w:t xml:space="preserve"> (DEPUTY PRESIDENT),</w:t>
            </w:r>
          </w:p>
          <w:p w:rsidR="002D6C6C" w:rsidRPr="00272579" w:rsidRDefault="002D6C6C" w:rsidP="00272579">
            <w:pPr>
              <w:pStyle w:val="Normal1linespace"/>
              <w:widowControl w:val="0"/>
              <w:jc w:val="left"/>
              <w:rPr>
                <w:b/>
              </w:rPr>
            </w:pPr>
            <w:r w:rsidRPr="00272579">
              <w:rPr>
                <w:b/>
              </w:rPr>
              <w:t>MR R</w:t>
            </w:r>
            <w:r>
              <w:rPr>
                <w:b/>
              </w:rPr>
              <w:t xml:space="preserve"> </w:t>
            </w:r>
            <w:r w:rsidRPr="00272579">
              <w:rPr>
                <w:b/>
              </w:rPr>
              <w:t>DAVEY AND</w:t>
            </w:r>
            <w:r>
              <w:rPr>
                <w:b/>
              </w:rPr>
              <w:t xml:space="preserve"> </w:t>
            </w:r>
            <w:r w:rsidRPr="00272579">
              <w:rPr>
                <w:b/>
              </w:rPr>
              <w:t>MR R SHOGREN</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272579">
            <w:pPr>
              <w:pStyle w:val="Normal1linespace"/>
              <w:widowControl w:val="0"/>
            </w:pPr>
            <w:r>
              <w:t>Date of Reasons:</w:t>
            </w:r>
          </w:p>
        </w:tc>
        <w:tc>
          <w:tcPr>
            <w:tcW w:w="5954" w:type="dxa"/>
          </w:tcPr>
          <w:p w:rsidR="002D6C6C" w:rsidRDefault="002D6C6C" w:rsidP="00272579">
            <w:pPr>
              <w:pStyle w:val="Normal1linespace"/>
              <w:widowControl w:val="0"/>
              <w:jc w:val="left"/>
            </w:pPr>
            <w:bookmarkStart w:id="2" w:name="JudgmentDate"/>
            <w:r>
              <w:t>12 May 2011</w:t>
            </w:r>
            <w:bookmarkEnd w:id="2"/>
            <w:r>
              <w:t xml:space="preserve"> </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272579">
            <w:pPr>
              <w:pStyle w:val="Normal1linespace"/>
              <w:widowControl w:val="0"/>
            </w:pPr>
            <w:r>
              <w:t>Date of hearing:</w:t>
            </w:r>
          </w:p>
        </w:tc>
        <w:tc>
          <w:tcPr>
            <w:tcW w:w="5954" w:type="dxa"/>
          </w:tcPr>
          <w:p w:rsidR="002D6C6C" w:rsidRDefault="002D6C6C" w:rsidP="00272579">
            <w:pPr>
              <w:pStyle w:val="Normal1linespace"/>
              <w:widowControl w:val="0"/>
              <w:jc w:val="left"/>
            </w:pPr>
            <w:r>
              <w:t>29 April 2011</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272579">
            <w:pPr>
              <w:pStyle w:val="Normal1linespace"/>
              <w:widowControl w:val="0"/>
            </w:pPr>
            <w:r>
              <w:t>Place:</w:t>
            </w:r>
          </w:p>
        </w:tc>
        <w:tc>
          <w:tcPr>
            <w:tcW w:w="5954" w:type="dxa"/>
          </w:tcPr>
          <w:p w:rsidR="002D6C6C" w:rsidRDefault="002D6C6C" w:rsidP="00272579">
            <w:pPr>
              <w:pStyle w:val="Normal1linespace"/>
              <w:widowControl w:val="0"/>
              <w:jc w:val="left"/>
            </w:pPr>
            <w:r>
              <w:t>Melbourne</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3960E0">
            <w:pPr>
              <w:pStyle w:val="Counsel"/>
            </w:pPr>
            <w:r>
              <w:t>Category:</w:t>
            </w:r>
          </w:p>
        </w:tc>
        <w:tc>
          <w:tcPr>
            <w:tcW w:w="5954" w:type="dxa"/>
          </w:tcPr>
          <w:p w:rsidR="002D6C6C" w:rsidRDefault="002D6C6C" w:rsidP="003960E0">
            <w:pPr>
              <w:pStyle w:val="Counsel"/>
            </w:pPr>
            <w:r>
              <w:t>No Catchwords</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3960E0">
            <w:pPr>
              <w:pStyle w:val="Counsel"/>
            </w:pPr>
            <w:r>
              <w:t>Number of paragraphs:</w:t>
            </w:r>
          </w:p>
        </w:tc>
        <w:tc>
          <w:tcPr>
            <w:tcW w:w="5954" w:type="dxa"/>
          </w:tcPr>
          <w:p w:rsidR="002D6C6C" w:rsidRDefault="002D6C6C" w:rsidP="003960E0">
            <w:pPr>
              <w:pStyle w:val="Counsel"/>
            </w:pPr>
            <w:r>
              <w:t>51</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3960E0">
            <w:pPr>
              <w:pStyle w:val="Counsel"/>
              <w:jc w:val="left"/>
            </w:pPr>
            <w:r>
              <w:t>Counsel for Energex Limited:</w:t>
            </w:r>
          </w:p>
        </w:tc>
        <w:tc>
          <w:tcPr>
            <w:tcW w:w="5954" w:type="dxa"/>
          </w:tcPr>
          <w:p w:rsidR="002D6C6C" w:rsidRPr="00D73CBF" w:rsidRDefault="002D6C6C" w:rsidP="003960E0">
            <w:pPr>
              <w:pStyle w:val="Counsel"/>
              <w:jc w:val="left"/>
            </w:pPr>
            <w:r w:rsidRPr="00D73CBF">
              <w:t>Mr S Doyle SC with Mr A Pomerenke</w:t>
            </w:r>
          </w:p>
        </w:tc>
      </w:tr>
      <w:tr w:rsidR="002D6C6C">
        <w:tc>
          <w:tcPr>
            <w:tcW w:w="3085" w:type="dxa"/>
          </w:tcPr>
          <w:p w:rsidR="002D6C6C" w:rsidRDefault="002D6C6C" w:rsidP="003960E0">
            <w:pPr>
              <w:pStyle w:val="Counsel"/>
              <w:jc w:val="left"/>
            </w:pPr>
          </w:p>
        </w:tc>
        <w:tc>
          <w:tcPr>
            <w:tcW w:w="5954" w:type="dxa"/>
          </w:tcPr>
          <w:p w:rsidR="002D6C6C" w:rsidRDefault="002D6C6C" w:rsidP="003960E0">
            <w:pPr>
              <w:pStyle w:val="Counsel"/>
              <w:jc w:val="left"/>
            </w:pPr>
          </w:p>
        </w:tc>
      </w:tr>
      <w:tr w:rsidR="002D6C6C">
        <w:tc>
          <w:tcPr>
            <w:tcW w:w="3085" w:type="dxa"/>
          </w:tcPr>
          <w:p w:rsidR="002D6C6C" w:rsidRDefault="002D6C6C" w:rsidP="003960E0">
            <w:pPr>
              <w:pStyle w:val="Counsel"/>
              <w:jc w:val="left"/>
            </w:pPr>
            <w:r>
              <w:t>Solicitor for Energex Limited:</w:t>
            </w:r>
          </w:p>
        </w:tc>
        <w:tc>
          <w:tcPr>
            <w:tcW w:w="5954" w:type="dxa"/>
          </w:tcPr>
          <w:p w:rsidR="002D6C6C" w:rsidRDefault="002D6C6C" w:rsidP="003960E0">
            <w:pPr>
              <w:pStyle w:val="Counsel"/>
              <w:jc w:val="left"/>
            </w:pPr>
            <w:r>
              <w:t>Allens Arthur Robinson</w:t>
            </w:r>
          </w:p>
        </w:tc>
      </w:tr>
      <w:tr w:rsidR="002D6C6C">
        <w:tc>
          <w:tcPr>
            <w:tcW w:w="3085" w:type="dxa"/>
          </w:tcPr>
          <w:p w:rsidR="002D6C6C" w:rsidRDefault="002D6C6C" w:rsidP="003960E0">
            <w:pPr>
              <w:pStyle w:val="Counsel"/>
              <w:jc w:val="left"/>
            </w:pPr>
          </w:p>
        </w:tc>
        <w:tc>
          <w:tcPr>
            <w:tcW w:w="5954" w:type="dxa"/>
          </w:tcPr>
          <w:p w:rsidR="002D6C6C" w:rsidRDefault="002D6C6C" w:rsidP="003960E0">
            <w:pPr>
              <w:pStyle w:val="Counsel"/>
              <w:jc w:val="left"/>
            </w:pPr>
          </w:p>
        </w:tc>
      </w:tr>
      <w:tr w:rsidR="002D6C6C">
        <w:tc>
          <w:tcPr>
            <w:tcW w:w="3085" w:type="dxa"/>
          </w:tcPr>
          <w:p w:rsidR="002D6C6C" w:rsidRDefault="002D6C6C" w:rsidP="003960E0">
            <w:pPr>
              <w:pStyle w:val="Counsel"/>
              <w:jc w:val="left"/>
            </w:pPr>
            <w:r>
              <w:t>Counsel for Ergon Energy Corporation Limited:</w:t>
            </w:r>
          </w:p>
        </w:tc>
        <w:tc>
          <w:tcPr>
            <w:tcW w:w="5954" w:type="dxa"/>
          </w:tcPr>
          <w:p w:rsidR="002D6C6C" w:rsidRPr="00D73CBF" w:rsidRDefault="002D6C6C" w:rsidP="003960E0">
            <w:pPr>
              <w:pStyle w:val="Counsel"/>
              <w:jc w:val="left"/>
            </w:pPr>
            <w:r w:rsidRPr="00D73CBF">
              <w:t>Mr T Bradley</w:t>
            </w:r>
          </w:p>
        </w:tc>
      </w:tr>
      <w:tr w:rsidR="002D6C6C">
        <w:tc>
          <w:tcPr>
            <w:tcW w:w="3085" w:type="dxa"/>
          </w:tcPr>
          <w:p w:rsidR="002D6C6C" w:rsidRDefault="002D6C6C" w:rsidP="00272579">
            <w:pPr>
              <w:pStyle w:val="Normal1linespace"/>
              <w:widowControl w:val="0"/>
            </w:pPr>
          </w:p>
        </w:tc>
        <w:tc>
          <w:tcPr>
            <w:tcW w:w="5954" w:type="dxa"/>
          </w:tcPr>
          <w:p w:rsidR="002D6C6C" w:rsidRDefault="002D6C6C" w:rsidP="00272579">
            <w:pPr>
              <w:pStyle w:val="Normal1linespace"/>
              <w:widowControl w:val="0"/>
              <w:jc w:val="left"/>
            </w:pPr>
          </w:p>
        </w:tc>
      </w:tr>
      <w:tr w:rsidR="002D6C6C">
        <w:tc>
          <w:tcPr>
            <w:tcW w:w="3085" w:type="dxa"/>
          </w:tcPr>
          <w:p w:rsidR="002D6C6C" w:rsidRDefault="002D6C6C" w:rsidP="003960E0">
            <w:pPr>
              <w:pStyle w:val="Counsel"/>
              <w:jc w:val="left"/>
            </w:pPr>
            <w:r>
              <w:t>Solicitor for Ergon Energy Corporation Limited:</w:t>
            </w:r>
          </w:p>
        </w:tc>
        <w:tc>
          <w:tcPr>
            <w:tcW w:w="5954" w:type="dxa"/>
          </w:tcPr>
          <w:p w:rsidR="002D6C6C" w:rsidRDefault="002D6C6C" w:rsidP="003960E0">
            <w:pPr>
              <w:pStyle w:val="Counsel"/>
              <w:jc w:val="left"/>
            </w:pPr>
            <w:r>
              <w:t>Minter Ellison Lawyers</w:t>
            </w:r>
          </w:p>
        </w:tc>
      </w:tr>
      <w:tr w:rsidR="002D6C6C">
        <w:tc>
          <w:tcPr>
            <w:tcW w:w="3085" w:type="dxa"/>
          </w:tcPr>
          <w:p w:rsidR="002D6C6C" w:rsidRDefault="002D6C6C" w:rsidP="003960E0">
            <w:pPr>
              <w:pStyle w:val="Counsel"/>
              <w:jc w:val="left"/>
            </w:pPr>
          </w:p>
        </w:tc>
        <w:tc>
          <w:tcPr>
            <w:tcW w:w="5954" w:type="dxa"/>
          </w:tcPr>
          <w:p w:rsidR="002D6C6C" w:rsidRDefault="002D6C6C" w:rsidP="003960E0">
            <w:pPr>
              <w:pStyle w:val="Counsel"/>
              <w:jc w:val="left"/>
            </w:pPr>
          </w:p>
        </w:tc>
      </w:tr>
      <w:tr w:rsidR="002D6C6C">
        <w:tc>
          <w:tcPr>
            <w:tcW w:w="3085" w:type="dxa"/>
          </w:tcPr>
          <w:p w:rsidR="002D6C6C" w:rsidRDefault="002D6C6C" w:rsidP="003960E0">
            <w:pPr>
              <w:pStyle w:val="Counsel"/>
              <w:jc w:val="left"/>
            </w:pPr>
            <w:r>
              <w:t>Counsel for ETSA Utilities:</w:t>
            </w:r>
          </w:p>
        </w:tc>
        <w:tc>
          <w:tcPr>
            <w:tcW w:w="5954" w:type="dxa"/>
          </w:tcPr>
          <w:p w:rsidR="002D6C6C" w:rsidRPr="00D73CBF" w:rsidRDefault="002D6C6C" w:rsidP="003960E0">
            <w:pPr>
              <w:pStyle w:val="Counsel"/>
              <w:jc w:val="left"/>
            </w:pPr>
            <w:r w:rsidRPr="00D73CBF">
              <w:t>Mr CA Moore with Mr M Borsky</w:t>
            </w:r>
          </w:p>
        </w:tc>
      </w:tr>
      <w:tr w:rsidR="002D6C6C">
        <w:tc>
          <w:tcPr>
            <w:tcW w:w="3085" w:type="dxa"/>
          </w:tcPr>
          <w:p w:rsidR="002D6C6C" w:rsidRDefault="002D6C6C" w:rsidP="003960E0">
            <w:pPr>
              <w:pStyle w:val="Counsel"/>
              <w:jc w:val="left"/>
            </w:pPr>
          </w:p>
        </w:tc>
        <w:tc>
          <w:tcPr>
            <w:tcW w:w="5954" w:type="dxa"/>
          </w:tcPr>
          <w:p w:rsidR="002D6C6C" w:rsidRDefault="002D6C6C" w:rsidP="003960E0">
            <w:pPr>
              <w:pStyle w:val="Counsel"/>
              <w:jc w:val="left"/>
            </w:pPr>
          </w:p>
        </w:tc>
      </w:tr>
      <w:tr w:rsidR="002D6C6C">
        <w:tc>
          <w:tcPr>
            <w:tcW w:w="3085" w:type="dxa"/>
          </w:tcPr>
          <w:p w:rsidR="002D6C6C" w:rsidRDefault="002D6C6C" w:rsidP="003960E0">
            <w:pPr>
              <w:pStyle w:val="Counsel"/>
              <w:jc w:val="left"/>
            </w:pPr>
            <w:r>
              <w:t>Solicitor for ETSA Utilities:</w:t>
            </w:r>
          </w:p>
        </w:tc>
        <w:tc>
          <w:tcPr>
            <w:tcW w:w="5954" w:type="dxa"/>
          </w:tcPr>
          <w:p w:rsidR="002D6C6C" w:rsidRDefault="002D6C6C" w:rsidP="003960E0">
            <w:pPr>
              <w:pStyle w:val="Counsel"/>
              <w:jc w:val="left"/>
            </w:pPr>
            <w:r>
              <w:t>Gilbert + Tobin</w:t>
            </w:r>
          </w:p>
        </w:tc>
      </w:tr>
      <w:tr w:rsidR="002D6C6C">
        <w:tc>
          <w:tcPr>
            <w:tcW w:w="3085" w:type="dxa"/>
          </w:tcPr>
          <w:p w:rsidR="002D6C6C" w:rsidRDefault="002D6C6C" w:rsidP="003960E0">
            <w:pPr>
              <w:pStyle w:val="Counsel"/>
              <w:jc w:val="left"/>
            </w:pPr>
          </w:p>
        </w:tc>
        <w:tc>
          <w:tcPr>
            <w:tcW w:w="5954" w:type="dxa"/>
          </w:tcPr>
          <w:p w:rsidR="002D6C6C" w:rsidRDefault="002D6C6C" w:rsidP="003960E0">
            <w:pPr>
              <w:pStyle w:val="Counsel"/>
              <w:jc w:val="left"/>
            </w:pPr>
          </w:p>
        </w:tc>
      </w:tr>
      <w:tr w:rsidR="002D6C6C">
        <w:tc>
          <w:tcPr>
            <w:tcW w:w="3085" w:type="dxa"/>
          </w:tcPr>
          <w:p w:rsidR="002D6C6C" w:rsidRDefault="002D6C6C" w:rsidP="003960E0">
            <w:pPr>
              <w:pStyle w:val="Counsel"/>
              <w:jc w:val="left"/>
            </w:pPr>
            <w:r>
              <w:t>Counsel for Australian Energy Regulator:</w:t>
            </w:r>
          </w:p>
        </w:tc>
        <w:tc>
          <w:tcPr>
            <w:tcW w:w="5954" w:type="dxa"/>
          </w:tcPr>
          <w:p w:rsidR="002D6C6C" w:rsidRPr="00D73CBF" w:rsidRDefault="002D6C6C" w:rsidP="003960E0">
            <w:pPr>
              <w:pStyle w:val="Counsel"/>
              <w:jc w:val="left"/>
            </w:pPr>
            <w:r w:rsidRPr="00D73CBF">
              <w:t xml:space="preserve">Mr P Hanks QC with Mr </w:t>
            </w:r>
            <w:r>
              <w:t xml:space="preserve">P </w:t>
            </w:r>
            <w:r w:rsidRPr="00D73CBF">
              <w:t>Gray</w:t>
            </w:r>
            <w:r>
              <w:t xml:space="preserve"> and </w:t>
            </w:r>
            <w:r w:rsidRPr="00D73CBF">
              <w:t>Mr T Clarke</w:t>
            </w:r>
          </w:p>
        </w:tc>
      </w:tr>
      <w:tr w:rsidR="002D6C6C">
        <w:tc>
          <w:tcPr>
            <w:tcW w:w="3085" w:type="dxa"/>
          </w:tcPr>
          <w:p w:rsidR="002D6C6C" w:rsidRDefault="002D6C6C" w:rsidP="003960E0">
            <w:pPr>
              <w:pStyle w:val="Counsel"/>
              <w:jc w:val="left"/>
            </w:pPr>
          </w:p>
        </w:tc>
        <w:tc>
          <w:tcPr>
            <w:tcW w:w="5954" w:type="dxa"/>
          </w:tcPr>
          <w:p w:rsidR="002D6C6C" w:rsidRDefault="002D6C6C" w:rsidP="003960E0">
            <w:pPr>
              <w:pStyle w:val="Counsel"/>
              <w:jc w:val="left"/>
            </w:pPr>
          </w:p>
        </w:tc>
      </w:tr>
      <w:tr w:rsidR="002D6C6C">
        <w:tc>
          <w:tcPr>
            <w:tcW w:w="3085" w:type="dxa"/>
          </w:tcPr>
          <w:p w:rsidR="002D6C6C" w:rsidRDefault="002D6C6C" w:rsidP="003960E0">
            <w:pPr>
              <w:pStyle w:val="Counsel"/>
              <w:jc w:val="left"/>
            </w:pPr>
            <w:r>
              <w:t>Solicitor for Australian Energy Regulator:</w:t>
            </w:r>
          </w:p>
        </w:tc>
        <w:tc>
          <w:tcPr>
            <w:tcW w:w="5954" w:type="dxa"/>
          </w:tcPr>
          <w:p w:rsidR="002D6C6C" w:rsidRDefault="002D6C6C" w:rsidP="003960E0">
            <w:pPr>
              <w:pStyle w:val="Counsel"/>
              <w:jc w:val="left"/>
            </w:pPr>
            <w:r>
              <w:t>Corrs Chambers Westgarth</w:t>
            </w:r>
          </w:p>
        </w:tc>
      </w:tr>
    </w:tbl>
    <w:p w:rsidR="002D6C6C" w:rsidRDefault="002D6C6C" w:rsidP="00B544CE">
      <w:pPr>
        <w:pStyle w:val="Normal1linespace"/>
      </w:pPr>
    </w:p>
    <w:p w:rsidR="002D6C6C" w:rsidRDefault="002D6C6C">
      <w:pPr>
        <w:pStyle w:val="Normal1linespace"/>
      </w:pPr>
    </w:p>
    <w:p w:rsidR="002D6C6C" w:rsidRDefault="002D6C6C" w:rsidP="00E8791E">
      <w:pPr>
        <w:pStyle w:val="Normal1linespace"/>
        <w:sectPr w:rsidR="002D6C6C">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D6C6C">
        <w:tc>
          <w:tcPr>
            <w:tcW w:w="6771" w:type="dxa"/>
          </w:tcPr>
          <w:p w:rsidR="002D6C6C" w:rsidRPr="00884B15" w:rsidRDefault="002D6C6C">
            <w:pPr>
              <w:pStyle w:val="NormalHeadings"/>
              <w:spacing w:after="120"/>
              <w:jc w:val="left"/>
              <w:rPr>
                <w:caps/>
                <w:szCs w:val="24"/>
              </w:rPr>
            </w:pPr>
            <w:bookmarkStart w:id="3" w:name="ReasonsPage"/>
            <w:bookmarkEnd w:id="3"/>
            <w:r w:rsidRPr="0060352B">
              <w:rPr>
                <w:caps/>
                <w:szCs w:val="24"/>
              </w:rPr>
              <w:t>IN THE AUSTRALIAN COMPETITION TRIBUNAL</w:t>
            </w:r>
          </w:p>
        </w:tc>
        <w:tc>
          <w:tcPr>
            <w:tcW w:w="2471" w:type="dxa"/>
          </w:tcPr>
          <w:p w:rsidR="002D6C6C" w:rsidRDefault="002D6C6C">
            <w:pPr>
              <w:pStyle w:val="NormalHeadings"/>
            </w:pPr>
          </w:p>
        </w:tc>
      </w:tr>
      <w:tr w:rsidR="002D6C6C" w:rsidRPr="00F575C8">
        <w:tc>
          <w:tcPr>
            <w:tcW w:w="6771" w:type="dxa"/>
          </w:tcPr>
          <w:p w:rsidR="002D6C6C" w:rsidRPr="00884B15" w:rsidRDefault="002D6C6C">
            <w:pPr>
              <w:pStyle w:val="NormalHeadings"/>
              <w:spacing w:after="120"/>
              <w:jc w:val="left"/>
              <w:rPr>
                <w:caps/>
                <w:szCs w:val="24"/>
              </w:rPr>
            </w:pPr>
          </w:p>
        </w:tc>
        <w:tc>
          <w:tcPr>
            <w:tcW w:w="2471" w:type="dxa"/>
          </w:tcPr>
          <w:p w:rsidR="002D6C6C" w:rsidRPr="00F575C8" w:rsidRDefault="002D6C6C" w:rsidP="00EE76E8">
            <w:pPr>
              <w:pStyle w:val="NormalHeadings"/>
              <w:tabs>
                <w:tab w:val="right" w:pos="3609"/>
              </w:tabs>
              <w:jc w:val="right"/>
              <w:rPr>
                <w:szCs w:val="24"/>
              </w:rPr>
            </w:pPr>
            <w:r w:rsidRPr="00F575C8">
              <w:rPr>
                <w:szCs w:val="24"/>
              </w:rPr>
              <w:t xml:space="preserve">File No </w:t>
            </w:r>
            <w:fldSimple w:instr=" REF  Num  \* MERGEFORMAT " w:fldLock="1">
              <w:r w:rsidRPr="00F575C8">
                <w:rPr>
                  <w:szCs w:val="24"/>
                </w:rPr>
                <w:t>2 of 2010</w:t>
              </w:r>
            </w:fldSimple>
          </w:p>
        </w:tc>
      </w:tr>
    </w:tbl>
    <w:p w:rsidR="002D6C6C" w:rsidRDefault="002D6C6C" w:rsidP="00867153">
      <w:pPr>
        <w:pStyle w:val="AppealTable"/>
      </w:pPr>
      <w:fldSimple w:instr=" Ref AppealTable  \* MERGEFORMAT " w:fldLock="1">
        <w:r>
          <w:t xml:space="preserve"> </w:t>
        </w:r>
      </w:fldSimple>
    </w:p>
    <w:tbl>
      <w:tblPr>
        <w:tblW w:w="0" w:type="auto"/>
        <w:tblLayout w:type="fixed"/>
        <w:tblLook w:val="0000"/>
      </w:tblPr>
      <w:tblGrid>
        <w:gridCol w:w="2376"/>
        <w:gridCol w:w="4395"/>
        <w:gridCol w:w="2471"/>
      </w:tblGrid>
      <w:tr w:rsidR="002D6C6C">
        <w:trPr>
          <w:trHeight w:val="386"/>
        </w:trPr>
        <w:tc>
          <w:tcPr>
            <w:tcW w:w="2376" w:type="dxa"/>
          </w:tcPr>
          <w:p w:rsidR="002D6C6C" w:rsidRPr="00B76E4F" w:rsidRDefault="002D6C6C" w:rsidP="00AD1FAF">
            <w:pPr>
              <w:pStyle w:val="NormalHeadings"/>
              <w:jc w:val="left"/>
              <w:rPr>
                <w:caps/>
                <w:szCs w:val="24"/>
              </w:rPr>
            </w:pPr>
            <w:r>
              <w:rPr>
                <w:caps/>
                <w:szCs w:val="24"/>
              </w:rPr>
              <w:t>RE</w:t>
            </w:r>
            <w:r w:rsidRPr="00B76E4F">
              <w:rPr>
                <w:caps/>
                <w:szCs w:val="24"/>
              </w:rPr>
              <w:t>:</w:t>
            </w:r>
          </w:p>
        </w:tc>
        <w:tc>
          <w:tcPr>
            <w:tcW w:w="6866" w:type="dxa"/>
            <w:gridSpan w:val="2"/>
          </w:tcPr>
          <w:p w:rsidR="002D6C6C" w:rsidRDefault="002D6C6C" w:rsidP="00AD1FAF">
            <w:pPr>
              <w:pStyle w:val="NormalHeadings"/>
              <w:jc w:val="left"/>
              <w:rPr>
                <w:szCs w:val="24"/>
              </w:rPr>
            </w:pPr>
            <w:r>
              <w:rPr>
                <w:szCs w:val="24"/>
              </w:rPr>
              <w:t>APPLICATION UNDER SECTION 71B OF THE NATIONAL ELECTRICITY LAW FOR A REVIEW OF A DISTRIBUTION DETERMINATION MADE BY THE AUSTRALIAN ENERGY REGULATOR IN RELATION TO ENERGEX LIMITED PURSUANT TO CLAUSE 6.11.1 OF THE NATIONAL ELECTRITICY RULES</w:t>
            </w:r>
          </w:p>
          <w:p w:rsidR="002D6C6C" w:rsidRPr="0026717E" w:rsidRDefault="002D6C6C" w:rsidP="00AD1FAF">
            <w:pPr>
              <w:pStyle w:val="NormalHeadings"/>
              <w:jc w:val="left"/>
              <w:rPr>
                <w:szCs w:val="24"/>
              </w:rPr>
            </w:pPr>
          </w:p>
        </w:tc>
      </w:tr>
      <w:tr w:rsidR="002D6C6C">
        <w:trPr>
          <w:trHeight w:val="386"/>
        </w:trPr>
        <w:tc>
          <w:tcPr>
            <w:tcW w:w="2376" w:type="dxa"/>
          </w:tcPr>
          <w:p w:rsidR="002D6C6C" w:rsidRPr="00B76E4F" w:rsidRDefault="002D6C6C" w:rsidP="00AD1FAF">
            <w:pPr>
              <w:pStyle w:val="NormalHeadings"/>
              <w:jc w:val="left"/>
              <w:rPr>
                <w:caps/>
                <w:szCs w:val="24"/>
              </w:rPr>
            </w:pPr>
            <w:r>
              <w:rPr>
                <w:caps/>
                <w:szCs w:val="24"/>
              </w:rPr>
              <w:t>BY</w:t>
            </w:r>
            <w:r w:rsidRPr="00B76E4F">
              <w:rPr>
                <w:caps/>
                <w:szCs w:val="24"/>
              </w:rPr>
              <w:t>:</w:t>
            </w:r>
          </w:p>
        </w:tc>
        <w:tc>
          <w:tcPr>
            <w:tcW w:w="6866" w:type="dxa"/>
            <w:gridSpan w:val="2"/>
          </w:tcPr>
          <w:p w:rsidR="002D6C6C" w:rsidRDefault="002D6C6C" w:rsidP="00AD1FAF">
            <w:pPr>
              <w:pStyle w:val="NormalHeadings"/>
              <w:jc w:val="right"/>
              <w:rPr>
                <w:szCs w:val="24"/>
              </w:rPr>
            </w:pPr>
            <w:r>
              <w:rPr>
                <w:szCs w:val="24"/>
              </w:rPr>
              <w:t>ENERGEX LIMITED (ACN 078 849 055)</w:t>
            </w:r>
          </w:p>
          <w:p w:rsidR="002D6C6C" w:rsidRDefault="002D6C6C" w:rsidP="00E050F5">
            <w:pPr>
              <w:pStyle w:val="NormalHeadings"/>
              <w:jc w:val="right"/>
            </w:pPr>
            <w:r>
              <w:t>Applicant</w:t>
            </w:r>
          </w:p>
          <w:p w:rsidR="002D6C6C" w:rsidRPr="0026717E" w:rsidRDefault="002D6C6C" w:rsidP="00AD1FAF">
            <w:pPr>
              <w:pStyle w:val="NormalHeadings"/>
              <w:jc w:val="right"/>
              <w:rPr>
                <w:szCs w:val="24"/>
              </w:rPr>
            </w:pPr>
          </w:p>
        </w:tc>
      </w:tr>
      <w:tr w:rsidR="002D6C6C">
        <w:trPr>
          <w:trHeight w:val="386"/>
        </w:trPr>
        <w:tc>
          <w:tcPr>
            <w:tcW w:w="2376" w:type="dxa"/>
          </w:tcPr>
          <w:p w:rsidR="002D6C6C" w:rsidRDefault="002D6C6C" w:rsidP="00AD1FAF">
            <w:pPr>
              <w:pStyle w:val="NormalHeadings"/>
              <w:jc w:val="left"/>
              <w:rPr>
                <w:caps/>
                <w:szCs w:val="24"/>
              </w:rPr>
            </w:pPr>
          </w:p>
        </w:tc>
        <w:tc>
          <w:tcPr>
            <w:tcW w:w="6866" w:type="dxa"/>
            <w:gridSpan w:val="2"/>
          </w:tcPr>
          <w:p w:rsidR="002D6C6C" w:rsidRDefault="002D6C6C" w:rsidP="00AD1FAF">
            <w:pPr>
              <w:pStyle w:val="NormalHeadings"/>
              <w:jc w:val="right"/>
              <w:rPr>
                <w:szCs w:val="24"/>
              </w:rPr>
            </w:pPr>
          </w:p>
        </w:tc>
      </w:tr>
      <w:tr w:rsidR="002D6C6C">
        <w:tc>
          <w:tcPr>
            <w:tcW w:w="6771" w:type="dxa"/>
            <w:gridSpan w:val="2"/>
          </w:tcPr>
          <w:p w:rsidR="002D6C6C" w:rsidRDefault="002D6C6C" w:rsidP="00AD1FAF">
            <w:pPr>
              <w:pStyle w:val="NormalHeadings"/>
              <w:spacing w:after="120"/>
              <w:jc w:val="left"/>
              <w:rPr>
                <w:caps/>
                <w:szCs w:val="24"/>
              </w:rPr>
            </w:pPr>
          </w:p>
        </w:tc>
        <w:tc>
          <w:tcPr>
            <w:tcW w:w="2471" w:type="dxa"/>
          </w:tcPr>
          <w:p w:rsidR="002D6C6C" w:rsidRPr="00145F70" w:rsidRDefault="002D6C6C" w:rsidP="00AD1FAF">
            <w:pPr>
              <w:pStyle w:val="NormalHeadings"/>
              <w:tabs>
                <w:tab w:val="right" w:pos="3609"/>
              </w:tabs>
              <w:jc w:val="right"/>
              <w:rPr>
                <w:szCs w:val="24"/>
              </w:rPr>
            </w:pPr>
            <w:r>
              <w:rPr>
                <w:szCs w:val="24"/>
              </w:rPr>
              <w:t>File No 3 of 2010</w:t>
            </w:r>
          </w:p>
        </w:tc>
      </w:tr>
    </w:tbl>
    <w:p w:rsidR="002D6C6C" w:rsidRDefault="002D6C6C" w:rsidP="0060352B">
      <w:pPr>
        <w:pStyle w:val="AppealTable"/>
      </w:pPr>
      <w:r>
        <w:t xml:space="preserve"> </w:t>
      </w:r>
    </w:p>
    <w:tbl>
      <w:tblPr>
        <w:tblW w:w="0" w:type="auto"/>
        <w:tblLayout w:type="fixed"/>
        <w:tblLook w:val="0000"/>
      </w:tblPr>
      <w:tblGrid>
        <w:gridCol w:w="2376"/>
        <w:gridCol w:w="4395"/>
        <w:gridCol w:w="2471"/>
      </w:tblGrid>
      <w:tr w:rsidR="002D6C6C">
        <w:trPr>
          <w:trHeight w:val="386"/>
        </w:trPr>
        <w:tc>
          <w:tcPr>
            <w:tcW w:w="2376" w:type="dxa"/>
          </w:tcPr>
          <w:p w:rsidR="002D6C6C" w:rsidRPr="00B76E4F" w:rsidRDefault="002D6C6C" w:rsidP="00AD1FAF">
            <w:pPr>
              <w:pStyle w:val="NormalHeadings"/>
              <w:jc w:val="left"/>
              <w:rPr>
                <w:caps/>
                <w:szCs w:val="24"/>
              </w:rPr>
            </w:pPr>
            <w:r>
              <w:rPr>
                <w:caps/>
                <w:szCs w:val="24"/>
              </w:rPr>
              <w:t>RE</w:t>
            </w:r>
            <w:r w:rsidRPr="00B76E4F">
              <w:rPr>
                <w:caps/>
                <w:szCs w:val="24"/>
              </w:rPr>
              <w:t>:</w:t>
            </w:r>
          </w:p>
        </w:tc>
        <w:tc>
          <w:tcPr>
            <w:tcW w:w="6866" w:type="dxa"/>
            <w:gridSpan w:val="2"/>
          </w:tcPr>
          <w:p w:rsidR="002D6C6C" w:rsidRDefault="002D6C6C" w:rsidP="00AD1FAF">
            <w:pPr>
              <w:pStyle w:val="NormalHeadings"/>
              <w:jc w:val="left"/>
              <w:rPr>
                <w:szCs w:val="24"/>
              </w:rPr>
            </w:pPr>
            <w:r>
              <w:rPr>
                <w:szCs w:val="24"/>
              </w:rPr>
              <w:t>APPLICATION UNDER SECTION 71B OF THE NATIONAL ELECTRICITY LAW FOR A REVIEW OF A DISTRIBUTION DETERMINATION MADE BY THE AUSTRALIAN ENERGY REGULATOR IN RELATION TO ERGON ENERGY CORPORATION LIMITED PURSUANT TO CLAUSE 6.11.1 OF THE NATIONAL ELECTRICITY RULES</w:t>
            </w:r>
          </w:p>
          <w:p w:rsidR="002D6C6C" w:rsidRPr="0026717E" w:rsidRDefault="002D6C6C" w:rsidP="00AD1FAF">
            <w:pPr>
              <w:pStyle w:val="NormalHeadings"/>
              <w:jc w:val="left"/>
              <w:rPr>
                <w:szCs w:val="24"/>
              </w:rPr>
            </w:pPr>
          </w:p>
        </w:tc>
      </w:tr>
      <w:tr w:rsidR="002D6C6C">
        <w:trPr>
          <w:trHeight w:val="386"/>
        </w:trPr>
        <w:tc>
          <w:tcPr>
            <w:tcW w:w="2376" w:type="dxa"/>
          </w:tcPr>
          <w:p w:rsidR="002D6C6C" w:rsidRPr="00B76E4F" w:rsidRDefault="002D6C6C" w:rsidP="00AD1FAF">
            <w:pPr>
              <w:pStyle w:val="NormalHeadings"/>
              <w:jc w:val="left"/>
              <w:rPr>
                <w:caps/>
                <w:szCs w:val="24"/>
              </w:rPr>
            </w:pPr>
            <w:r>
              <w:rPr>
                <w:caps/>
                <w:szCs w:val="24"/>
              </w:rPr>
              <w:t>BY</w:t>
            </w:r>
            <w:r w:rsidRPr="00B76E4F">
              <w:rPr>
                <w:caps/>
                <w:szCs w:val="24"/>
              </w:rPr>
              <w:t>:</w:t>
            </w:r>
          </w:p>
        </w:tc>
        <w:tc>
          <w:tcPr>
            <w:tcW w:w="6866" w:type="dxa"/>
            <w:gridSpan w:val="2"/>
          </w:tcPr>
          <w:p w:rsidR="002D6C6C" w:rsidRDefault="002D6C6C" w:rsidP="00AD1FAF">
            <w:pPr>
              <w:pStyle w:val="NormalHeadings"/>
              <w:jc w:val="right"/>
              <w:rPr>
                <w:szCs w:val="24"/>
              </w:rPr>
            </w:pPr>
            <w:r>
              <w:rPr>
                <w:szCs w:val="24"/>
              </w:rPr>
              <w:t>ERGON ENERGY CORPORATION LIMITED</w:t>
            </w:r>
          </w:p>
          <w:p w:rsidR="002D6C6C" w:rsidRDefault="002D6C6C" w:rsidP="00AD1FAF">
            <w:pPr>
              <w:pStyle w:val="NormalHeadings"/>
              <w:jc w:val="right"/>
              <w:rPr>
                <w:szCs w:val="24"/>
              </w:rPr>
            </w:pPr>
            <w:r>
              <w:rPr>
                <w:szCs w:val="24"/>
              </w:rPr>
              <w:t>(ACN 078 646 062)</w:t>
            </w:r>
          </w:p>
          <w:p w:rsidR="002D6C6C" w:rsidRDefault="002D6C6C" w:rsidP="00E050F5">
            <w:pPr>
              <w:pStyle w:val="NormalHeadings"/>
              <w:jc w:val="right"/>
            </w:pPr>
            <w:r>
              <w:t>Applicant</w:t>
            </w:r>
          </w:p>
          <w:p w:rsidR="002D6C6C" w:rsidRPr="0026717E" w:rsidRDefault="002D6C6C" w:rsidP="00AD1FAF">
            <w:pPr>
              <w:pStyle w:val="NormalHeadings"/>
              <w:jc w:val="right"/>
              <w:rPr>
                <w:szCs w:val="24"/>
              </w:rPr>
            </w:pPr>
          </w:p>
        </w:tc>
      </w:tr>
      <w:tr w:rsidR="002D6C6C">
        <w:trPr>
          <w:trHeight w:val="386"/>
        </w:trPr>
        <w:tc>
          <w:tcPr>
            <w:tcW w:w="2376" w:type="dxa"/>
          </w:tcPr>
          <w:p w:rsidR="002D6C6C" w:rsidRDefault="002D6C6C" w:rsidP="00AD1FAF">
            <w:pPr>
              <w:pStyle w:val="NormalHeadings"/>
              <w:jc w:val="left"/>
              <w:rPr>
                <w:caps/>
                <w:szCs w:val="24"/>
              </w:rPr>
            </w:pPr>
          </w:p>
        </w:tc>
        <w:tc>
          <w:tcPr>
            <w:tcW w:w="6866" w:type="dxa"/>
            <w:gridSpan w:val="2"/>
          </w:tcPr>
          <w:p w:rsidR="002D6C6C" w:rsidRDefault="002D6C6C" w:rsidP="00AD1FAF">
            <w:pPr>
              <w:pStyle w:val="NormalHeadings"/>
              <w:jc w:val="right"/>
              <w:rPr>
                <w:szCs w:val="24"/>
              </w:rPr>
            </w:pPr>
          </w:p>
        </w:tc>
      </w:tr>
      <w:tr w:rsidR="002D6C6C">
        <w:tc>
          <w:tcPr>
            <w:tcW w:w="6771" w:type="dxa"/>
            <w:gridSpan w:val="2"/>
          </w:tcPr>
          <w:p w:rsidR="002D6C6C" w:rsidRDefault="002D6C6C" w:rsidP="00AD1FAF">
            <w:pPr>
              <w:pStyle w:val="NormalHeadings"/>
              <w:spacing w:after="120"/>
              <w:jc w:val="left"/>
              <w:rPr>
                <w:caps/>
                <w:szCs w:val="24"/>
              </w:rPr>
            </w:pPr>
          </w:p>
        </w:tc>
        <w:tc>
          <w:tcPr>
            <w:tcW w:w="2471" w:type="dxa"/>
          </w:tcPr>
          <w:p w:rsidR="002D6C6C" w:rsidRPr="00145F70" w:rsidRDefault="002D6C6C" w:rsidP="00AD1FAF">
            <w:pPr>
              <w:pStyle w:val="NormalHeadings"/>
              <w:tabs>
                <w:tab w:val="right" w:pos="3609"/>
              </w:tabs>
              <w:jc w:val="right"/>
              <w:rPr>
                <w:szCs w:val="24"/>
              </w:rPr>
            </w:pPr>
            <w:r>
              <w:rPr>
                <w:szCs w:val="24"/>
              </w:rPr>
              <w:t>File No 4 of 2010</w:t>
            </w:r>
          </w:p>
        </w:tc>
      </w:tr>
    </w:tbl>
    <w:p w:rsidR="002D6C6C" w:rsidRDefault="002D6C6C" w:rsidP="0060352B">
      <w:pPr>
        <w:pStyle w:val="AppealTable"/>
      </w:pPr>
      <w:r>
        <w:t xml:space="preserve"> </w:t>
      </w:r>
    </w:p>
    <w:tbl>
      <w:tblPr>
        <w:tblW w:w="0" w:type="auto"/>
        <w:tblLayout w:type="fixed"/>
        <w:tblLook w:val="0000"/>
      </w:tblPr>
      <w:tblGrid>
        <w:gridCol w:w="2376"/>
        <w:gridCol w:w="6866"/>
      </w:tblGrid>
      <w:tr w:rsidR="002D6C6C">
        <w:trPr>
          <w:trHeight w:val="386"/>
        </w:trPr>
        <w:tc>
          <w:tcPr>
            <w:tcW w:w="2376" w:type="dxa"/>
          </w:tcPr>
          <w:p w:rsidR="002D6C6C" w:rsidRPr="00B76E4F" w:rsidRDefault="002D6C6C" w:rsidP="00AD1FAF">
            <w:pPr>
              <w:pStyle w:val="NormalHeadings"/>
              <w:jc w:val="left"/>
              <w:rPr>
                <w:caps/>
                <w:szCs w:val="24"/>
              </w:rPr>
            </w:pPr>
            <w:r>
              <w:rPr>
                <w:caps/>
                <w:szCs w:val="24"/>
              </w:rPr>
              <w:t>RE</w:t>
            </w:r>
            <w:r w:rsidRPr="00B76E4F">
              <w:rPr>
                <w:caps/>
                <w:szCs w:val="24"/>
              </w:rPr>
              <w:t>:</w:t>
            </w:r>
          </w:p>
        </w:tc>
        <w:tc>
          <w:tcPr>
            <w:tcW w:w="6866" w:type="dxa"/>
          </w:tcPr>
          <w:p w:rsidR="002D6C6C" w:rsidRDefault="002D6C6C" w:rsidP="00AD1FAF">
            <w:pPr>
              <w:pStyle w:val="NormalHeadings"/>
              <w:jc w:val="left"/>
              <w:rPr>
                <w:szCs w:val="24"/>
              </w:rPr>
            </w:pPr>
            <w:r>
              <w:rPr>
                <w:szCs w:val="24"/>
              </w:rPr>
              <w:t>APPLICATION UNDER SECTION 71B OF THE NATIONAL ELECTRICITY LAW FOR A REVIEW OF A DISTRIBUTION DETERMINATION MADE BY THE AUSTRALIAN ENERGY REGULATOR IN RELATION TO ETSA UTILITIES PURSUANT TO CLAUSE 6.11.1 OF THE NATIONAL ELECTRITICY RULES</w:t>
            </w:r>
          </w:p>
          <w:p w:rsidR="002D6C6C" w:rsidRPr="0026717E" w:rsidRDefault="002D6C6C" w:rsidP="00AD1FAF">
            <w:pPr>
              <w:pStyle w:val="NormalHeadings"/>
              <w:jc w:val="left"/>
              <w:rPr>
                <w:szCs w:val="24"/>
              </w:rPr>
            </w:pPr>
          </w:p>
        </w:tc>
      </w:tr>
      <w:tr w:rsidR="002D6C6C">
        <w:trPr>
          <w:trHeight w:val="386"/>
        </w:trPr>
        <w:tc>
          <w:tcPr>
            <w:tcW w:w="2376" w:type="dxa"/>
          </w:tcPr>
          <w:p w:rsidR="002D6C6C" w:rsidRPr="00B76E4F" w:rsidRDefault="002D6C6C" w:rsidP="00AD1FAF">
            <w:pPr>
              <w:pStyle w:val="NormalHeadings"/>
              <w:jc w:val="left"/>
              <w:rPr>
                <w:caps/>
                <w:szCs w:val="24"/>
              </w:rPr>
            </w:pPr>
            <w:r>
              <w:rPr>
                <w:caps/>
                <w:szCs w:val="24"/>
              </w:rPr>
              <w:t>BY</w:t>
            </w:r>
            <w:r w:rsidRPr="00B76E4F">
              <w:rPr>
                <w:caps/>
                <w:szCs w:val="24"/>
              </w:rPr>
              <w:t>:</w:t>
            </w:r>
          </w:p>
        </w:tc>
        <w:tc>
          <w:tcPr>
            <w:tcW w:w="6866" w:type="dxa"/>
          </w:tcPr>
          <w:p w:rsidR="002D6C6C" w:rsidRDefault="002D6C6C" w:rsidP="00AD1FAF">
            <w:pPr>
              <w:pStyle w:val="NormalHeadings"/>
              <w:jc w:val="right"/>
              <w:rPr>
                <w:szCs w:val="24"/>
              </w:rPr>
            </w:pPr>
            <w:r>
              <w:rPr>
                <w:szCs w:val="24"/>
              </w:rPr>
              <w:t>ETSA UTILITIES (ABN 13 332 330 749)</w:t>
            </w:r>
          </w:p>
          <w:p w:rsidR="002D6C6C" w:rsidRDefault="002D6C6C" w:rsidP="00E050F5">
            <w:pPr>
              <w:pStyle w:val="NormalHeadings"/>
              <w:jc w:val="right"/>
            </w:pPr>
            <w:r>
              <w:t>Applicant</w:t>
            </w:r>
          </w:p>
          <w:p w:rsidR="002D6C6C" w:rsidRPr="0026717E" w:rsidRDefault="002D6C6C" w:rsidP="00AD1FAF">
            <w:pPr>
              <w:pStyle w:val="NormalHeadings"/>
              <w:jc w:val="right"/>
              <w:rPr>
                <w:szCs w:val="24"/>
              </w:rPr>
            </w:pPr>
          </w:p>
        </w:tc>
      </w:tr>
    </w:tbl>
    <w:p w:rsidR="002D6C6C" w:rsidRDefault="002D6C6C">
      <w:pPr>
        <w:pStyle w:val="NormalHeadings"/>
      </w:pPr>
    </w:p>
    <w:tbl>
      <w:tblPr>
        <w:tblW w:w="0" w:type="auto"/>
        <w:tblLayout w:type="fixed"/>
        <w:tblLook w:val="0000"/>
      </w:tblPr>
      <w:tblGrid>
        <w:gridCol w:w="2518"/>
        <w:gridCol w:w="6724"/>
      </w:tblGrid>
      <w:tr w:rsidR="002D6C6C">
        <w:tc>
          <w:tcPr>
            <w:tcW w:w="2518" w:type="dxa"/>
          </w:tcPr>
          <w:p w:rsidR="002D6C6C" w:rsidRPr="00B76E4F" w:rsidRDefault="002D6C6C" w:rsidP="00AD1FAF">
            <w:pPr>
              <w:pStyle w:val="NormalHeadings"/>
              <w:spacing w:after="120"/>
              <w:jc w:val="left"/>
              <w:rPr>
                <w:caps/>
                <w:szCs w:val="24"/>
              </w:rPr>
            </w:pPr>
            <w:r>
              <w:rPr>
                <w:caps/>
                <w:szCs w:val="24"/>
              </w:rPr>
              <w:t>MEMBERS</w:t>
            </w:r>
            <w:r w:rsidRPr="00B76E4F">
              <w:rPr>
                <w:caps/>
                <w:szCs w:val="24"/>
              </w:rPr>
              <w:t>:</w:t>
            </w:r>
          </w:p>
        </w:tc>
        <w:tc>
          <w:tcPr>
            <w:tcW w:w="6724" w:type="dxa"/>
          </w:tcPr>
          <w:p w:rsidR="002D6C6C" w:rsidRDefault="002D6C6C" w:rsidP="00AD1FAF">
            <w:pPr>
              <w:pStyle w:val="NormalHeadings"/>
              <w:jc w:val="left"/>
              <w:rPr>
                <w:caps/>
                <w:szCs w:val="24"/>
              </w:rPr>
            </w:pPr>
            <w:r>
              <w:rPr>
                <w:caps/>
                <w:szCs w:val="24"/>
              </w:rPr>
              <w:t>MIDDLETON J (DEPUTY PRESIDENT),</w:t>
            </w:r>
          </w:p>
          <w:p w:rsidR="002D6C6C" w:rsidRDefault="002D6C6C" w:rsidP="00AD1FAF">
            <w:pPr>
              <w:pStyle w:val="NormalHeadings"/>
              <w:jc w:val="left"/>
              <w:rPr>
                <w:caps/>
                <w:szCs w:val="24"/>
              </w:rPr>
            </w:pPr>
            <w:r>
              <w:rPr>
                <w:caps/>
                <w:szCs w:val="24"/>
              </w:rPr>
              <w:t>MR R DAVEY AND MR R SHOGREN</w:t>
            </w:r>
          </w:p>
          <w:p w:rsidR="002D6C6C" w:rsidRPr="00B76E4F" w:rsidRDefault="002D6C6C" w:rsidP="00AD1FAF">
            <w:pPr>
              <w:pStyle w:val="NormalHeadings"/>
              <w:jc w:val="left"/>
              <w:rPr>
                <w:caps/>
                <w:szCs w:val="24"/>
              </w:rPr>
            </w:pPr>
          </w:p>
        </w:tc>
      </w:tr>
      <w:tr w:rsidR="002D6C6C">
        <w:tc>
          <w:tcPr>
            <w:tcW w:w="2518" w:type="dxa"/>
          </w:tcPr>
          <w:p w:rsidR="002D6C6C" w:rsidRPr="00B76E4F" w:rsidRDefault="002D6C6C" w:rsidP="00AD1FAF">
            <w:pPr>
              <w:pStyle w:val="NormalHeadings"/>
              <w:spacing w:after="120"/>
              <w:jc w:val="left"/>
              <w:rPr>
                <w:caps/>
                <w:szCs w:val="24"/>
              </w:rPr>
            </w:pPr>
            <w:r w:rsidRPr="00B76E4F">
              <w:rPr>
                <w:caps/>
                <w:szCs w:val="24"/>
              </w:rPr>
              <w:t>DATE:</w:t>
            </w:r>
          </w:p>
        </w:tc>
        <w:tc>
          <w:tcPr>
            <w:tcW w:w="6724" w:type="dxa"/>
          </w:tcPr>
          <w:p w:rsidR="002D6C6C" w:rsidRPr="00B76E4F" w:rsidRDefault="002D6C6C" w:rsidP="00AD1FAF">
            <w:pPr>
              <w:pStyle w:val="NormalHeadings"/>
              <w:jc w:val="left"/>
              <w:rPr>
                <w:caps/>
                <w:szCs w:val="24"/>
              </w:rPr>
            </w:pPr>
            <w:r>
              <w:rPr>
                <w:caps/>
                <w:szCs w:val="24"/>
              </w:rPr>
              <w:t>12 MAY 2011</w:t>
            </w:r>
          </w:p>
        </w:tc>
      </w:tr>
      <w:tr w:rsidR="002D6C6C">
        <w:tc>
          <w:tcPr>
            <w:tcW w:w="2518" w:type="dxa"/>
          </w:tcPr>
          <w:p w:rsidR="002D6C6C" w:rsidRPr="00B76E4F" w:rsidRDefault="002D6C6C" w:rsidP="00AD1FAF">
            <w:pPr>
              <w:pStyle w:val="NormalHeadings"/>
              <w:spacing w:after="120"/>
              <w:jc w:val="left"/>
              <w:rPr>
                <w:caps/>
                <w:szCs w:val="24"/>
              </w:rPr>
            </w:pPr>
            <w:r w:rsidRPr="00B76E4F">
              <w:rPr>
                <w:caps/>
                <w:szCs w:val="24"/>
              </w:rPr>
              <w:t>WHERE MADE:</w:t>
            </w:r>
          </w:p>
        </w:tc>
        <w:tc>
          <w:tcPr>
            <w:tcW w:w="6724" w:type="dxa"/>
          </w:tcPr>
          <w:p w:rsidR="002D6C6C" w:rsidRPr="00012E32" w:rsidRDefault="002D6C6C" w:rsidP="00AD1FAF">
            <w:pPr>
              <w:pStyle w:val="NormalHeadings"/>
              <w:jc w:val="left"/>
              <w:rPr>
                <w:caps/>
                <w:szCs w:val="24"/>
              </w:rPr>
            </w:pPr>
            <w:r>
              <w:rPr>
                <w:caps/>
                <w:szCs w:val="24"/>
              </w:rPr>
              <w:t>MELBOURNE</w:t>
            </w:r>
          </w:p>
        </w:tc>
      </w:tr>
    </w:tbl>
    <w:p w:rsidR="002D6C6C" w:rsidRDefault="002D6C6C"/>
    <w:p w:rsidR="002D6C6C" w:rsidRDefault="002D6C6C" w:rsidP="00EB2CFB">
      <w:pPr>
        <w:pStyle w:val="StyleBold"/>
        <w:jc w:val="center"/>
        <w:rPr>
          <w:b/>
        </w:rPr>
      </w:pPr>
      <w:r w:rsidRPr="00687B23">
        <w:rPr>
          <w:b/>
        </w:rPr>
        <w:t xml:space="preserve">REASONS FOR </w:t>
      </w:r>
      <w:r>
        <w:rPr>
          <w:b/>
        </w:rPr>
        <w:t>DECISION: GAMMA</w:t>
      </w:r>
    </w:p>
    <w:p w:rsidR="002D6C6C" w:rsidRDefault="002D6C6C" w:rsidP="008167D3">
      <w:pPr>
        <w:pStyle w:val="Heading1"/>
      </w:pPr>
      <w:r>
        <w:t>INTRODUCTION</w:t>
      </w:r>
    </w:p>
    <w:p w:rsidR="002D6C6C" w:rsidRDefault="002D6C6C" w:rsidP="00B865EA">
      <w:pPr>
        <w:pStyle w:val="ParaNumbering"/>
      </w:pPr>
      <w:r>
        <w:t>In May 2010, the AER made a distribution determination regulating the charges each applicant may impose for the provision of its regulated services for a period of five years from 1 July 2010.</w:t>
      </w:r>
    </w:p>
    <w:p w:rsidR="002D6C6C" w:rsidRDefault="002D6C6C" w:rsidP="00B865EA">
      <w:pPr>
        <w:pStyle w:val="ParaNumbering"/>
      </w:pPr>
      <w:r>
        <w:t>The NEL establishes a regime for what it describes as “merits review” of certain decisions of the AER.  In July 2010, the Tribunal (Finkelstein J, President, R Davey and R Shogren) granted each applicant leave under s 71B of the NEL to review the AER’s decisions on particular issues addressed in the determinations.</w:t>
      </w:r>
    </w:p>
    <w:p w:rsidR="002D6C6C" w:rsidRDefault="002D6C6C" w:rsidP="00B865EA">
      <w:pPr>
        <w:pStyle w:val="ParaNumbering"/>
      </w:pPr>
      <w:r>
        <w:t xml:space="preserve">One issue in respect of which leave was granted was common to each determination and applicant.  The other issues in respect of which leave was granted were peculiar to a particular applicant.  </w:t>
      </w:r>
    </w:p>
    <w:p w:rsidR="002D6C6C" w:rsidRDefault="002D6C6C" w:rsidP="008167D3">
      <w:pPr>
        <w:pStyle w:val="ParaNumbering"/>
      </w:pPr>
      <w:r>
        <w:t>The expressions used in these reasons are those employed by the Tribunal in its earlier reasons relating to these applications, which describe the nature of the applicants’ respective businesses and the role of the AER in the economic regulation of those businesses.</w:t>
      </w:r>
    </w:p>
    <w:p w:rsidR="002D6C6C" w:rsidRDefault="002D6C6C" w:rsidP="00716748">
      <w:pPr>
        <w:pStyle w:val="Heading1"/>
      </w:pPr>
      <w:r>
        <w:t>THE COMMON ISSUE - GAMMA</w:t>
      </w:r>
    </w:p>
    <w:p w:rsidR="002D6C6C" w:rsidRDefault="002D6C6C" w:rsidP="00B865EA">
      <w:pPr>
        <w:pStyle w:val="ParaNumbering"/>
      </w:pPr>
      <w:r>
        <w:t xml:space="preserve">The common issue in each determination in respect of which leave was granted was the AER’s decision on the value of ‘γ’ (or ‘gamma’, the assumed utilisation of imputation credits) a component of the formula which r 6.5.3 of the Rules mandates must be applied in calculating the cost of each applicant’s corporate income tax for each of the five years from 1 July 2010.  </w:t>
      </w:r>
    </w:p>
    <w:p w:rsidR="002D6C6C" w:rsidRDefault="002D6C6C" w:rsidP="00B865EA">
      <w:pPr>
        <w:pStyle w:val="ParaNumbering"/>
      </w:pPr>
      <w:r>
        <w:t>The approach adopted by the AER, and accepted by the applicants, was to define the value of gamma imputation credits as a product of the imputation credit ‘distribution ratio’ (</w:t>
      </w:r>
      <w:r w:rsidRPr="00716748">
        <w:rPr>
          <w:i/>
        </w:rPr>
        <w:t>F</w:t>
      </w:r>
      <w:r>
        <w:t xml:space="preserve">) and the ‘utilisation rate’ (theta or </w:t>
      </w:r>
      <w:r w:rsidRPr="00716748">
        <w:rPr>
          <w:i/>
        </w:rPr>
        <w:t>θ</w:t>
      </w:r>
      <w:r>
        <w:t>) (</w:t>
      </w:r>
      <w:r w:rsidRPr="00716748">
        <w:rPr>
          <w:i/>
        </w:rPr>
        <w:t>γ</w:t>
      </w:r>
      <w:r>
        <w:rPr>
          <w:i/>
        </w:rPr>
        <w:t xml:space="preserve"> </w:t>
      </w:r>
      <w:r w:rsidRPr="00716748">
        <w:rPr>
          <w:i/>
        </w:rPr>
        <w:t>= F x θ</w:t>
      </w:r>
      <w:r>
        <w:t>) where:</w:t>
      </w:r>
    </w:p>
    <w:p w:rsidR="002D6C6C" w:rsidRDefault="002D6C6C" w:rsidP="00716748">
      <w:pPr>
        <w:pStyle w:val="ListNo"/>
        <w:numPr>
          <w:ilvl w:val="0"/>
          <w:numId w:val="45"/>
        </w:numPr>
        <w:tabs>
          <w:tab w:val="clear" w:pos="360"/>
        </w:tabs>
        <w:ind w:left="709" w:hanging="709"/>
      </w:pPr>
      <w:r w:rsidRPr="00716748">
        <w:rPr>
          <w:i/>
        </w:rPr>
        <w:t>F</w:t>
      </w:r>
      <w:r>
        <w:t xml:space="preserve"> is defined as the value of imputation credits distributed by a firm as a proportion of the value of imputation credits generated by it in the period (the distribution ratio); and</w:t>
      </w:r>
    </w:p>
    <w:p w:rsidR="002D6C6C" w:rsidRDefault="002D6C6C" w:rsidP="00716748">
      <w:pPr>
        <w:pStyle w:val="ListNo"/>
        <w:numPr>
          <w:ilvl w:val="0"/>
          <w:numId w:val="45"/>
        </w:numPr>
        <w:tabs>
          <w:tab w:val="clear" w:pos="360"/>
        </w:tabs>
        <w:ind w:left="709" w:hanging="709"/>
      </w:pPr>
      <w:r>
        <w:t xml:space="preserve">theta or </w:t>
      </w:r>
      <w:r w:rsidRPr="00716748">
        <w:rPr>
          <w:i/>
        </w:rPr>
        <w:t>θ</w:t>
      </w:r>
      <w:r>
        <w:t xml:space="preserve"> is defined as the value of imputation credits distributed to investors as a proportion of their face value (the ‘utilisation rate’).</w:t>
      </w:r>
    </w:p>
    <w:p w:rsidR="002D6C6C" w:rsidRDefault="002D6C6C" w:rsidP="00B865EA">
      <w:pPr>
        <w:pStyle w:val="ParaNumbering"/>
      </w:pPr>
      <w:r>
        <w:t>In October 2010, the Tribunal gave its reasons (</w:t>
      </w:r>
      <w:r w:rsidRPr="00716748">
        <w:rPr>
          <w:i/>
        </w:rPr>
        <w:t>Application by Energex Limited (No</w:t>
      </w:r>
      <w:r>
        <w:rPr>
          <w:i/>
        </w:rPr>
        <w:t> </w:t>
      </w:r>
      <w:r w:rsidRPr="00716748">
        <w:rPr>
          <w:i/>
        </w:rPr>
        <w:t>2)</w:t>
      </w:r>
      <w:r>
        <w:t xml:space="preserve"> [2010] ACompT 7) for finding error by the AER in its treatment of ‘distribution ratio’ (</w:t>
      </w:r>
      <w:r w:rsidRPr="00716748">
        <w:rPr>
          <w:i/>
        </w:rPr>
        <w:t>F</w:t>
      </w:r>
      <w:r>
        <w:t xml:space="preserve">) and the ‘utilisation rate’ (theta or </w:t>
      </w:r>
      <w:r w:rsidRPr="00716748">
        <w:rPr>
          <w:i/>
        </w:rPr>
        <w:t>θ</w:t>
      </w:r>
      <w:r>
        <w:t>).  Those reasons foreshadowed directions:</w:t>
      </w:r>
    </w:p>
    <w:p w:rsidR="002D6C6C" w:rsidRDefault="002D6C6C" w:rsidP="00716748">
      <w:pPr>
        <w:pStyle w:val="ListNo"/>
        <w:numPr>
          <w:ilvl w:val="3"/>
          <w:numId w:val="48"/>
        </w:numPr>
        <w:tabs>
          <w:tab w:val="clear" w:pos="2880"/>
        </w:tabs>
        <w:ind w:left="709" w:hanging="709"/>
      </w:pPr>
      <w:r>
        <w:t>allowing a submission to be filed by the AER whether the distribution ratio (</w:t>
      </w:r>
      <w:r w:rsidRPr="00716748">
        <w:rPr>
          <w:i/>
        </w:rPr>
        <w:t>F</w:t>
      </w:r>
      <w:r>
        <w:t>) should be 70% (see para [57]);</w:t>
      </w:r>
    </w:p>
    <w:p w:rsidR="002D6C6C" w:rsidRDefault="002D6C6C" w:rsidP="00716748">
      <w:pPr>
        <w:pStyle w:val="ListNo"/>
        <w:numPr>
          <w:ilvl w:val="3"/>
          <w:numId w:val="48"/>
        </w:numPr>
        <w:tabs>
          <w:tab w:val="clear" w:pos="2880"/>
        </w:tabs>
        <w:ind w:left="709" w:hanging="709"/>
      </w:pPr>
      <w:r>
        <w:t xml:space="preserve">in respect of the utilisation rate (theta or </w:t>
      </w:r>
      <w:r w:rsidRPr="00716748">
        <w:rPr>
          <w:i/>
        </w:rPr>
        <w:t>θ</w:t>
      </w:r>
      <w:r>
        <w:t>), calling for a report that:</w:t>
      </w:r>
    </w:p>
    <w:p w:rsidR="002D6C6C" w:rsidRDefault="002D6C6C" w:rsidP="00716748">
      <w:pPr>
        <w:pStyle w:val="FCBullets"/>
        <w:tabs>
          <w:tab w:val="clear" w:pos="720"/>
          <w:tab w:val="num" w:pos="1418"/>
        </w:tabs>
        <w:ind w:left="1418" w:hanging="709"/>
      </w:pPr>
      <w:r>
        <w:t>correctly used tax statistics studies and dividend drop-off studies to arrive at the utilisation rate;</w:t>
      </w:r>
    </w:p>
    <w:p w:rsidR="002D6C6C" w:rsidRDefault="002D6C6C" w:rsidP="00716748">
      <w:pPr>
        <w:pStyle w:val="FCBullets"/>
        <w:tabs>
          <w:tab w:val="clear" w:pos="720"/>
          <w:tab w:val="num" w:pos="1418"/>
        </w:tabs>
        <w:ind w:left="1418" w:hanging="709"/>
      </w:pPr>
      <w:r>
        <w:t>reviewed dividend drop-off studies from as many sources as possible to see whether confident use may be made of any of them; and</w:t>
      </w:r>
    </w:p>
    <w:p w:rsidR="002D6C6C" w:rsidRDefault="002D6C6C" w:rsidP="00716748">
      <w:pPr>
        <w:pStyle w:val="FCBullets"/>
        <w:tabs>
          <w:tab w:val="clear" w:pos="720"/>
          <w:tab w:val="num" w:pos="1418"/>
        </w:tabs>
        <w:ind w:left="1418" w:hanging="709"/>
      </w:pPr>
      <w:r>
        <w:t>provided results from a newly-commissioned dividend drop-off study that is “state of the art”.</w:t>
      </w:r>
    </w:p>
    <w:p w:rsidR="002D6C6C" w:rsidRDefault="002D6C6C" w:rsidP="00716748">
      <w:pPr>
        <w:ind w:firstLine="709"/>
      </w:pPr>
      <w:r>
        <w:t>(see para [146]); and</w:t>
      </w:r>
    </w:p>
    <w:p w:rsidR="002D6C6C" w:rsidRDefault="002D6C6C" w:rsidP="00716748">
      <w:pPr>
        <w:pStyle w:val="ListNo"/>
        <w:numPr>
          <w:ilvl w:val="3"/>
          <w:numId w:val="49"/>
        </w:numPr>
        <w:tabs>
          <w:tab w:val="clear" w:pos="2520"/>
        </w:tabs>
        <w:ind w:left="709" w:hanging="709"/>
      </w:pPr>
      <w:r>
        <w:t>concerning the provision to the Tribunal of extrinsic material relating to:</w:t>
      </w:r>
    </w:p>
    <w:p w:rsidR="002D6C6C" w:rsidRDefault="002D6C6C" w:rsidP="00716748">
      <w:pPr>
        <w:pStyle w:val="FCBullets"/>
        <w:tabs>
          <w:tab w:val="clear" w:pos="720"/>
          <w:tab w:val="num" w:pos="1418"/>
        </w:tabs>
        <w:ind w:left="1418" w:hanging="709"/>
      </w:pPr>
      <w:r>
        <w:t>the rationale for including the gamma component in the formula for calculating the estimated cost of corporate income tax; and</w:t>
      </w:r>
    </w:p>
    <w:p w:rsidR="002D6C6C" w:rsidRDefault="002D6C6C" w:rsidP="00716748">
      <w:pPr>
        <w:pStyle w:val="FCBullets"/>
        <w:tabs>
          <w:tab w:val="clear" w:pos="720"/>
          <w:tab w:val="num" w:pos="1418"/>
        </w:tabs>
        <w:ind w:left="1418" w:hanging="709"/>
      </w:pPr>
      <w:r>
        <w:t>how it relates to the rest of the building blocks, especially the rate of return (cl 6.4.3(a) and cl 6.5.2(b) of the Rules) (see para [150]).</w:t>
      </w:r>
    </w:p>
    <w:p w:rsidR="002D6C6C" w:rsidRDefault="002D6C6C" w:rsidP="00B865EA">
      <w:pPr>
        <w:pStyle w:val="ParaNumbering"/>
      </w:pPr>
      <w:r>
        <w:t>Relevant directions were made on 5 November 2010 and, pursuant to those directions, the Tribunal has since had the benefit of:</w:t>
      </w:r>
    </w:p>
    <w:p w:rsidR="002D6C6C" w:rsidRDefault="002D6C6C" w:rsidP="00716748">
      <w:pPr>
        <w:pStyle w:val="ListNo"/>
        <w:numPr>
          <w:ilvl w:val="3"/>
          <w:numId w:val="51"/>
        </w:numPr>
        <w:tabs>
          <w:tab w:val="clear" w:pos="2880"/>
        </w:tabs>
        <w:ind w:left="709" w:hanging="709"/>
      </w:pPr>
      <w:r>
        <w:t>relevant extrinsic material;</w:t>
      </w:r>
    </w:p>
    <w:p w:rsidR="002D6C6C" w:rsidRDefault="002D6C6C" w:rsidP="00716748">
      <w:pPr>
        <w:pStyle w:val="ListNo"/>
        <w:numPr>
          <w:ilvl w:val="3"/>
          <w:numId w:val="51"/>
        </w:numPr>
        <w:tabs>
          <w:tab w:val="clear" w:pos="2880"/>
        </w:tabs>
        <w:ind w:left="709" w:hanging="709"/>
      </w:pPr>
      <w:r>
        <w:t>submissions from the AER accepting that on the material before the Tribunal:</w:t>
      </w:r>
    </w:p>
    <w:p w:rsidR="002D6C6C" w:rsidRDefault="002D6C6C" w:rsidP="008167D3">
      <w:pPr>
        <w:pStyle w:val="ListNo"/>
        <w:numPr>
          <w:ilvl w:val="0"/>
          <w:numId w:val="56"/>
        </w:numPr>
        <w:tabs>
          <w:tab w:val="clear" w:pos="-772"/>
          <w:tab w:val="num" w:pos="1134"/>
        </w:tabs>
        <w:ind w:left="1134" w:hanging="425"/>
      </w:pPr>
      <w:r>
        <w:t>there was no empirical data that was capable of supporting an estimated distribution ratio higher than 0.7; and</w:t>
      </w:r>
    </w:p>
    <w:p w:rsidR="002D6C6C" w:rsidRDefault="002D6C6C" w:rsidP="008167D3">
      <w:pPr>
        <w:pStyle w:val="ListNo"/>
        <w:numPr>
          <w:ilvl w:val="0"/>
          <w:numId w:val="56"/>
        </w:numPr>
        <w:tabs>
          <w:tab w:val="clear" w:pos="-772"/>
          <w:tab w:val="num" w:pos="1134"/>
        </w:tabs>
        <w:ind w:left="1134" w:hanging="425"/>
      </w:pPr>
      <w:r>
        <w:t>it was open for the Tribunal to adopt a substitute distribution ratio of 0.7.</w:t>
      </w:r>
    </w:p>
    <w:p w:rsidR="002D6C6C" w:rsidRDefault="002D6C6C" w:rsidP="008167D3">
      <w:pPr>
        <w:ind w:left="426"/>
      </w:pPr>
      <w:r>
        <w:t>While the applicants challenged the AER’s prognosis of what the ratio might be in the future, each applicant otherwise agreed with the AER’ submissions.</w:t>
      </w:r>
    </w:p>
    <w:p w:rsidR="002D6C6C" w:rsidRDefault="002D6C6C" w:rsidP="005856E5">
      <w:pPr>
        <w:pStyle w:val="ListNo"/>
        <w:numPr>
          <w:ilvl w:val="3"/>
          <w:numId w:val="52"/>
        </w:numPr>
        <w:tabs>
          <w:tab w:val="clear" w:pos="2520"/>
        </w:tabs>
        <w:ind w:left="709" w:hanging="709"/>
      </w:pPr>
      <w:r>
        <w:t xml:space="preserve">a report by Strategic Finance Group: SFG Consulting (‘SFG’) entitled: </w:t>
      </w:r>
      <w:r w:rsidRPr="005856E5">
        <w:rPr>
          <w:i/>
        </w:rPr>
        <w:t>Dividend drop-off estimate of theta</w:t>
      </w:r>
      <w:r>
        <w:t>, 21 March 2011 (‘SFG’s March 2011 report’);</w:t>
      </w:r>
    </w:p>
    <w:p w:rsidR="002D6C6C" w:rsidRDefault="002D6C6C" w:rsidP="005856E5">
      <w:pPr>
        <w:pStyle w:val="ListNo"/>
        <w:numPr>
          <w:ilvl w:val="3"/>
          <w:numId w:val="52"/>
        </w:numPr>
        <w:tabs>
          <w:tab w:val="clear" w:pos="2520"/>
        </w:tabs>
        <w:ind w:left="709" w:hanging="709"/>
      </w:pPr>
      <w:r>
        <w:t xml:space="preserve">a report by The Securities Industry Research Centre of Asia-Pacific (SIRCA) Limited (‘SIRCA’) entitled </w:t>
      </w:r>
      <w:r w:rsidRPr="005856E5">
        <w:rPr>
          <w:i/>
        </w:rPr>
        <w:t>Report to the AER</w:t>
      </w:r>
      <w:r>
        <w:t xml:space="preserve"> </w:t>
      </w:r>
      <w:r w:rsidRPr="005856E5">
        <w:rPr>
          <w:i/>
        </w:rPr>
        <w:t>- Response to questions related to the estimation and theory of theta</w:t>
      </w:r>
      <w:r>
        <w:t>, 7 March 2011 (‘SIRCA’s March 2011 report’);</w:t>
      </w:r>
    </w:p>
    <w:p w:rsidR="002D6C6C" w:rsidRDefault="002D6C6C" w:rsidP="005856E5">
      <w:pPr>
        <w:pStyle w:val="ListNo"/>
        <w:numPr>
          <w:ilvl w:val="3"/>
          <w:numId w:val="52"/>
        </w:numPr>
        <w:tabs>
          <w:tab w:val="clear" w:pos="2520"/>
        </w:tabs>
        <w:ind w:left="709" w:hanging="709"/>
      </w:pPr>
      <w:r>
        <w:t xml:space="preserve">a report by the AER to the Tribunal entitled: </w:t>
      </w:r>
      <w:r w:rsidRPr="005856E5">
        <w:rPr>
          <w:i/>
        </w:rPr>
        <w:t>The value of imputation credits</w:t>
      </w:r>
      <w:r>
        <w:t>, April 2011 (‘the AER’s report’);</w:t>
      </w:r>
    </w:p>
    <w:p w:rsidR="002D6C6C" w:rsidRDefault="002D6C6C" w:rsidP="005856E5">
      <w:pPr>
        <w:pStyle w:val="ListNo"/>
        <w:numPr>
          <w:ilvl w:val="3"/>
          <w:numId w:val="52"/>
        </w:numPr>
        <w:tabs>
          <w:tab w:val="clear" w:pos="2520"/>
        </w:tabs>
        <w:ind w:left="709" w:hanging="709"/>
      </w:pPr>
      <w:r>
        <w:t>the applicants’ submissions, dated 19 Aril 2011, in reply to the AER’s report together with the following reports to be read in conjunction with those submissions:</w:t>
      </w:r>
    </w:p>
    <w:p w:rsidR="002D6C6C" w:rsidRDefault="002D6C6C" w:rsidP="005856E5">
      <w:pPr>
        <w:pStyle w:val="FCBullets"/>
        <w:tabs>
          <w:tab w:val="clear" w:pos="720"/>
          <w:tab w:val="num" w:pos="1418"/>
        </w:tabs>
        <w:ind w:left="1418" w:hanging="709"/>
      </w:pPr>
      <w:r w:rsidRPr="005856E5">
        <w:rPr>
          <w:i/>
        </w:rPr>
        <w:t>Expert Report prepared in respect of certain matters arising from the AER’s Merit Review</w:t>
      </w:r>
      <w:r>
        <w:rPr>
          <w:i/>
        </w:rPr>
        <w:t xml:space="preserve"> </w:t>
      </w:r>
      <w:r w:rsidRPr="005856E5">
        <w:rPr>
          <w:i/>
        </w:rPr>
        <w:t>-</w:t>
      </w:r>
      <w:r>
        <w:rPr>
          <w:i/>
        </w:rPr>
        <w:t xml:space="preserve"> </w:t>
      </w:r>
      <w:r w:rsidRPr="005856E5">
        <w:rPr>
          <w:i/>
        </w:rPr>
        <w:t>Determination of Gamma – Prepared for ETSA Utilities, Energex and Ergon Energy by R R Officer</w:t>
      </w:r>
      <w:r>
        <w:t>, 18 April 2011 (‘Officer’s April 2011 report’);</w:t>
      </w:r>
    </w:p>
    <w:p w:rsidR="002D6C6C" w:rsidRDefault="002D6C6C" w:rsidP="005856E5">
      <w:pPr>
        <w:pStyle w:val="FCBullets"/>
        <w:tabs>
          <w:tab w:val="clear" w:pos="720"/>
          <w:tab w:val="num" w:pos="1418"/>
        </w:tabs>
        <w:ind w:left="1418" w:hanging="709"/>
      </w:pPr>
      <w:r w:rsidRPr="005856E5">
        <w:rPr>
          <w:i/>
        </w:rPr>
        <w:t>A review of SFG’s 2011 Dividend Drop-off Study – Dr Neil Diamond and Professor Rob Brooks</w:t>
      </w:r>
      <w:r>
        <w:t>, 19 April 2011 (‘the Diamond &amp; Brooks’ report’); and</w:t>
      </w:r>
    </w:p>
    <w:p w:rsidR="002D6C6C" w:rsidRDefault="002D6C6C" w:rsidP="005856E5">
      <w:pPr>
        <w:pStyle w:val="FCBullets"/>
        <w:tabs>
          <w:tab w:val="clear" w:pos="720"/>
          <w:tab w:val="num" w:pos="1418"/>
        </w:tabs>
        <w:ind w:left="1418" w:hanging="709"/>
      </w:pPr>
      <w:r w:rsidRPr="005856E5">
        <w:rPr>
          <w:i/>
        </w:rPr>
        <w:t>Dividend drop-off estimate of theta – Notes on AER Report</w:t>
      </w:r>
      <w:r>
        <w:t xml:space="preserve"> by SFG, 18 April 2011 (‘SFG’s April 2011 report’).</w:t>
      </w:r>
    </w:p>
    <w:p w:rsidR="002D6C6C" w:rsidRDefault="002D6C6C" w:rsidP="005856E5">
      <w:pPr>
        <w:pStyle w:val="ListNo"/>
        <w:numPr>
          <w:ilvl w:val="3"/>
          <w:numId w:val="54"/>
        </w:numPr>
        <w:tabs>
          <w:tab w:val="clear" w:pos="2520"/>
        </w:tabs>
        <w:ind w:left="709" w:hanging="709"/>
      </w:pPr>
      <w:r>
        <w:t xml:space="preserve">a further supplementary report from SFG entitled: </w:t>
      </w:r>
      <w:r w:rsidRPr="005856E5">
        <w:rPr>
          <w:i/>
        </w:rPr>
        <w:t>Dividend drop-off estimate of theta – Additional estimates based on comments in the AER report</w:t>
      </w:r>
      <w:r>
        <w:t>, 21 April 2011 (‘SFG’s further supplementary report’).</w:t>
      </w:r>
    </w:p>
    <w:p w:rsidR="002D6C6C" w:rsidRDefault="002D6C6C" w:rsidP="00B865EA">
      <w:pPr>
        <w:pStyle w:val="ParaNumbering"/>
      </w:pPr>
      <w:r>
        <w:t>At a hearing on 29 April 2011, the Tribunal also had the benefit of oral submissions from the AER on the gamma issue.</w:t>
      </w:r>
    </w:p>
    <w:p w:rsidR="002D6C6C" w:rsidRDefault="002D6C6C" w:rsidP="00B865EA">
      <w:pPr>
        <w:pStyle w:val="ParaNumbering"/>
      </w:pPr>
      <w:r>
        <w:t xml:space="preserve">The Tribunal concluded on 24 December 2010 (see </w:t>
      </w:r>
      <w:r>
        <w:rPr>
          <w:i/>
        </w:rPr>
        <w:t xml:space="preserve">Application by Energex Limited (Distribution Ratio (Gamma)) (No 3) </w:t>
      </w:r>
      <w:r>
        <w:t>[2010] ACompT 9) that the distribution ratio was 0.7 for the calculation of gamma.</w:t>
      </w:r>
    </w:p>
    <w:p w:rsidR="002D6C6C" w:rsidRDefault="002D6C6C" w:rsidP="005E226C">
      <w:pPr>
        <w:pStyle w:val="ParaNumbering"/>
      </w:pPr>
      <w:r>
        <w:t xml:space="preserve">As discussed above, there are two issues to be decided in determining the value of gamma:  the value of </w:t>
      </w:r>
      <w:r w:rsidRPr="005E226C">
        <w:rPr>
          <w:i/>
        </w:rPr>
        <w:t>F</w:t>
      </w:r>
      <w:r>
        <w:t>, the distribution ratio; and the value of theta, the utilisation ratio.</w:t>
      </w:r>
    </w:p>
    <w:p w:rsidR="002D6C6C" w:rsidRDefault="002D6C6C" w:rsidP="005E226C">
      <w:pPr>
        <w:pStyle w:val="ParaNumbering"/>
      </w:pPr>
      <w:r>
        <w:t>Therefore, the only outstanding issue with respect to gamma is the value to be determined for theta.  That value, multiplied by the value 0.7 for the distribution ratio, produces the value for gamma.</w:t>
      </w:r>
    </w:p>
    <w:p w:rsidR="002D6C6C" w:rsidRDefault="002D6C6C" w:rsidP="005E226C">
      <w:pPr>
        <w:pStyle w:val="ParaNumbering"/>
      </w:pPr>
      <w:r>
        <w:t>SFG’s March 2011 report proposes an estimate of 0.35 for theta.  This estimate is paired with an estimate, produced in the same statistical procedure, of the value of cash dividends in the range of 0.85 to 0.90.</w:t>
      </w:r>
    </w:p>
    <w:p w:rsidR="002D6C6C" w:rsidRDefault="002D6C6C" w:rsidP="005E226C">
      <w:pPr>
        <w:pStyle w:val="ParaNumbering"/>
      </w:pPr>
      <w:r>
        <w:t>The AER’s report, responding to the Tribunal’s earlier reasons, sets out its view on the correct approach to the use of tax statistics and dividend drop-off studies.  In doing so the AER draws upon SIRCA’s March 2011 report.  It also reviews a number of dividend drop-off studies, and assesses SFG’s March 2011 report.  The Tribunal finds it convenient to discuss these issues in the reverse order.</w:t>
      </w:r>
    </w:p>
    <w:p w:rsidR="002D6C6C" w:rsidRDefault="002D6C6C" w:rsidP="005E226C">
      <w:pPr>
        <w:pStyle w:val="Heading2"/>
      </w:pPr>
      <w:r>
        <w:t>SFG’s March 2011 Report</w:t>
      </w:r>
    </w:p>
    <w:p w:rsidR="002D6C6C" w:rsidRDefault="002D6C6C" w:rsidP="005E226C">
      <w:pPr>
        <w:pStyle w:val="ParaNumbering"/>
      </w:pPr>
      <w:r>
        <w:t>The terms of reference for this report were settled between the parties, with intervention by the Tribunal, on 22 November 2010.  The parties had the opportunity to comment on a draft of the report, and SFG’s responses to those comments are incorporated in the final report.</w:t>
      </w:r>
    </w:p>
    <w:p w:rsidR="002D6C6C" w:rsidRDefault="002D6C6C" w:rsidP="005E226C">
      <w:pPr>
        <w:pStyle w:val="ParaNumbering"/>
      </w:pPr>
      <w:r>
        <w:t>The AER’s report raises what it calls major compliance issues – eight in number – with the terms of reference.  These all relate to the treatment of the data.  The AER also makes comments on SFG’s analysis: the model specification and estimation procedures.  The AER’s overall conclusion is that the SFG report should be considered “together with the results of other relevant and reliable studies”.</w:t>
      </w:r>
    </w:p>
    <w:p w:rsidR="002D6C6C" w:rsidRDefault="002D6C6C" w:rsidP="005E226C">
      <w:pPr>
        <w:pStyle w:val="ParaNumbering"/>
      </w:pPr>
      <w:r>
        <w:t xml:space="preserve">In SFG’s April 2011 report and its further supplementary report, SFG responded to the AER’s report in considerable detail.  </w:t>
      </w:r>
    </w:p>
    <w:p w:rsidR="002D6C6C" w:rsidRDefault="002D6C6C" w:rsidP="005E226C">
      <w:pPr>
        <w:pStyle w:val="ParaNumbering"/>
      </w:pPr>
      <w:r>
        <w:t>It is not necessary to set out the details of the eight issues, since they raise no important or significant questions of principle.  Rather they involve detailed decisions made in the course of constructing a database and analysing it.  Having considered the reports, including Officer’s April 2011 report, the Tribunal has concluded that any departures from the agreed terms of reference were justified, even necessary.  Calling them “major compliance issues” is unnecessarily pejorative.  Whether or not the terms of reference have been departed from, what is important is whether the concerns raised by the AER with the construction of the database cast doubt on the value of SFG’s analysis, requiring the Tribunal to give it less weight than it otherwise would.</w:t>
      </w:r>
    </w:p>
    <w:p w:rsidR="002D6C6C" w:rsidRDefault="002D6C6C" w:rsidP="005E226C">
      <w:pPr>
        <w:pStyle w:val="ParaNumbering"/>
      </w:pPr>
      <w:r>
        <w:t>In the Tribunal’s view, they do not.  The Tribunal is satisfied that the procedures used to select and filter the data were appropriate and do not give rise to any significant bias in the results obtained from the analysis.  Nor was that suggested by the AER.</w:t>
      </w:r>
    </w:p>
    <w:p w:rsidR="002D6C6C" w:rsidRDefault="002D6C6C" w:rsidP="005E226C">
      <w:pPr>
        <w:pStyle w:val="ParaNumbering"/>
      </w:pPr>
      <w:r>
        <w:t xml:space="preserve">The AER’s further comments concern the inherent problem of multicollinearity, the model specification and the estimation procedure. </w:t>
      </w:r>
    </w:p>
    <w:p w:rsidR="002D6C6C" w:rsidRDefault="002D6C6C" w:rsidP="005E226C">
      <w:pPr>
        <w:pStyle w:val="ParaNumbering"/>
      </w:pPr>
      <w:r>
        <w:t xml:space="preserve">Little more can be usefully said about multicollinearity than was included in the Tribunal’s earlier reasons subject to some brief comments below.  It is an unavoidable problem in the estimation of the utilisation of franking credits, since franking credits are very highly correlated with cash dividends.  What can be done is to conduct a study as carefully as possible with as large a data set as is available.  </w:t>
      </w:r>
    </w:p>
    <w:p w:rsidR="002D6C6C" w:rsidRDefault="002D6C6C" w:rsidP="005E226C">
      <w:pPr>
        <w:pStyle w:val="ParaNumbering"/>
      </w:pPr>
      <w:r>
        <w:t>In respect of the model specification and estimation procedure, the Tribunal is persuaded by SFG’s reasoning in reaching its conclusions.  Indeed, the careful scrutiny to which SFG’s report has been subjected, and SFG’s comprehensive response, gives the Tribunal confidence in those conclusions.  In that context, the Tribunal notes that in commissioning such a study, it hoped that the results would provide the best possible estimates of theta and gamma from a dividend drop-off study.  The terms of reference were developed with the intention of redressing the shortcomings and limitations of earlier studies as far as possible.</w:t>
      </w:r>
    </w:p>
    <w:p w:rsidR="002D6C6C" w:rsidRDefault="002D6C6C" w:rsidP="005E226C">
      <w:pPr>
        <w:pStyle w:val="Heading2"/>
      </w:pPr>
      <w:r>
        <w:t>SFG’s study in the context of other dividend drop-off studies</w:t>
      </w:r>
    </w:p>
    <w:p w:rsidR="002D6C6C" w:rsidRDefault="002D6C6C" w:rsidP="005E226C">
      <w:pPr>
        <w:pStyle w:val="ParaNumbering"/>
      </w:pPr>
      <w:r>
        <w:t>The AER’s report reviews ten dividend drop-off studies.  The context for this was that in the hearings leading up to the commissioning of the SFG study, significant concerns were expressed regarding all of the studies that were before the Tribunal.  The main contenders were a 2010 study by SFG and a 2006 study by Beggs and Skeels.  Those concerns are set out in the Tribunal’s earlier reasons for decision.</w:t>
      </w:r>
    </w:p>
    <w:p w:rsidR="002D6C6C" w:rsidRDefault="002D6C6C" w:rsidP="005E226C">
      <w:pPr>
        <w:pStyle w:val="ParaNumbering"/>
      </w:pPr>
      <w:r>
        <w:t>The Tribunal wanted to know whether other studies existed that did not exhibit the shortcomings of those before it.</w:t>
      </w:r>
    </w:p>
    <w:p w:rsidR="002D6C6C" w:rsidRDefault="002D6C6C" w:rsidP="005E226C">
      <w:pPr>
        <w:pStyle w:val="ParaNumbering"/>
      </w:pPr>
      <w:r>
        <w:t>The AER’s report concludes that the Beggs and Skeels post-July 2000 estimate from their 2006 study is the only one that should be considered along with SFG’s March 2011 study.  In doing so, the AER relies in part on advice given in McKenzie and Partington (2010), a report referred to in the Tribunal’s earlier reasons, which stated that where multiple studies of the same type are available, the results from all these studies should be considered.</w:t>
      </w:r>
    </w:p>
    <w:p w:rsidR="002D6C6C" w:rsidRDefault="002D6C6C" w:rsidP="005E226C">
      <w:pPr>
        <w:pStyle w:val="ParaNumbering"/>
      </w:pPr>
      <w:r>
        <w:t>Several remarks are necessary.  First, considering a range of studies does not imply that they should be given equal weight.  Indeed, the AER’s report proposes that only two of the ten studies it reviewed be given any weight.</w:t>
      </w:r>
    </w:p>
    <w:p w:rsidR="002D6C6C" w:rsidRDefault="002D6C6C" w:rsidP="005E226C">
      <w:pPr>
        <w:pStyle w:val="ParaNumbering"/>
      </w:pPr>
      <w:r>
        <w:t>Secondly, the Tribunal has already made clear its difficulty in accepting the results of the Beggs and Skeels study.</w:t>
      </w:r>
    </w:p>
    <w:p w:rsidR="002D6C6C" w:rsidRDefault="002D6C6C" w:rsidP="005E226C">
      <w:pPr>
        <w:pStyle w:val="ParaNumbering"/>
      </w:pPr>
      <w:r>
        <w:t>Thirdly, as the Tribunal noted in its earlier reasons, in January 2010 Associate Professor Skeels endorsed the then SFG study estimate over that of his own earlier study.</w:t>
      </w:r>
    </w:p>
    <w:p w:rsidR="002D6C6C" w:rsidRDefault="002D6C6C" w:rsidP="007C6E56">
      <w:pPr>
        <w:pStyle w:val="Heading2"/>
      </w:pPr>
      <w:r>
        <w:t>Conclusions regarding SFG’s March 2011 report</w:t>
      </w:r>
    </w:p>
    <w:p w:rsidR="002D6C6C" w:rsidRDefault="002D6C6C" w:rsidP="005E226C">
      <w:pPr>
        <w:pStyle w:val="ParaNumbering"/>
      </w:pPr>
      <w:r>
        <w:t>The Tribunal is satisfied that SFG’s March 2011 report is the best dividend drop-off study currently available for the purpose of estimating gamma in terms of the Rules.  Its estimate of a value of 0.35 for theta should be accepted as the best estimate using this approach. In particular, the Tribunal cannot accept the submission of the AER that either minor issues in the construction of the database or multicollinearity argue for giving the SFG study less weight and the Beggs and Skeels study some weight.  The Beggs and Skeels study, despite not being subjected to anything like the same level scrutiny, is known to suffer by comparison with the SFG study on those and other grounds.</w:t>
      </w:r>
    </w:p>
    <w:p w:rsidR="002D6C6C" w:rsidRDefault="002D6C6C" w:rsidP="005E226C">
      <w:pPr>
        <w:pStyle w:val="ParaNumbering"/>
      </w:pPr>
      <w:r>
        <w:t xml:space="preserve">Moreover, the fact that in its earlier reasons the Tribunal found no error in the AER having relied on the Beggs and Skeels study is not to the point.  The proceedings since then have been largely designed to render that study, along with the earlier SFG study, obsolete for the purpose of setting a value for gamma – and have done so. </w:t>
      </w:r>
    </w:p>
    <w:p w:rsidR="002D6C6C" w:rsidRDefault="002D6C6C" w:rsidP="007C6E56">
      <w:pPr>
        <w:pStyle w:val="Heading2"/>
      </w:pPr>
      <w:r>
        <w:t>Dividend drop-off studies in the context of other approaches</w:t>
      </w:r>
    </w:p>
    <w:p w:rsidR="002D6C6C" w:rsidRDefault="002D6C6C" w:rsidP="005E226C">
      <w:pPr>
        <w:pStyle w:val="ParaNumbering"/>
      </w:pPr>
      <w:r>
        <w:t xml:space="preserve">A question remains whether dividend drop-off studies are able to provide appropriate estimates for the purposes of the Rules; and whether the results of SFG’s March 2011 report should be considered in the light of other approaches.  This issue is addressed in the AER’s report and in SIRCA’s March 2011 report. </w:t>
      </w:r>
    </w:p>
    <w:p w:rsidR="002D6C6C" w:rsidRDefault="002D6C6C" w:rsidP="005E226C">
      <w:pPr>
        <w:pStyle w:val="ParaNumbering"/>
      </w:pPr>
      <w:r>
        <w:t>SIRCA’s March 2011 report provided responses to a number of specific questions asked by the AER.  Some of these responses raise serious issues regarding the use of dividend drop-off studies and the Tribunal’s earlier reasons.  For example, SIRCA’s March 2011 report suggests that:</w:t>
      </w:r>
    </w:p>
    <w:p w:rsidR="002D6C6C" w:rsidRDefault="002D6C6C" w:rsidP="007C6E56">
      <w:pPr>
        <w:pStyle w:val="FCBullets"/>
      </w:pPr>
      <w:r>
        <w:t>estimates from dividend drop-off studies are very imprecise and of questionable reliability;</w:t>
      </w:r>
    </w:p>
    <w:p w:rsidR="002D6C6C" w:rsidRDefault="002D6C6C" w:rsidP="007C6E56">
      <w:pPr>
        <w:pStyle w:val="FCBullets"/>
      </w:pPr>
      <w:r>
        <w:t>such studies are likely to produce downwardly-biased estimates of theta; and</w:t>
      </w:r>
    </w:p>
    <w:p w:rsidR="002D6C6C" w:rsidRDefault="002D6C6C" w:rsidP="007C6E56">
      <w:pPr>
        <w:pStyle w:val="FCBullets"/>
      </w:pPr>
      <w:r>
        <w:t>taxation studies do not give an upper bound to theta.</w:t>
      </w:r>
    </w:p>
    <w:p w:rsidR="002D6C6C" w:rsidRDefault="002D6C6C" w:rsidP="005E226C">
      <w:pPr>
        <w:pStyle w:val="ParaNumbering"/>
      </w:pPr>
      <w:r>
        <w:t>By way of background, the Tribunal in earlier reasons noted that the AER accepted that tax statistics studies provide an upper bound on possible values of theta.  The AER in its report, while being less unequivocal than SIRCA, adopts SIRCA’s suggestion that the results of tax statistics studies (now called the redemption rate) could be discounted for factors such as the time between the distribution and the redemption of imputation credits.  These adjustments “would need to be made on an economically justifiable basis”.  The AER referred to a 2004 study by Hathaway and Officer as being an example of such a use of an estimate of the utilisation rate.</w:t>
      </w:r>
    </w:p>
    <w:p w:rsidR="002D6C6C" w:rsidRDefault="002D6C6C" w:rsidP="005E226C">
      <w:pPr>
        <w:pStyle w:val="ParaNumbering"/>
      </w:pPr>
      <w:r>
        <w:t>Beyond these observations, the AER does not seek to adduce material from SIRCA’s March 2011 report to advance its submissions.  On the material before it, the Tribunal is unable to reach any conclusions about the further use of tax statistics studies in estimating the utilisation ratio, theta.  No doubt the AER will in the future have opportunity, and perhaps cause, to investigate further.  It has not sought to do so in these proceedings.</w:t>
      </w:r>
    </w:p>
    <w:p w:rsidR="002D6C6C" w:rsidRDefault="002D6C6C" w:rsidP="007C6E56">
      <w:pPr>
        <w:pStyle w:val="Heading2"/>
      </w:pPr>
      <w:r>
        <w:t>The argument for regulatory inertia</w:t>
      </w:r>
    </w:p>
    <w:p w:rsidR="002D6C6C" w:rsidRDefault="002D6C6C" w:rsidP="005E226C">
      <w:pPr>
        <w:pStyle w:val="ParaNumbering"/>
      </w:pPr>
      <w:r>
        <w:t xml:space="preserve">In its submission, the AER re-agitated one of its earlier arguments:  that the Rules establish a regime of regulatory inertia whereby values of the WACC parameter set in the Statement of Regulatory Intent (‘SORI’) will govern the distribution determinations that are made during the following five years unless, and to the extent that, it is shown that a departure from the SORI values is justified.  </w:t>
      </w:r>
    </w:p>
    <w:p w:rsidR="002D6C6C" w:rsidRDefault="002D6C6C" w:rsidP="005E226C">
      <w:pPr>
        <w:pStyle w:val="ParaNumbering"/>
      </w:pPr>
      <w:r>
        <w:t>The Tribunal accepts that due regard should be given to historical consistency in applying regulatory values over time.  Nevertheless, the Tribunal, standing in the AER’s shoes, is inescapably required to exercise regulatory judgment in determining the appropriate value of theta.</w:t>
      </w:r>
    </w:p>
    <w:p w:rsidR="002D6C6C" w:rsidRDefault="002D6C6C" w:rsidP="005E226C">
      <w:pPr>
        <w:pStyle w:val="ParaNumbering"/>
      </w:pPr>
      <w:r>
        <w:t>The Tribunal must determine an appropriate value for gamma on the basis of the material before it.  It does not accept that its task is to determine a value of gamma that is appropriate and not too different from the previously determined value of gamma.  That gives too little policy weight to the objective set out in s 7A of the NEL that a regulated DNSP should be provided with a reasonable opportunity to recover at least the efficient costs it incurs.  That objective must outweigh any presumption of regulatory inertia.  In any event, within the SORI framework by which the AER argues for the principle of regulatory inertia, the Tribunal has persuasive evidence justifying a departure from previously determined values of gamma.</w:t>
      </w:r>
    </w:p>
    <w:p w:rsidR="002D6C6C" w:rsidRDefault="002D6C6C" w:rsidP="00BB3C1D">
      <w:pPr>
        <w:pStyle w:val="Heading1"/>
      </w:pPr>
      <w:r>
        <w:t>CONCLUSION</w:t>
      </w:r>
    </w:p>
    <w:p w:rsidR="002D6C6C" w:rsidRDefault="002D6C6C" w:rsidP="005E226C">
      <w:pPr>
        <w:pStyle w:val="ParaNumbering"/>
      </w:pPr>
      <w:r>
        <w:t>The Tribunal finds itself in a position where it has one estimate of theta before it (the SFG’s March 2011 report value of 0.35) in which it has confidence, given the dividend drop-off methodology.  No other dividend drop-off study estimate has any claims to be given weight vis-à-vis the SFG report value.</w:t>
      </w:r>
    </w:p>
    <w:p w:rsidR="002D6C6C" w:rsidRDefault="002D6C6C" w:rsidP="005E226C">
      <w:pPr>
        <w:pStyle w:val="ParaNumbering"/>
      </w:pPr>
      <w:r>
        <w:t xml:space="preserve">Although the AER has ventured some general comments about the possibility of using another analytical approach, viz, tax statistics studies, the AER has provided no such material in these proceedings. </w:t>
      </w:r>
    </w:p>
    <w:p w:rsidR="002D6C6C" w:rsidRDefault="002D6C6C" w:rsidP="005E226C">
      <w:pPr>
        <w:pStyle w:val="ParaNumbering"/>
      </w:pPr>
      <w:r>
        <w:t>The AER has tendered, largely without comment, material that casts some doubt on the use of dividend drop-off studies in estimating gamma for regulatory purposes.  In responding to questions from the AER, SIRCA’s March 2011 report raises questions about the theoretical basis for dividend drop-off studies.  In doing so, it touches on issues raised in the Tribunal’s earlier reasons regarding the arbitrage model underlying dividend drop-off studies.</w:t>
      </w:r>
    </w:p>
    <w:p w:rsidR="002D6C6C" w:rsidRDefault="002D6C6C" w:rsidP="005E226C">
      <w:pPr>
        <w:pStyle w:val="ParaNumbering"/>
      </w:pPr>
      <w:r>
        <w:t xml:space="preserve">However, SIRCA’s March 2011 report does not resolve these issues and the AER has provided no conclusions of its own.  </w:t>
      </w:r>
    </w:p>
    <w:p w:rsidR="002D6C6C" w:rsidRDefault="002D6C6C" w:rsidP="005E226C">
      <w:pPr>
        <w:pStyle w:val="ParaNumbering"/>
      </w:pPr>
      <w:r>
        <w:t>Taking the values of the distribution ratio and of theta that the Tribunal has concluded should be used, viz 0.7 and 0.35, respectively, the Tribunal determines that the value of gamma is 0.25.</w:t>
      </w:r>
    </w:p>
    <w:p w:rsidR="002D6C6C" w:rsidRDefault="002D6C6C" w:rsidP="00954372">
      <w:pPr>
        <w:pStyle w:val="ParaNumbering"/>
      </w:pPr>
      <w:r>
        <w:t>The Tribunal notes that, in accordance with cl 6.5.3 of the Rules, the consequence of this decision is that the estimated cost of corporate income tax of a DNSP will be 75% of the estimated tax liability of a bench mark efficient entity determined in accordance with the post tax revenue model.  Of course, this provision is based upon the receipt and utilisation of franking credits by shareholders, it being determined that 25% of tax credits created are utilised.</w:t>
      </w:r>
    </w:p>
    <w:p w:rsidR="002D6C6C" w:rsidRDefault="002D6C6C" w:rsidP="005E226C">
      <w:pPr>
        <w:pStyle w:val="ParaNumbering"/>
      </w:pPr>
      <w:r>
        <w:t>The Tribunal has been provided with extrinsic materials in an attempt to explain clearly the basis of this approach.  It has not found an explanation in the clear terms that might be expected.  The Tribunal remains of the view that an explanation is needed of the basis for adjusting the costs of a DNSP to take account of the tax liabilities of its shareholders.  Such an explanation should be the starting point for considering how best to estimate gamma.</w:t>
      </w:r>
    </w:p>
    <w:p w:rsidR="002D6C6C" w:rsidRDefault="002D6C6C" w:rsidP="005E226C">
      <w:pPr>
        <w:pStyle w:val="ParaNumbering"/>
      </w:pPr>
      <w:r>
        <w:t xml:space="preserve">Further, the Tribunal notes that estimation of a parameter such as gamma is necessarily, and desirably, an ongoing intellectual and empirical endeavour.  Its decision in these proceedings is based on the material before it.  </w:t>
      </w:r>
    </w:p>
    <w:p w:rsidR="002D6C6C" w:rsidRDefault="002D6C6C" w:rsidP="005E226C">
      <w:pPr>
        <w:pStyle w:val="ParaNumbering"/>
      </w:pPr>
      <w:r>
        <w:t>It now remains for the Tribunal to make a determination in each of the applications.</w:t>
      </w:r>
    </w:p>
    <w:p w:rsidR="002D6C6C" w:rsidRDefault="002D6C6C" w:rsidP="005E226C">
      <w:pPr>
        <w:pStyle w:val="ParaNumbering"/>
      </w:pPr>
      <w:r>
        <w:t xml:space="preserve">An issue has arisen whether the Tribunal has the power to make interim or partial determinations – see eg </w:t>
      </w:r>
      <w:r>
        <w:rPr>
          <w:i/>
        </w:rPr>
        <w:t xml:space="preserve">Application by Jemena Gas Networks (NSW) Ltd (No 4) </w:t>
      </w:r>
      <w:r>
        <w:t xml:space="preserve">[2011] ACompT 8; and </w:t>
      </w:r>
      <w:r>
        <w:rPr>
          <w:i/>
        </w:rPr>
        <w:t xml:space="preserve">Application by EnergyAustralia </w:t>
      </w:r>
      <w:r>
        <w:t>[2009] ACompT 7 at [3].</w:t>
      </w:r>
    </w:p>
    <w:p w:rsidR="002D6C6C" w:rsidRDefault="002D6C6C" w:rsidP="005E226C">
      <w:pPr>
        <w:pStyle w:val="ParaNumbering"/>
      </w:pPr>
      <w:r>
        <w:t>After considering this matter and receiving submissions from the parties, this is a matter which needs no further consideration in these applications.</w:t>
      </w:r>
    </w:p>
    <w:p w:rsidR="002D6C6C" w:rsidRDefault="002D6C6C" w:rsidP="005E226C">
      <w:pPr>
        <w:pStyle w:val="ParaNumbering"/>
      </w:pPr>
      <w:r>
        <w:t xml:space="preserve">As there is doubt about the validity of earlier determinations made in these proceedings, the Tribunal will make a final determination incorporating all earlier decisions.  The Tribunal is still seized of the applications and is not </w:t>
      </w:r>
      <w:r w:rsidRPr="00BB3C1D">
        <w:rPr>
          <w:i/>
        </w:rPr>
        <w:t>functus officio</w:t>
      </w:r>
      <w:r>
        <w:t>.  No party opposes this course of action.  No third party (including any consumer) is adversely affected by this approach.</w:t>
      </w:r>
    </w:p>
    <w:p w:rsidR="002D6C6C" w:rsidRDefault="002D6C6C" w:rsidP="005E226C">
      <w:pPr>
        <w:pStyle w:val="ParaNumbering"/>
      </w:pPr>
      <w:r>
        <w:t>Therefore, the parties are requested to bring before the Tribunal a determination in each application reflecting the various decisions made by the Tribunal.</w:t>
      </w:r>
    </w:p>
    <w:p w:rsidR="002D6C6C" w:rsidRDefault="002D6C6C" w:rsidP="005E226C">
      <w:pPr>
        <w:pStyle w:val="ParaNumbering"/>
      </w:pPr>
      <w:r>
        <w:t>The parties are reminded that the Tribunal has given notice extending the period that the Tribunal has for determining the applications to 31 May 2011.</w:t>
      </w:r>
    </w:p>
    <w:p w:rsidR="002D6C6C" w:rsidRPr="00954372" w:rsidRDefault="002D6C6C" w:rsidP="005856E5">
      <w:pPr>
        <w:pStyle w:val="ParaNumbering"/>
        <w:numPr>
          <w:ilvl w:val="0"/>
          <w:numId w:val="0"/>
        </w:numPr>
        <w:rPr>
          <w:highlight w:val="yellow"/>
        </w:rPr>
      </w:pPr>
    </w:p>
    <w:p w:rsidR="002D6C6C" w:rsidRDefault="002D6C6C">
      <w:pPr>
        <w:suppressAutoHyphens/>
      </w:pPr>
      <w:bookmarkStart w:id="4" w:name="Certification"/>
    </w:p>
    <w:tbl>
      <w:tblPr>
        <w:tblW w:w="0" w:type="auto"/>
        <w:tblLayout w:type="fixed"/>
        <w:tblLook w:val="0000"/>
      </w:tblPr>
      <w:tblGrid>
        <w:gridCol w:w="3799"/>
      </w:tblGrid>
      <w:tr w:rsidR="002D6C6C">
        <w:tblPrEx>
          <w:tblCellMar>
            <w:top w:w="0" w:type="dxa"/>
            <w:bottom w:w="0" w:type="dxa"/>
          </w:tblCellMar>
        </w:tblPrEx>
        <w:tc>
          <w:tcPr>
            <w:tcW w:w="3799" w:type="dxa"/>
          </w:tcPr>
          <w:p w:rsidR="002D6C6C" w:rsidRDefault="002D6C6C">
            <w:pPr>
              <w:pStyle w:val="Certify"/>
            </w:pPr>
            <w:r w:rsidRPr="00161FFC">
              <w:t xml:space="preserve">I certify that the preceding </w:t>
            </w:r>
            <w:bookmarkStart w:id="5" w:name="NumberWord"/>
            <w:r>
              <w:t>fifty-one</w:t>
            </w:r>
            <w:bookmarkEnd w:id="5"/>
            <w:r w:rsidRPr="00161FFC">
              <w:t xml:space="preserve"> (</w:t>
            </w:r>
            <w:bookmarkStart w:id="6" w:name="NumberNumeral"/>
            <w:r>
              <w:t>51</w:t>
            </w:r>
            <w:bookmarkEnd w:id="6"/>
            <w:r w:rsidRPr="00161FFC">
              <w:t xml:space="preserve">) numbered </w:t>
            </w:r>
            <w:bookmarkStart w:id="7" w:name="CertPara"/>
            <w:r>
              <w:t>paragraphs are</w:t>
            </w:r>
            <w:bookmarkEnd w:id="7"/>
            <w:r w:rsidRPr="00161FFC">
              <w:t xml:space="preserve"> a true copy of the Reasons for </w:t>
            </w:r>
            <w:r>
              <w:t xml:space="preserve">Decision </w:t>
            </w:r>
            <w:r w:rsidRPr="00161FFC">
              <w:t xml:space="preserve">herein of the Honourable </w:t>
            </w:r>
            <w:bookmarkStart w:id="8" w:name="Justice"/>
            <w:r>
              <w:t>Justice Middleton (Deputy President), Mr RC Davey and Mr RF Shogren</w:t>
            </w:r>
            <w:bookmarkEnd w:id="8"/>
            <w:r>
              <w:t>.</w:t>
            </w:r>
          </w:p>
        </w:tc>
      </w:tr>
    </w:tbl>
    <w:p w:rsidR="002D6C6C" w:rsidRDefault="002D6C6C">
      <w:pPr>
        <w:suppressAutoHyphens/>
      </w:pPr>
    </w:p>
    <w:p w:rsidR="002D6C6C" w:rsidRDefault="002D6C6C">
      <w:pPr>
        <w:suppressAutoHyphens/>
      </w:pPr>
    </w:p>
    <w:p w:rsidR="002D6C6C" w:rsidRDefault="002D6C6C">
      <w:pPr>
        <w:suppressAutoHyphens/>
      </w:pPr>
      <w:r>
        <w:t>Associate:</w:t>
      </w:r>
    </w:p>
    <w:p w:rsidR="002D6C6C" w:rsidRDefault="002D6C6C">
      <w:pPr>
        <w:suppressAutoHyphens/>
      </w:pPr>
    </w:p>
    <w:p w:rsidR="002D6C6C" w:rsidRDefault="002D6C6C">
      <w:pPr>
        <w:tabs>
          <w:tab w:val="left" w:pos="1134"/>
        </w:tabs>
        <w:suppressAutoHyphens/>
      </w:pPr>
      <w:r>
        <w:t>Dated:</w:t>
      </w:r>
      <w:r>
        <w:tab/>
      </w:r>
      <w:bookmarkStart w:id="9" w:name="CertifyDated"/>
      <w:r>
        <w:t>12 May 2011</w:t>
      </w:r>
      <w:bookmarkEnd w:id="9"/>
      <w:r>
        <w:t xml:space="preserve"> </w:t>
      </w:r>
    </w:p>
    <w:bookmarkEnd w:id="4"/>
    <w:p w:rsidR="002D6C6C" w:rsidRDefault="002D6C6C">
      <w:pPr>
        <w:suppressAutoHyphens/>
      </w:pPr>
    </w:p>
    <w:sectPr w:rsidR="002D6C6C" w:rsidSect="002F3157">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6C" w:rsidRDefault="002D6C6C">
      <w:pPr>
        <w:spacing w:line="20" w:lineRule="exact"/>
      </w:pPr>
    </w:p>
    <w:p w:rsidR="002D6C6C" w:rsidRDefault="002D6C6C"/>
    <w:p w:rsidR="002D6C6C" w:rsidRDefault="002D6C6C"/>
  </w:endnote>
  <w:endnote w:type="continuationSeparator" w:id="1">
    <w:p w:rsidR="002D6C6C" w:rsidRDefault="002D6C6C">
      <w:r>
        <w:t xml:space="preserve"> </w:t>
      </w:r>
    </w:p>
    <w:p w:rsidR="002D6C6C" w:rsidRDefault="002D6C6C"/>
    <w:p w:rsidR="002D6C6C" w:rsidRDefault="002D6C6C"/>
  </w:endnote>
  <w:endnote w:type="continuationNotice" w:id="2">
    <w:p w:rsidR="002D6C6C" w:rsidRDefault="002D6C6C">
      <w:r>
        <w:t xml:space="preserve"> </w:t>
      </w:r>
    </w:p>
    <w:p w:rsidR="002D6C6C" w:rsidRDefault="002D6C6C"/>
    <w:p w:rsidR="002D6C6C" w:rsidRDefault="002D6C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C" w:rsidRPr="00410245" w:rsidRDefault="002D6C6C" w:rsidP="00410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C" w:rsidRPr="00410245" w:rsidRDefault="002D6C6C" w:rsidP="00410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6C" w:rsidRDefault="002D6C6C"/>
    <w:p w:rsidR="002D6C6C" w:rsidRDefault="002D6C6C"/>
    <w:p w:rsidR="002D6C6C" w:rsidRDefault="002D6C6C"/>
  </w:footnote>
  <w:footnote w:type="continuationSeparator" w:id="1">
    <w:p w:rsidR="002D6C6C" w:rsidRDefault="002D6C6C">
      <w:r>
        <w:continuationSeparator/>
      </w:r>
    </w:p>
    <w:p w:rsidR="002D6C6C" w:rsidRDefault="002D6C6C"/>
    <w:p w:rsidR="002D6C6C" w:rsidRDefault="002D6C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C" w:rsidRDefault="002D6C6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C" w:rsidRDefault="002D6C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C" w:rsidRDefault="002D6C6C">
    <w:pPr>
      <w:tabs>
        <w:tab w:val="center" w:pos="4512"/>
      </w:tabs>
      <w:suppressAutoHyphens/>
    </w:pPr>
    <w:r>
      <w:rPr>
        <w:b/>
      </w:rPr>
      <w:tab/>
      <w:t xml:space="preserve">- </w:t>
    </w:r>
    <w:fldSimple w:instr="page \* arabic">
      <w:r>
        <w:rPr>
          <w:noProof/>
        </w:rPr>
        <w:t>11</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6C" w:rsidRDefault="002D6C6C"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2480C"/>
    <w:multiLevelType w:val="multilevel"/>
    <w:tmpl w:val="4E8A5D26"/>
    <w:lvl w:ilvl="0">
      <w:start w:val="1"/>
      <w:numFmt w:val="lowerRoman"/>
      <w:lvlText w:val="(%1)"/>
      <w:lvlJc w:val="right"/>
      <w:pPr>
        <w:tabs>
          <w:tab w:val="num" w:pos="-772"/>
        </w:tabs>
        <w:ind w:left="-772" w:hanging="360"/>
      </w:pPr>
      <w:rPr>
        <w:rFonts w:cs="Times New Roman" w:hint="default"/>
      </w:rPr>
    </w:lvl>
    <w:lvl w:ilvl="1">
      <w:start w:val="1"/>
      <w:numFmt w:val="decimal"/>
      <w:lvlText w:val="%1.%2"/>
      <w:lvlJc w:val="left"/>
      <w:pPr>
        <w:tabs>
          <w:tab w:val="num" w:pos="308"/>
        </w:tabs>
        <w:ind w:left="308" w:hanging="720"/>
      </w:pPr>
      <w:rPr>
        <w:rFonts w:cs="Times New Roman"/>
      </w:rPr>
    </w:lvl>
    <w:lvl w:ilvl="2">
      <w:start w:val="1"/>
      <w:numFmt w:val="decimal"/>
      <w:lvlText w:val="%1.%2.%3"/>
      <w:lvlJc w:val="left"/>
      <w:pPr>
        <w:tabs>
          <w:tab w:val="num" w:pos="1028"/>
        </w:tabs>
        <w:ind w:left="1028" w:hanging="720"/>
      </w:pPr>
      <w:rPr>
        <w:rFonts w:cs="Times New Roman"/>
      </w:rPr>
    </w:lvl>
    <w:lvl w:ilvl="3">
      <w:start w:val="1"/>
      <w:numFmt w:val="lowerLetter"/>
      <w:lvlText w:val="(%4)"/>
      <w:lvlJc w:val="left"/>
      <w:pPr>
        <w:tabs>
          <w:tab w:val="num" w:pos="1748"/>
        </w:tabs>
        <w:ind w:left="1748" w:hanging="720"/>
      </w:pPr>
      <w:rPr>
        <w:rFonts w:cs="Times New Roman"/>
      </w:rPr>
    </w:lvl>
    <w:lvl w:ilvl="4">
      <w:start w:val="1"/>
      <w:numFmt w:val="lowerRoman"/>
      <w:lvlText w:val="(%5)"/>
      <w:lvlJc w:val="left"/>
      <w:pPr>
        <w:tabs>
          <w:tab w:val="num" w:pos="2468"/>
        </w:tabs>
        <w:ind w:left="2468" w:hanging="720"/>
      </w:pPr>
      <w:rPr>
        <w:rFonts w:cs="Times New Roman"/>
      </w:rPr>
    </w:lvl>
    <w:lvl w:ilvl="5">
      <w:start w:val="1"/>
      <w:numFmt w:val="none"/>
      <w:lvlText w:val=""/>
      <w:lvlJc w:val="left"/>
      <w:pPr>
        <w:tabs>
          <w:tab w:val="num" w:pos="1748"/>
        </w:tabs>
        <w:ind w:left="1606" w:hanging="941"/>
      </w:pPr>
      <w:rPr>
        <w:rFonts w:cs="Times New Roman"/>
      </w:rPr>
    </w:lvl>
    <w:lvl w:ilvl="6">
      <w:start w:val="1"/>
      <w:numFmt w:val="none"/>
      <w:lvlText w:val=""/>
      <w:lvlJc w:val="left"/>
      <w:pPr>
        <w:tabs>
          <w:tab w:val="num" w:pos="2468"/>
        </w:tabs>
        <w:ind w:left="2105" w:hanging="1077"/>
      </w:pPr>
      <w:rPr>
        <w:rFonts w:cs="Times New Roman"/>
      </w:rPr>
    </w:lvl>
    <w:lvl w:ilvl="7">
      <w:start w:val="1"/>
      <w:numFmt w:val="none"/>
      <w:lvlText w:val=""/>
      <w:lvlJc w:val="left"/>
      <w:pPr>
        <w:tabs>
          <w:tab w:val="num" w:pos="2825"/>
        </w:tabs>
        <w:ind w:left="2610" w:hanging="1225"/>
      </w:pPr>
      <w:rPr>
        <w:rFonts w:cs="Times New Roman"/>
      </w:rPr>
    </w:lvl>
    <w:lvl w:ilvl="8">
      <w:start w:val="1"/>
      <w:numFmt w:val="none"/>
      <w:lvlText w:val=""/>
      <w:lvlJc w:val="left"/>
      <w:pPr>
        <w:tabs>
          <w:tab w:val="num" w:pos="3545"/>
        </w:tabs>
        <w:ind w:left="3188" w:hanging="1440"/>
      </w:pPr>
      <w:rPr>
        <w:rFonts w:cs="Times New Roman"/>
      </w:rPr>
    </w:lvl>
  </w:abstractNum>
  <w:abstractNum w:abstractNumId="11">
    <w:nsid w:val="03E2348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925DDD"/>
    <w:multiLevelType w:val="hybridMultilevel"/>
    <w:tmpl w:val="876492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DCF732F"/>
    <w:multiLevelType w:val="hybridMultilevel"/>
    <w:tmpl w:val="6430E602"/>
    <w:lvl w:ilvl="0" w:tplc="D1EA9B94">
      <w:start w:val="7"/>
      <w:numFmt w:val="decimal"/>
      <w:lvlText w:val="(%1)"/>
      <w:lvlJc w:val="left"/>
      <w:pPr>
        <w:tabs>
          <w:tab w:val="num" w:pos="1097"/>
        </w:tabs>
        <w:ind w:left="1097" w:hanging="360"/>
      </w:pPr>
      <w:rPr>
        <w:rFonts w:cs="Times New Roman" w:hint="default"/>
      </w:rPr>
    </w:lvl>
    <w:lvl w:ilvl="1" w:tplc="7A9E9348">
      <w:start w:val="177"/>
      <w:numFmt w:val="decimal"/>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4">
    <w:nsid w:val="12F8693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19755A7C"/>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
    <w:nsid w:val="19CA1E3D"/>
    <w:multiLevelType w:val="multilevel"/>
    <w:tmpl w:val="07AA50D8"/>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1A887B0E"/>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
    <w:nsid w:val="24E10275"/>
    <w:multiLevelType w:val="hybridMultilevel"/>
    <w:tmpl w:val="CD98B7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9AE3DD1"/>
    <w:multiLevelType w:val="singleLevel"/>
    <w:tmpl w:val="5C92B9B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22">
    <w:nsid w:val="2A914ACA"/>
    <w:multiLevelType w:val="hybridMultilevel"/>
    <w:tmpl w:val="E110C862"/>
    <w:lvl w:ilvl="0" w:tplc="D8467D2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33630A1B"/>
    <w:multiLevelType w:val="multilevel"/>
    <w:tmpl w:val="73A28BF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35CB611A"/>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365E675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9BD47D6"/>
    <w:multiLevelType w:val="hybridMultilevel"/>
    <w:tmpl w:val="5FD83C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A4E74C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8">
    <w:nsid w:val="3A6D3342"/>
    <w:multiLevelType w:val="multilevel"/>
    <w:tmpl w:val="512EE22C"/>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7"/>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9">
    <w:nsid w:val="3E2377DE"/>
    <w:multiLevelType w:val="hybridMultilevel"/>
    <w:tmpl w:val="833C3B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E2A187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1">
    <w:nsid w:val="41790F9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2">
    <w:nsid w:val="41C57587"/>
    <w:multiLevelType w:val="multilevel"/>
    <w:tmpl w:val="FE18802C"/>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3">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4">
    <w:nsid w:val="49626CF2"/>
    <w:multiLevelType w:val="hybridMultilevel"/>
    <w:tmpl w:val="3FD421AC"/>
    <w:lvl w:ilvl="0" w:tplc="2AB00A7A">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4E8744A2"/>
    <w:multiLevelType w:val="hybridMultilevel"/>
    <w:tmpl w:val="59C67A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53301C6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0">
    <w:nsid w:val="58B55803"/>
    <w:multiLevelType w:val="multilevel"/>
    <w:tmpl w:val="873C87A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1">
    <w:nsid w:val="59B125D3"/>
    <w:multiLevelType w:val="hybridMultilevel"/>
    <w:tmpl w:val="989AE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2EC4944"/>
    <w:multiLevelType w:val="hybridMultilevel"/>
    <w:tmpl w:val="06E4A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nsid w:val="67DD52B5"/>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5">
    <w:nsid w:val="6A5E6A75"/>
    <w:multiLevelType w:val="hybridMultilevel"/>
    <w:tmpl w:val="9A9A9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6BBE16F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7">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8">
    <w:nsid w:val="7C940B0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9">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3"/>
  </w:num>
  <w:num w:numId="23">
    <w:abstractNumId w:val="35"/>
  </w:num>
  <w:num w:numId="24">
    <w:abstractNumId w:val="36"/>
  </w:num>
  <w:num w:numId="25">
    <w:abstractNumId w:val="49"/>
  </w:num>
  <w:num w:numId="26">
    <w:abstractNumId w:val="17"/>
  </w:num>
  <w:num w:numId="27">
    <w:abstractNumId w:val="19"/>
  </w:num>
  <w:num w:numId="28">
    <w:abstractNumId w:val="13"/>
  </w:num>
  <w:num w:numId="29">
    <w:abstractNumId w:val="24"/>
  </w:num>
  <w:num w:numId="30">
    <w:abstractNumId w:val="44"/>
  </w:num>
  <w:num w:numId="31">
    <w:abstractNumId w:val="42"/>
  </w:num>
  <w:num w:numId="32">
    <w:abstractNumId w:val="22"/>
  </w:num>
  <w:num w:numId="33">
    <w:abstractNumId w:val="37"/>
  </w:num>
  <w:num w:numId="34">
    <w:abstractNumId w:val="29"/>
  </w:num>
  <w:num w:numId="35">
    <w:abstractNumId w:val="41"/>
  </w:num>
  <w:num w:numId="36">
    <w:abstractNumId w:val="26"/>
  </w:num>
  <w:num w:numId="37">
    <w:abstractNumId w:val="45"/>
  </w:num>
  <w:num w:numId="38">
    <w:abstractNumId w:val="12"/>
  </w:num>
  <w:num w:numId="39">
    <w:abstractNumId w:val="20"/>
  </w:num>
  <w:num w:numId="40">
    <w:abstractNumId w:val="39"/>
  </w:num>
  <w:num w:numId="41">
    <w:abstractNumId w:val="15"/>
  </w:num>
  <w:num w:numId="42">
    <w:abstractNumId w:val="16"/>
  </w:num>
  <w:num w:numId="43">
    <w:abstractNumId w:val="33"/>
  </w:num>
  <w:num w:numId="44">
    <w:abstractNumId w:val="47"/>
  </w:num>
  <w:num w:numId="45">
    <w:abstractNumId w:val="23"/>
  </w:num>
  <w:num w:numId="46">
    <w:abstractNumId w:val="34"/>
  </w:num>
  <w:num w:numId="47">
    <w:abstractNumId w:val="18"/>
  </w:num>
  <w:num w:numId="48">
    <w:abstractNumId w:val="30"/>
  </w:num>
  <w:num w:numId="49">
    <w:abstractNumId w:val="32"/>
  </w:num>
  <w:num w:numId="50">
    <w:abstractNumId w:val="14"/>
  </w:num>
  <w:num w:numId="51">
    <w:abstractNumId w:val="31"/>
  </w:num>
  <w:num w:numId="52">
    <w:abstractNumId w:val="40"/>
  </w:num>
  <w:num w:numId="53">
    <w:abstractNumId w:val="27"/>
  </w:num>
  <w:num w:numId="54">
    <w:abstractNumId w:val="28"/>
  </w:num>
  <w:num w:numId="55">
    <w:abstractNumId w:val="48"/>
  </w:num>
  <w:num w:numId="56">
    <w:abstractNumId w:val="10"/>
  </w:num>
  <w:num w:numId="57">
    <w:abstractNumId w:val="46"/>
  </w:num>
  <w:num w:numId="58">
    <w:abstractNumId w:val="25"/>
  </w:num>
  <w:num w:numId="59">
    <w:abstractNumId w:val="38"/>
  </w:num>
  <w:num w:numId="60">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Energex Limited (ACN 078 849 055)"/>
    <w:docVar w:name="CounselParties" w:val="Applicant"/>
    <w:docVar w:name="CounselType" w:val="Solicitor for the "/>
    <w:docVar w:name="Division" w:val="GENERAL DIVISION"/>
    <w:docVar w:name="DocCreated" w:val="True"/>
    <w:docVar w:name="FileNumbers" w:val="2 of 2010"/>
    <w:docVar w:name="FullCourt" w:val="False"/>
    <w:docVar w:name="HearingDate" w:val="13, 14, 15, 16, 17, 20 and 21 September 2010"/>
    <w:docVar w:name="Judgdate" w:val="13 October 2010"/>
    <w:docVar w:name="Judge" w:val="Middleton"/>
    <w:docVar w:name="JudgePlace" w:val="MELBOURNE"/>
    <w:docVar w:name="lstEntryList" w:val="-1"/>
    <w:docVar w:name="myEntryList" w:val="Solicitor for the Applicant=Corrs Chambers Westgarth"/>
    <w:docVar w:name="NSD" w:val="NSD 2 of 2010"/>
    <w:docVar w:name="NumApps" w:val="1"/>
    <w:docVar w:name="NumApps_" w:val="1"/>
    <w:docVar w:name="NumJudges" w:val="Single Judge"/>
    <w:docVar w:name="Parties" w:val="Applicant"/>
    <w:docVar w:name="Place_SentenceCase" w:val="Melbourne"/>
    <w:docVar w:name="ResState" w:val="VICTORIA"/>
    <w:docVar w:name="Single" w:val="True"/>
  </w:docVars>
  <w:rsids>
    <w:rsidRoot w:val="007D4A47"/>
    <w:rsid w:val="000002E5"/>
    <w:rsid w:val="00000427"/>
    <w:rsid w:val="00001337"/>
    <w:rsid w:val="00001CDB"/>
    <w:rsid w:val="0000436B"/>
    <w:rsid w:val="0000508E"/>
    <w:rsid w:val="00005130"/>
    <w:rsid w:val="00005647"/>
    <w:rsid w:val="0001067F"/>
    <w:rsid w:val="00012E32"/>
    <w:rsid w:val="000143EE"/>
    <w:rsid w:val="00014AA9"/>
    <w:rsid w:val="00014C98"/>
    <w:rsid w:val="00017413"/>
    <w:rsid w:val="00017BB7"/>
    <w:rsid w:val="00017C80"/>
    <w:rsid w:val="00020D50"/>
    <w:rsid w:val="00022830"/>
    <w:rsid w:val="000241B9"/>
    <w:rsid w:val="0002571E"/>
    <w:rsid w:val="000275ED"/>
    <w:rsid w:val="0003311D"/>
    <w:rsid w:val="00033A06"/>
    <w:rsid w:val="00034E12"/>
    <w:rsid w:val="00037225"/>
    <w:rsid w:val="00037669"/>
    <w:rsid w:val="000407DC"/>
    <w:rsid w:val="00041A20"/>
    <w:rsid w:val="0004760E"/>
    <w:rsid w:val="00047FB8"/>
    <w:rsid w:val="00051054"/>
    <w:rsid w:val="0005174A"/>
    <w:rsid w:val="000518D9"/>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2AFA"/>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A4453"/>
    <w:rsid w:val="000B0A83"/>
    <w:rsid w:val="000B134D"/>
    <w:rsid w:val="000B714E"/>
    <w:rsid w:val="000B7F3F"/>
    <w:rsid w:val="000C045F"/>
    <w:rsid w:val="000C0538"/>
    <w:rsid w:val="000C3042"/>
    <w:rsid w:val="000C304B"/>
    <w:rsid w:val="000C35EE"/>
    <w:rsid w:val="000C4574"/>
    <w:rsid w:val="000C5CB1"/>
    <w:rsid w:val="000C6094"/>
    <w:rsid w:val="000D02B3"/>
    <w:rsid w:val="000D08D2"/>
    <w:rsid w:val="000D232E"/>
    <w:rsid w:val="000D4D92"/>
    <w:rsid w:val="000D54FA"/>
    <w:rsid w:val="000D612B"/>
    <w:rsid w:val="000D7732"/>
    <w:rsid w:val="000E2728"/>
    <w:rsid w:val="000E2D05"/>
    <w:rsid w:val="000E3CEC"/>
    <w:rsid w:val="000E43D1"/>
    <w:rsid w:val="000E4F42"/>
    <w:rsid w:val="000E636E"/>
    <w:rsid w:val="000E78E8"/>
    <w:rsid w:val="000E7E1E"/>
    <w:rsid w:val="000F0B04"/>
    <w:rsid w:val="000F14D7"/>
    <w:rsid w:val="000F153C"/>
    <w:rsid w:val="000F1C81"/>
    <w:rsid w:val="000F2344"/>
    <w:rsid w:val="000F75D5"/>
    <w:rsid w:val="00100A70"/>
    <w:rsid w:val="00106F62"/>
    <w:rsid w:val="00111043"/>
    <w:rsid w:val="001114BE"/>
    <w:rsid w:val="00111BC9"/>
    <w:rsid w:val="00112F61"/>
    <w:rsid w:val="0011416F"/>
    <w:rsid w:val="001147E4"/>
    <w:rsid w:val="00114B4A"/>
    <w:rsid w:val="00115EB4"/>
    <w:rsid w:val="001175A5"/>
    <w:rsid w:val="00121D2F"/>
    <w:rsid w:val="00123946"/>
    <w:rsid w:val="00123B3E"/>
    <w:rsid w:val="00125340"/>
    <w:rsid w:val="0012775F"/>
    <w:rsid w:val="00132D52"/>
    <w:rsid w:val="00133850"/>
    <w:rsid w:val="00134F81"/>
    <w:rsid w:val="0013762F"/>
    <w:rsid w:val="00141B7A"/>
    <w:rsid w:val="00145F70"/>
    <w:rsid w:val="001465CC"/>
    <w:rsid w:val="00146AF4"/>
    <w:rsid w:val="00150819"/>
    <w:rsid w:val="00151BB8"/>
    <w:rsid w:val="00152040"/>
    <w:rsid w:val="0015318B"/>
    <w:rsid w:val="001532EB"/>
    <w:rsid w:val="0015367F"/>
    <w:rsid w:val="001548A9"/>
    <w:rsid w:val="00161488"/>
    <w:rsid w:val="00161FFC"/>
    <w:rsid w:val="00162FEB"/>
    <w:rsid w:val="00164581"/>
    <w:rsid w:val="0016490B"/>
    <w:rsid w:val="00164AFF"/>
    <w:rsid w:val="001651A9"/>
    <w:rsid w:val="00170CD9"/>
    <w:rsid w:val="00171B2D"/>
    <w:rsid w:val="00171F5F"/>
    <w:rsid w:val="001778B1"/>
    <w:rsid w:val="001804B9"/>
    <w:rsid w:val="00180D13"/>
    <w:rsid w:val="001811DD"/>
    <w:rsid w:val="001813D0"/>
    <w:rsid w:val="0018317C"/>
    <w:rsid w:val="00183E80"/>
    <w:rsid w:val="00184470"/>
    <w:rsid w:val="00187E01"/>
    <w:rsid w:val="00190ABD"/>
    <w:rsid w:val="00190DA6"/>
    <w:rsid w:val="00191911"/>
    <w:rsid w:val="0019258C"/>
    <w:rsid w:val="001932FA"/>
    <w:rsid w:val="00194CA1"/>
    <w:rsid w:val="00194CDB"/>
    <w:rsid w:val="00196DBA"/>
    <w:rsid w:val="00197284"/>
    <w:rsid w:val="001A23E0"/>
    <w:rsid w:val="001A3EBA"/>
    <w:rsid w:val="001A5C47"/>
    <w:rsid w:val="001A7174"/>
    <w:rsid w:val="001B06A8"/>
    <w:rsid w:val="001B086C"/>
    <w:rsid w:val="001B2573"/>
    <w:rsid w:val="001B43E6"/>
    <w:rsid w:val="001B532D"/>
    <w:rsid w:val="001B762C"/>
    <w:rsid w:val="001C024D"/>
    <w:rsid w:val="001C0B29"/>
    <w:rsid w:val="001C110A"/>
    <w:rsid w:val="001C1DAC"/>
    <w:rsid w:val="001C1F39"/>
    <w:rsid w:val="001C284A"/>
    <w:rsid w:val="001C6792"/>
    <w:rsid w:val="001C6909"/>
    <w:rsid w:val="001C773C"/>
    <w:rsid w:val="001D00A0"/>
    <w:rsid w:val="001D0CBF"/>
    <w:rsid w:val="001D18D0"/>
    <w:rsid w:val="001D21E8"/>
    <w:rsid w:val="001D2983"/>
    <w:rsid w:val="001D35ED"/>
    <w:rsid w:val="001D3B74"/>
    <w:rsid w:val="001D450A"/>
    <w:rsid w:val="001D5A4C"/>
    <w:rsid w:val="001D6083"/>
    <w:rsid w:val="001D75ED"/>
    <w:rsid w:val="001D7947"/>
    <w:rsid w:val="001E05CC"/>
    <w:rsid w:val="001E086C"/>
    <w:rsid w:val="001E0CE2"/>
    <w:rsid w:val="001E0E72"/>
    <w:rsid w:val="001E1191"/>
    <w:rsid w:val="001E13AC"/>
    <w:rsid w:val="001E14D1"/>
    <w:rsid w:val="001E3620"/>
    <w:rsid w:val="001E4B20"/>
    <w:rsid w:val="001E521E"/>
    <w:rsid w:val="001E5287"/>
    <w:rsid w:val="001E67CC"/>
    <w:rsid w:val="001E6AB6"/>
    <w:rsid w:val="001E7235"/>
    <w:rsid w:val="001F1E2C"/>
    <w:rsid w:val="001F4797"/>
    <w:rsid w:val="001F47BC"/>
    <w:rsid w:val="001F6BBF"/>
    <w:rsid w:val="001F7392"/>
    <w:rsid w:val="001F7476"/>
    <w:rsid w:val="001F7AF8"/>
    <w:rsid w:val="0020078B"/>
    <w:rsid w:val="002021B3"/>
    <w:rsid w:val="00202730"/>
    <w:rsid w:val="00203292"/>
    <w:rsid w:val="0020591D"/>
    <w:rsid w:val="002100C1"/>
    <w:rsid w:val="00210362"/>
    <w:rsid w:val="002105E0"/>
    <w:rsid w:val="00211A62"/>
    <w:rsid w:val="0021318C"/>
    <w:rsid w:val="00213278"/>
    <w:rsid w:val="00215D82"/>
    <w:rsid w:val="00216D26"/>
    <w:rsid w:val="00221B2D"/>
    <w:rsid w:val="00222BBD"/>
    <w:rsid w:val="00223844"/>
    <w:rsid w:val="00224A45"/>
    <w:rsid w:val="00224DC6"/>
    <w:rsid w:val="0023127B"/>
    <w:rsid w:val="00231C33"/>
    <w:rsid w:val="00234C63"/>
    <w:rsid w:val="002353A0"/>
    <w:rsid w:val="00236594"/>
    <w:rsid w:val="00237FC4"/>
    <w:rsid w:val="00243300"/>
    <w:rsid w:val="002443C4"/>
    <w:rsid w:val="002449BC"/>
    <w:rsid w:val="00245F9E"/>
    <w:rsid w:val="00250E6F"/>
    <w:rsid w:val="00253DA3"/>
    <w:rsid w:val="00253EC5"/>
    <w:rsid w:val="00253F62"/>
    <w:rsid w:val="0025403D"/>
    <w:rsid w:val="00254FF0"/>
    <w:rsid w:val="00255519"/>
    <w:rsid w:val="00255E6B"/>
    <w:rsid w:val="00255F13"/>
    <w:rsid w:val="002574CC"/>
    <w:rsid w:val="00260654"/>
    <w:rsid w:val="00262CDD"/>
    <w:rsid w:val="00265903"/>
    <w:rsid w:val="0026717E"/>
    <w:rsid w:val="0026734F"/>
    <w:rsid w:val="00271048"/>
    <w:rsid w:val="00272579"/>
    <w:rsid w:val="00272791"/>
    <w:rsid w:val="002727BA"/>
    <w:rsid w:val="002750A7"/>
    <w:rsid w:val="00275887"/>
    <w:rsid w:val="00275A96"/>
    <w:rsid w:val="00276213"/>
    <w:rsid w:val="00277A6D"/>
    <w:rsid w:val="00280AF5"/>
    <w:rsid w:val="002867B0"/>
    <w:rsid w:val="0028773B"/>
    <w:rsid w:val="002914A3"/>
    <w:rsid w:val="00292145"/>
    <w:rsid w:val="00293666"/>
    <w:rsid w:val="00294E51"/>
    <w:rsid w:val="002957FF"/>
    <w:rsid w:val="0029792F"/>
    <w:rsid w:val="002A099B"/>
    <w:rsid w:val="002A2262"/>
    <w:rsid w:val="002A4C8E"/>
    <w:rsid w:val="002A4CEE"/>
    <w:rsid w:val="002A505F"/>
    <w:rsid w:val="002A645F"/>
    <w:rsid w:val="002A6DEF"/>
    <w:rsid w:val="002A7CF5"/>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3FCE"/>
    <w:rsid w:val="002D4741"/>
    <w:rsid w:val="002D590F"/>
    <w:rsid w:val="002D6204"/>
    <w:rsid w:val="002D6C6C"/>
    <w:rsid w:val="002D72F2"/>
    <w:rsid w:val="002E0A90"/>
    <w:rsid w:val="002E25A2"/>
    <w:rsid w:val="002E533F"/>
    <w:rsid w:val="002E5554"/>
    <w:rsid w:val="002E673A"/>
    <w:rsid w:val="002E6843"/>
    <w:rsid w:val="002E7172"/>
    <w:rsid w:val="002F177C"/>
    <w:rsid w:val="002F3157"/>
    <w:rsid w:val="002F4C2E"/>
    <w:rsid w:val="002F5291"/>
    <w:rsid w:val="00302087"/>
    <w:rsid w:val="00302183"/>
    <w:rsid w:val="00302D29"/>
    <w:rsid w:val="0030528E"/>
    <w:rsid w:val="00305F9D"/>
    <w:rsid w:val="00306CFB"/>
    <w:rsid w:val="003072F7"/>
    <w:rsid w:val="003073BB"/>
    <w:rsid w:val="003100CA"/>
    <w:rsid w:val="003119D1"/>
    <w:rsid w:val="00311EF9"/>
    <w:rsid w:val="0031353D"/>
    <w:rsid w:val="00314208"/>
    <w:rsid w:val="00314873"/>
    <w:rsid w:val="00314991"/>
    <w:rsid w:val="003155E1"/>
    <w:rsid w:val="00315698"/>
    <w:rsid w:val="00316C21"/>
    <w:rsid w:val="00316CCE"/>
    <w:rsid w:val="003175F9"/>
    <w:rsid w:val="00320622"/>
    <w:rsid w:val="0032069E"/>
    <w:rsid w:val="003222BA"/>
    <w:rsid w:val="003233CA"/>
    <w:rsid w:val="00323453"/>
    <w:rsid w:val="0032552E"/>
    <w:rsid w:val="00331A85"/>
    <w:rsid w:val="00335F7B"/>
    <w:rsid w:val="00341249"/>
    <w:rsid w:val="00341D3E"/>
    <w:rsid w:val="003437C1"/>
    <w:rsid w:val="00344717"/>
    <w:rsid w:val="00344BA9"/>
    <w:rsid w:val="003453AC"/>
    <w:rsid w:val="003505CC"/>
    <w:rsid w:val="00351A99"/>
    <w:rsid w:val="00352B39"/>
    <w:rsid w:val="00356101"/>
    <w:rsid w:val="003608C1"/>
    <w:rsid w:val="00361300"/>
    <w:rsid w:val="00362E25"/>
    <w:rsid w:val="003631F7"/>
    <w:rsid w:val="00363A4B"/>
    <w:rsid w:val="00364039"/>
    <w:rsid w:val="00364181"/>
    <w:rsid w:val="00365D47"/>
    <w:rsid w:val="00365FD3"/>
    <w:rsid w:val="00367AD3"/>
    <w:rsid w:val="00370893"/>
    <w:rsid w:val="003734DF"/>
    <w:rsid w:val="003744F8"/>
    <w:rsid w:val="0037541E"/>
    <w:rsid w:val="00375AAF"/>
    <w:rsid w:val="00376120"/>
    <w:rsid w:val="00376E34"/>
    <w:rsid w:val="00377774"/>
    <w:rsid w:val="0038105D"/>
    <w:rsid w:val="00382266"/>
    <w:rsid w:val="003822F7"/>
    <w:rsid w:val="003829AF"/>
    <w:rsid w:val="00382ADB"/>
    <w:rsid w:val="00383044"/>
    <w:rsid w:val="003831B0"/>
    <w:rsid w:val="003900CE"/>
    <w:rsid w:val="00390E3B"/>
    <w:rsid w:val="003960E0"/>
    <w:rsid w:val="00397262"/>
    <w:rsid w:val="003A3014"/>
    <w:rsid w:val="003B014A"/>
    <w:rsid w:val="003B69A6"/>
    <w:rsid w:val="003C0CC1"/>
    <w:rsid w:val="003C3AB3"/>
    <w:rsid w:val="003C709D"/>
    <w:rsid w:val="003D1152"/>
    <w:rsid w:val="003D24E2"/>
    <w:rsid w:val="003D5998"/>
    <w:rsid w:val="003D5EB6"/>
    <w:rsid w:val="003D723E"/>
    <w:rsid w:val="003D7543"/>
    <w:rsid w:val="003E0E05"/>
    <w:rsid w:val="003E11D8"/>
    <w:rsid w:val="003E1636"/>
    <w:rsid w:val="003E3537"/>
    <w:rsid w:val="003E417A"/>
    <w:rsid w:val="003E574A"/>
    <w:rsid w:val="003E7BB1"/>
    <w:rsid w:val="003F151F"/>
    <w:rsid w:val="003F372D"/>
    <w:rsid w:val="003F4FBE"/>
    <w:rsid w:val="003F691D"/>
    <w:rsid w:val="0040123F"/>
    <w:rsid w:val="00403CD1"/>
    <w:rsid w:val="00404669"/>
    <w:rsid w:val="00407467"/>
    <w:rsid w:val="00410194"/>
    <w:rsid w:val="00410245"/>
    <w:rsid w:val="00410D37"/>
    <w:rsid w:val="0041100C"/>
    <w:rsid w:val="004121D1"/>
    <w:rsid w:val="00414E02"/>
    <w:rsid w:val="00416E8A"/>
    <w:rsid w:val="00417E05"/>
    <w:rsid w:val="00423D90"/>
    <w:rsid w:val="00424DF8"/>
    <w:rsid w:val="00426EF9"/>
    <w:rsid w:val="00431095"/>
    <w:rsid w:val="004325CB"/>
    <w:rsid w:val="00432934"/>
    <w:rsid w:val="00433E9C"/>
    <w:rsid w:val="004344A1"/>
    <w:rsid w:val="0043743A"/>
    <w:rsid w:val="00437CED"/>
    <w:rsid w:val="00441512"/>
    <w:rsid w:val="00442DA2"/>
    <w:rsid w:val="00444234"/>
    <w:rsid w:val="00445304"/>
    <w:rsid w:val="00447AA7"/>
    <w:rsid w:val="00452F9F"/>
    <w:rsid w:val="00454A5D"/>
    <w:rsid w:val="004559F3"/>
    <w:rsid w:val="004629BE"/>
    <w:rsid w:val="00466256"/>
    <w:rsid w:val="00466BC0"/>
    <w:rsid w:val="00471486"/>
    <w:rsid w:val="0047166D"/>
    <w:rsid w:val="00472A49"/>
    <w:rsid w:val="00472E44"/>
    <w:rsid w:val="0047417B"/>
    <w:rsid w:val="0047507C"/>
    <w:rsid w:val="004762ED"/>
    <w:rsid w:val="00476B1B"/>
    <w:rsid w:val="00476B30"/>
    <w:rsid w:val="004778EF"/>
    <w:rsid w:val="00480367"/>
    <w:rsid w:val="00484F73"/>
    <w:rsid w:val="00485C0E"/>
    <w:rsid w:val="00486118"/>
    <w:rsid w:val="00487128"/>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03AA"/>
    <w:rsid w:val="004B0C09"/>
    <w:rsid w:val="004B19B6"/>
    <w:rsid w:val="004B279A"/>
    <w:rsid w:val="004B2EFC"/>
    <w:rsid w:val="004B3C19"/>
    <w:rsid w:val="004B7F70"/>
    <w:rsid w:val="004C03FE"/>
    <w:rsid w:val="004C0424"/>
    <w:rsid w:val="004C16E1"/>
    <w:rsid w:val="004C1FCE"/>
    <w:rsid w:val="004C34BC"/>
    <w:rsid w:val="004C562F"/>
    <w:rsid w:val="004C6228"/>
    <w:rsid w:val="004C6C16"/>
    <w:rsid w:val="004C7359"/>
    <w:rsid w:val="004D1288"/>
    <w:rsid w:val="004D36ED"/>
    <w:rsid w:val="004D5541"/>
    <w:rsid w:val="004D68D7"/>
    <w:rsid w:val="004D71D8"/>
    <w:rsid w:val="004E09C1"/>
    <w:rsid w:val="004E2080"/>
    <w:rsid w:val="004E2C62"/>
    <w:rsid w:val="004E457D"/>
    <w:rsid w:val="004E4812"/>
    <w:rsid w:val="004E63E2"/>
    <w:rsid w:val="004E63EE"/>
    <w:rsid w:val="004E6724"/>
    <w:rsid w:val="004E7B52"/>
    <w:rsid w:val="004E7B89"/>
    <w:rsid w:val="004E7D9B"/>
    <w:rsid w:val="004F1BAA"/>
    <w:rsid w:val="004F4973"/>
    <w:rsid w:val="004F619A"/>
    <w:rsid w:val="004F6CEE"/>
    <w:rsid w:val="004F7C73"/>
    <w:rsid w:val="00500EFC"/>
    <w:rsid w:val="00504770"/>
    <w:rsid w:val="00511B21"/>
    <w:rsid w:val="00511E4E"/>
    <w:rsid w:val="005125B4"/>
    <w:rsid w:val="00512B5E"/>
    <w:rsid w:val="00512BA5"/>
    <w:rsid w:val="005134A0"/>
    <w:rsid w:val="00513833"/>
    <w:rsid w:val="0051391D"/>
    <w:rsid w:val="00513CCB"/>
    <w:rsid w:val="00514026"/>
    <w:rsid w:val="00514049"/>
    <w:rsid w:val="00514439"/>
    <w:rsid w:val="005153BA"/>
    <w:rsid w:val="0051611F"/>
    <w:rsid w:val="00517069"/>
    <w:rsid w:val="0051762A"/>
    <w:rsid w:val="00520AF8"/>
    <w:rsid w:val="005211DF"/>
    <w:rsid w:val="0052145E"/>
    <w:rsid w:val="00521869"/>
    <w:rsid w:val="00523039"/>
    <w:rsid w:val="00523BCA"/>
    <w:rsid w:val="00524F29"/>
    <w:rsid w:val="00524FFA"/>
    <w:rsid w:val="00525099"/>
    <w:rsid w:val="005271CD"/>
    <w:rsid w:val="00531995"/>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4EC1"/>
    <w:rsid w:val="00555D4F"/>
    <w:rsid w:val="00557215"/>
    <w:rsid w:val="00561386"/>
    <w:rsid w:val="00563276"/>
    <w:rsid w:val="0056601A"/>
    <w:rsid w:val="00571441"/>
    <w:rsid w:val="00571AA4"/>
    <w:rsid w:val="00572DB4"/>
    <w:rsid w:val="00576101"/>
    <w:rsid w:val="00576478"/>
    <w:rsid w:val="00576713"/>
    <w:rsid w:val="00576A6A"/>
    <w:rsid w:val="005833F8"/>
    <w:rsid w:val="0058403A"/>
    <w:rsid w:val="005854CF"/>
    <w:rsid w:val="005856E5"/>
    <w:rsid w:val="00587D14"/>
    <w:rsid w:val="005904D7"/>
    <w:rsid w:val="0059166A"/>
    <w:rsid w:val="005917E9"/>
    <w:rsid w:val="00592C68"/>
    <w:rsid w:val="0059344D"/>
    <w:rsid w:val="0059743E"/>
    <w:rsid w:val="005A0428"/>
    <w:rsid w:val="005A0AE4"/>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6CE8"/>
    <w:rsid w:val="005C7E55"/>
    <w:rsid w:val="005D00C7"/>
    <w:rsid w:val="005D0767"/>
    <w:rsid w:val="005D18DE"/>
    <w:rsid w:val="005D235E"/>
    <w:rsid w:val="005D3304"/>
    <w:rsid w:val="005D452C"/>
    <w:rsid w:val="005D4F38"/>
    <w:rsid w:val="005D4F5F"/>
    <w:rsid w:val="005D5550"/>
    <w:rsid w:val="005E15EE"/>
    <w:rsid w:val="005E226C"/>
    <w:rsid w:val="005E4F3F"/>
    <w:rsid w:val="005E55C9"/>
    <w:rsid w:val="005E5667"/>
    <w:rsid w:val="005E7686"/>
    <w:rsid w:val="005E78D8"/>
    <w:rsid w:val="005E7BF3"/>
    <w:rsid w:val="005E7DBC"/>
    <w:rsid w:val="005F0949"/>
    <w:rsid w:val="005F155A"/>
    <w:rsid w:val="005F1EAD"/>
    <w:rsid w:val="005F33A5"/>
    <w:rsid w:val="005F4FB9"/>
    <w:rsid w:val="005F5621"/>
    <w:rsid w:val="005F57BE"/>
    <w:rsid w:val="005F75F4"/>
    <w:rsid w:val="005F7770"/>
    <w:rsid w:val="0060202E"/>
    <w:rsid w:val="00602108"/>
    <w:rsid w:val="0060352B"/>
    <w:rsid w:val="00603A67"/>
    <w:rsid w:val="00603AE8"/>
    <w:rsid w:val="006055B9"/>
    <w:rsid w:val="00606075"/>
    <w:rsid w:val="00610F93"/>
    <w:rsid w:val="006111DA"/>
    <w:rsid w:val="00611398"/>
    <w:rsid w:val="00612392"/>
    <w:rsid w:val="006132D6"/>
    <w:rsid w:val="00613E26"/>
    <w:rsid w:val="00617B48"/>
    <w:rsid w:val="0062001E"/>
    <w:rsid w:val="00620C66"/>
    <w:rsid w:val="006227B4"/>
    <w:rsid w:val="00622892"/>
    <w:rsid w:val="006237C3"/>
    <w:rsid w:val="0063031A"/>
    <w:rsid w:val="006405C0"/>
    <w:rsid w:val="00646121"/>
    <w:rsid w:val="006506B3"/>
    <w:rsid w:val="00650EBD"/>
    <w:rsid w:val="00652392"/>
    <w:rsid w:val="006542B7"/>
    <w:rsid w:val="006547E7"/>
    <w:rsid w:val="00654FD6"/>
    <w:rsid w:val="00655373"/>
    <w:rsid w:val="0066623F"/>
    <w:rsid w:val="0067292D"/>
    <w:rsid w:val="006737B2"/>
    <w:rsid w:val="00675752"/>
    <w:rsid w:val="0067680D"/>
    <w:rsid w:val="00681001"/>
    <w:rsid w:val="0068103E"/>
    <w:rsid w:val="00681310"/>
    <w:rsid w:val="00685D68"/>
    <w:rsid w:val="00685F43"/>
    <w:rsid w:val="0068706A"/>
    <w:rsid w:val="006873C4"/>
    <w:rsid w:val="00687B23"/>
    <w:rsid w:val="006905B5"/>
    <w:rsid w:val="00693CCB"/>
    <w:rsid w:val="00694E6F"/>
    <w:rsid w:val="006A244D"/>
    <w:rsid w:val="006A3ACC"/>
    <w:rsid w:val="006A43F3"/>
    <w:rsid w:val="006B1B91"/>
    <w:rsid w:val="006B2B10"/>
    <w:rsid w:val="006B3218"/>
    <w:rsid w:val="006B3891"/>
    <w:rsid w:val="006B5817"/>
    <w:rsid w:val="006B7C06"/>
    <w:rsid w:val="006C264E"/>
    <w:rsid w:val="006C26B6"/>
    <w:rsid w:val="006C38FE"/>
    <w:rsid w:val="006C6A98"/>
    <w:rsid w:val="006C6D2D"/>
    <w:rsid w:val="006C6F12"/>
    <w:rsid w:val="006C7A51"/>
    <w:rsid w:val="006D342C"/>
    <w:rsid w:val="006D4224"/>
    <w:rsid w:val="006D7956"/>
    <w:rsid w:val="006E32CB"/>
    <w:rsid w:val="006E347D"/>
    <w:rsid w:val="006E42E2"/>
    <w:rsid w:val="006E52E3"/>
    <w:rsid w:val="006E5675"/>
    <w:rsid w:val="006E5C0A"/>
    <w:rsid w:val="006E5F58"/>
    <w:rsid w:val="006E77E5"/>
    <w:rsid w:val="006F2D07"/>
    <w:rsid w:val="006F3748"/>
    <w:rsid w:val="006F3FC2"/>
    <w:rsid w:val="006F5DD5"/>
    <w:rsid w:val="006F7C91"/>
    <w:rsid w:val="007006EE"/>
    <w:rsid w:val="007007AC"/>
    <w:rsid w:val="00701029"/>
    <w:rsid w:val="00701117"/>
    <w:rsid w:val="0070314F"/>
    <w:rsid w:val="00705C8A"/>
    <w:rsid w:val="00706FF4"/>
    <w:rsid w:val="00707B0C"/>
    <w:rsid w:val="00707C35"/>
    <w:rsid w:val="00712261"/>
    <w:rsid w:val="00712FDE"/>
    <w:rsid w:val="00713958"/>
    <w:rsid w:val="00713B04"/>
    <w:rsid w:val="00716434"/>
    <w:rsid w:val="00716748"/>
    <w:rsid w:val="00723B70"/>
    <w:rsid w:val="00723CE7"/>
    <w:rsid w:val="00726321"/>
    <w:rsid w:val="00736B23"/>
    <w:rsid w:val="007371C8"/>
    <w:rsid w:val="00741FEF"/>
    <w:rsid w:val="00745329"/>
    <w:rsid w:val="00747295"/>
    <w:rsid w:val="00750E72"/>
    <w:rsid w:val="0075124E"/>
    <w:rsid w:val="007515C0"/>
    <w:rsid w:val="007524B6"/>
    <w:rsid w:val="007524E9"/>
    <w:rsid w:val="00753C8A"/>
    <w:rsid w:val="00754005"/>
    <w:rsid w:val="007575A3"/>
    <w:rsid w:val="00757716"/>
    <w:rsid w:val="00760990"/>
    <w:rsid w:val="007619F5"/>
    <w:rsid w:val="00764256"/>
    <w:rsid w:val="00764603"/>
    <w:rsid w:val="00765C07"/>
    <w:rsid w:val="0076660B"/>
    <w:rsid w:val="00772363"/>
    <w:rsid w:val="00772550"/>
    <w:rsid w:val="007735ED"/>
    <w:rsid w:val="007759EF"/>
    <w:rsid w:val="00776CC4"/>
    <w:rsid w:val="00777606"/>
    <w:rsid w:val="00777DA9"/>
    <w:rsid w:val="00781443"/>
    <w:rsid w:val="00781533"/>
    <w:rsid w:val="00782BD9"/>
    <w:rsid w:val="0078783D"/>
    <w:rsid w:val="007910C8"/>
    <w:rsid w:val="007952CD"/>
    <w:rsid w:val="00797DA9"/>
    <w:rsid w:val="00797EFF"/>
    <w:rsid w:val="007A2D5E"/>
    <w:rsid w:val="007A5C50"/>
    <w:rsid w:val="007A5E3A"/>
    <w:rsid w:val="007A6DF6"/>
    <w:rsid w:val="007A72F4"/>
    <w:rsid w:val="007B03C1"/>
    <w:rsid w:val="007B224D"/>
    <w:rsid w:val="007B270E"/>
    <w:rsid w:val="007B38F4"/>
    <w:rsid w:val="007B49C7"/>
    <w:rsid w:val="007B6E15"/>
    <w:rsid w:val="007C224E"/>
    <w:rsid w:val="007C6E56"/>
    <w:rsid w:val="007C7E18"/>
    <w:rsid w:val="007D3622"/>
    <w:rsid w:val="007D4135"/>
    <w:rsid w:val="007D4A47"/>
    <w:rsid w:val="007E0E62"/>
    <w:rsid w:val="007E2B03"/>
    <w:rsid w:val="007E3CDB"/>
    <w:rsid w:val="007E3D4B"/>
    <w:rsid w:val="007E6065"/>
    <w:rsid w:val="007F04F8"/>
    <w:rsid w:val="007F0A7E"/>
    <w:rsid w:val="007F1A35"/>
    <w:rsid w:val="007F3710"/>
    <w:rsid w:val="007F3F10"/>
    <w:rsid w:val="007F6985"/>
    <w:rsid w:val="007F7E64"/>
    <w:rsid w:val="00800D15"/>
    <w:rsid w:val="00805628"/>
    <w:rsid w:val="0080566D"/>
    <w:rsid w:val="008149D4"/>
    <w:rsid w:val="00814FC2"/>
    <w:rsid w:val="008158BD"/>
    <w:rsid w:val="008167D3"/>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D36"/>
    <w:rsid w:val="00844E18"/>
    <w:rsid w:val="008464D4"/>
    <w:rsid w:val="008503F9"/>
    <w:rsid w:val="00851D0B"/>
    <w:rsid w:val="0085491A"/>
    <w:rsid w:val="00855011"/>
    <w:rsid w:val="00855B1B"/>
    <w:rsid w:val="00857306"/>
    <w:rsid w:val="00857C29"/>
    <w:rsid w:val="00862364"/>
    <w:rsid w:val="008627C8"/>
    <w:rsid w:val="00862B12"/>
    <w:rsid w:val="00862EA0"/>
    <w:rsid w:val="00863469"/>
    <w:rsid w:val="00863A90"/>
    <w:rsid w:val="00864693"/>
    <w:rsid w:val="00865180"/>
    <w:rsid w:val="00865F55"/>
    <w:rsid w:val="00867153"/>
    <w:rsid w:val="0086793D"/>
    <w:rsid w:val="008679F6"/>
    <w:rsid w:val="00870595"/>
    <w:rsid w:val="00870E68"/>
    <w:rsid w:val="00873A29"/>
    <w:rsid w:val="008745AD"/>
    <w:rsid w:val="00875347"/>
    <w:rsid w:val="0088371B"/>
    <w:rsid w:val="00884073"/>
    <w:rsid w:val="00884B15"/>
    <w:rsid w:val="00887D94"/>
    <w:rsid w:val="008916D1"/>
    <w:rsid w:val="00891A4C"/>
    <w:rsid w:val="0089497F"/>
    <w:rsid w:val="008A0931"/>
    <w:rsid w:val="008A1662"/>
    <w:rsid w:val="008A3B6D"/>
    <w:rsid w:val="008A3F43"/>
    <w:rsid w:val="008A4CF3"/>
    <w:rsid w:val="008A6A0D"/>
    <w:rsid w:val="008B3287"/>
    <w:rsid w:val="008B3ACB"/>
    <w:rsid w:val="008B48A4"/>
    <w:rsid w:val="008B5059"/>
    <w:rsid w:val="008B7246"/>
    <w:rsid w:val="008B7DAB"/>
    <w:rsid w:val="008C2B17"/>
    <w:rsid w:val="008C4878"/>
    <w:rsid w:val="008C49A3"/>
    <w:rsid w:val="008C5A0D"/>
    <w:rsid w:val="008C6603"/>
    <w:rsid w:val="008C6DF1"/>
    <w:rsid w:val="008D02D3"/>
    <w:rsid w:val="008D1344"/>
    <w:rsid w:val="008D1F1C"/>
    <w:rsid w:val="008D211C"/>
    <w:rsid w:val="008D24C0"/>
    <w:rsid w:val="008D3363"/>
    <w:rsid w:val="008D4D38"/>
    <w:rsid w:val="008D4EC0"/>
    <w:rsid w:val="008D7AC4"/>
    <w:rsid w:val="008E14D4"/>
    <w:rsid w:val="008E1FE0"/>
    <w:rsid w:val="008E3041"/>
    <w:rsid w:val="008E3C09"/>
    <w:rsid w:val="008E650E"/>
    <w:rsid w:val="008F02E2"/>
    <w:rsid w:val="008F0CCD"/>
    <w:rsid w:val="008F1964"/>
    <w:rsid w:val="008F25D3"/>
    <w:rsid w:val="008F2EFE"/>
    <w:rsid w:val="008F3A50"/>
    <w:rsid w:val="008F56F6"/>
    <w:rsid w:val="00901E6B"/>
    <w:rsid w:val="009027AD"/>
    <w:rsid w:val="009042A2"/>
    <w:rsid w:val="00905596"/>
    <w:rsid w:val="00905900"/>
    <w:rsid w:val="00905FB3"/>
    <w:rsid w:val="009065FF"/>
    <w:rsid w:val="00911AA3"/>
    <w:rsid w:val="00911FDD"/>
    <w:rsid w:val="009123CB"/>
    <w:rsid w:val="00912E17"/>
    <w:rsid w:val="00913210"/>
    <w:rsid w:val="00914E22"/>
    <w:rsid w:val="009177A7"/>
    <w:rsid w:val="00920D15"/>
    <w:rsid w:val="00923775"/>
    <w:rsid w:val="00923905"/>
    <w:rsid w:val="00925641"/>
    <w:rsid w:val="009341A5"/>
    <w:rsid w:val="00936D50"/>
    <w:rsid w:val="00937DFC"/>
    <w:rsid w:val="009417EF"/>
    <w:rsid w:val="009448B3"/>
    <w:rsid w:val="0094513B"/>
    <w:rsid w:val="00945375"/>
    <w:rsid w:val="009453BF"/>
    <w:rsid w:val="00946A82"/>
    <w:rsid w:val="00946B46"/>
    <w:rsid w:val="00947D50"/>
    <w:rsid w:val="00950541"/>
    <w:rsid w:val="00951F01"/>
    <w:rsid w:val="00952BF4"/>
    <w:rsid w:val="00952CC2"/>
    <w:rsid w:val="00953226"/>
    <w:rsid w:val="00954372"/>
    <w:rsid w:val="00954EC7"/>
    <w:rsid w:val="009551E2"/>
    <w:rsid w:val="00956684"/>
    <w:rsid w:val="0095673E"/>
    <w:rsid w:val="00960114"/>
    <w:rsid w:val="00961678"/>
    <w:rsid w:val="00963D4C"/>
    <w:rsid w:val="00964698"/>
    <w:rsid w:val="00965FF2"/>
    <w:rsid w:val="00966EE2"/>
    <w:rsid w:val="00975610"/>
    <w:rsid w:val="00975CDD"/>
    <w:rsid w:val="0097752F"/>
    <w:rsid w:val="0098011C"/>
    <w:rsid w:val="00980302"/>
    <w:rsid w:val="0098042F"/>
    <w:rsid w:val="00980E51"/>
    <w:rsid w:val="009810D6"/>
    <w:rsid w:val="009837C8"/>
    <w:rsid w:val="0098384A"/>
    <w:rsid w:val="009841A7"/>
    <w:rsid w:val="009844DE"/>
    <w:rsid w:val="00986899"/>
    <w:rsid w:val="009879D1"/>
    <w:rsid w:val="009910CB"/>
    <w:rsid w:val="0099258B"/>
    <w:rsid w:val="0099262B"/>
    <w:rsid w:val="0099291C"/>
    <w:rsid w:val="00994786"/>
    <w:rsid w:val="00995762"/>
    <w:rsid w:val="00995AF9"/>
    <w:rsid w:val="00995E2E"/>
    <w:rsid w:val="009A1266"/>
    <w:rsid w:val="009A188D"/>
    <w:rsid w:val="009A32F8"/>
    <w:rsid w:val="009A36F0"/>
    <w:rsid w:val="009A668A"/>
    <w:rsid w:val="009A6948"/>
    <w:rsid w:val="009A6F65"/>
    <w:rsid w:val="009B0CE9"/>
    <w:rsid w:val="009B2139"/>
    <w:rsid w:val="009B2BF0"/>
    <w:rsid w:val="009C0D2D"/>
    <w:rsid w:val="009C0F6D"/>
    <w:rsid w:val="009C2378"/>
    <w:rsid w:val="009C671B"/>
    <w:rsid w:val="009C6A6E"/>
    <w:rsid w:val="009D2CC7"/>
    <w:rsid w:val="009D45A1"/>
    <w:rsid w:val="009D594A"/>
    <w:rsid w:val="009D7E06"/>
    <w:rsid w:val="009E0D0C"/>
    <w:rsid w:val="009E1811"/>
    <w:rsid w:val="009E390C"/>
    <w:rsid w:val="009E46DF"/>
    <w:rsid w:val="009E57B5"/>
    <w:rsid w:val="009E6792"/>
    <w:rsid w:val="009F0B98"/>
    <w:rsid w:val="009F23A5"/>
    <w:rsid w:val="009F682E"/>
    <w:rsid w:val="00A0029F"/>
    <w:rsid w:val="00A00C3E"/>
    <w:rsid w:val="00A010C0"/>
    <w:rsid w:val="00A01809"/>
    <w:rsid w:val="00A02BB9"/>
    <w:rsid w:val="00A0501C"/>
    <w:rsid w:val="00A05377"/>
    <w:rsid w:val="00A05447"/>
    <w:rsid w:val="00A136F7"/>
    <w:rsid w:val="00A157A3"/>
    <w:rsid w:val="00A15FB9"/>
    <w:rsid w:val="00A162CD"/>
    <w:rsid w:val="00A16798"/>
    <w:rsid w:val="00A17157"/>
    <w:rsid w:val="00A175BE"/>
    <w:rsid w:val="00A21C20"/>
    <w:rsid w:val="00A2202E"/>
    <w:rsid w:val="00A22145"/>
    <w:rsid w:val="00A23D09"/>
    <w:rsid w:val="00A243DD"/>
    <w:rsid w:val="00A258E7"/>
    <w:rsid w:val="00A25AF8"/>
    <w:rsid w:val="00A2703A"/>
    <w:rsid w:val="00A276C1"/>
    <w:rsid w:val="00A321F9"/>
    <w:rsid w:val="00A33C31"/>
    <w:rsid w:val="00A359EB"/>
    <w:rsid w:val="00A428D9"/>
    <w:rsid w:val="00A4463D"/>
    <w:rsid w:val="00A476B8"/>
    <w:rsid w:val="00A47B0E"/>
    <w:rsid w:val="00A50079"/>
    <w:rsid w:val="00A5049C"/>
    <w:rsid w:val="00A52FD2"/>
    <w:rsid w:val="00A53ED7"/>
    <w:rsid w:val="00A5452C"/>
    <w:rsid w:val="00A54EFC"/>
    <w:rsid w:val="00A55CD6"/>
    <w:rsid w:val="00A57EF6"/>
    <w:rsid w:val="00A57FC6"/>
    <w:rsid w:val="00A601E2"/>
    <w:rsid w:val="00A61997"/>
    <w:rsid w:val="00A6388E"/>
    <w:rsid w:val="00A63E99"/>
    <w:rsid w:val="00A64437"/>
    <w:rsid w:val="00A645AD"/>
    <w:rsid w:val="00A64F19"/>
    <w:rsid w:val="00A67420"/>
    <w:rsid w:val="00A72BAB"/>
    <w:rsid w:val="00A7544A"/>
    <w:rsid w:val="00A7566D"/>
    <w:rsid w:val="00A759BE"/>
    <w:rsid w:val="00A76A2B"/>
    <w:rsid w:val="00A76CB6"/>
    <w:rsid w:val="00A803DF"/>
    <w:rsid w:val="00A80549"/>
    <w:rsid w:val="00A811D1"/>
    <w:rsid w:val="00A813A8"/>
    <w:rsid w:val="00A82BDF"/>
    <w:rsid w:val="00A84ADF"/>
    <w:rsid w:val="00A8526D"/>
    <w:rsid w:val="00A8570C"/>
    <w:rsid w:val="00A85C8E"/>
    <w:rsid w:val="00A87DD5"/>
    <w:rsid w:val="00A932C2"/>
    <w:rsid w:val="00AA08D1"/>
    <w:rsid w:val="00AA1D3A"/>
    <w:rsid w:val="00AA4183"/>
    <w:rsid w:val="00AA5FA2"/>
    <w:rsid w:val="00AA69C4"/>
    <w:rsid w:val="00AB0471"/>
    <w:rsid w:val="00AB4FFF"/>
    <w:rsid w:val="00AB5374"/>
    <w:rsid w:val="00AB5720"/>
    <w:rsid w:val="00AB5B95"/>
    <w:rsid w:val="00AB5F5B"/>
    <w:rsid w:val="00AC07AB"/>
    <w:rsid w:val="00AC0CC6"/>
    <w:rsid w:val="00AC2457"/>
    <w:rsid w:val="00AC46C7"/>
    <w:rsid w:val="00AC4E84"/>
    <w:rsid w:val="00AC52FD"/>
    <w:rsid w:val="00AC5EB7"/>
    <w:rsid w:val="00AC6E5E"/>
    <w:rsid w:val="00AC739F"/>
    <w:rsid w:val="00AC7D8B"/>
    <w:rsid w:val="00AD04C7"/>
    <w:rsid w:val="00AD18A8"/>
    <w:rsid w:val="00AD1FAF"/>
    <w:rsid w:val="00AD21D9"/>
    <w:rsid w:val="00AD288B"/>
    <w:rsid w:val="00AD4F1B"/>
    <w:rsid w:val="00AD518E"/>
    <w:rsid w:val="00AD5C23"/>
    <w:rsid w:val="00AD60E3"/>
    <w:rsid w:val="00AD6640"/>
    <w:rsid w:val="00AE0C56"/>
    <w:rsid w:val="00AE203B"/>
    <w:rsid w:val="00AE6B40"/>
    <w:rsid w:val="00AE6C3C"/>
    <w:rsid w:val="00AF104F"/>
    <w:rsid w:val="00AF16BD"/>
    <w:rsid w:val="00AF32DE"/>
    <w:rsid w:val="00AF51F5"/>
    <w:rsid w:val="00AF6898"/>
    <w:rsid w:val="00AF7904"/>
    <w:rsid w:val="00AF7ED0"/>
    <w:rsid w:val="00B0197C"/>
    <w:rsid w:val="00B01A77"/>
    <w:rsid w:val="00B01CE7"/>
    <w:rsid w:val="00B0247A"/>
    <w:rsid w:val="00B0303B"/>
    <w:rsid w:val="00B04EA3"/>
    <w:rsid w:val="00B0518B"/>
    <w:rsid w:val="00B10F5E"/>
    <w:rsid w:val="00B13B6C"/>
    <w:rsid w:val="00B1433F"/>
    <w:rsid w:val="00B16829"/>
    <w:rsid w:val="00B16A66"/>
    <w:rsid w:val="00B16D2D"/>
    <w:rsid w:val="00B21AE2"/>
    <w:rsid w:val="00B2203D"/>
    <w:rsid w:val="00B2600D"/>
    <w:rsid w:val="00B26075"/>
    <w:rsid w:val="00B267D4"/>
    <w:rsid w:val="00B27BE7"/>
    <w:rsid w:val="00B326AD"/>
    <w:rsid w:val="00B35D02"/>
    <w:rsid w:val="00B3744D"/>
    <w:rsid w:val="00B376AC"/>
    <w:rsid w:val="00B4027D"/>
    <w:rsid w:val="00B40BBD"/>
    <w:rsid w:val="00B4143A"/>
    <w:rsid w:val="00B4674B"/>
    <w:rsid w:val="00B51322"/>
    <w:rsid w:val="00B5297C"/>
    <w:rsid w:val="00B52A52"/>
    <w:rsid w:val="00B544CE"/>
    <w:rsid w:val="00B55691"/>
    <w:rsid w:val="00B57F0F"/>
    <w:rsid w:val="00B619D4"/>
    <w:rsid w:val="00B64819"/>
    <w:rsid w:val="00B66741"/>
    <w:rsid w:val="00B678C2"/>
    <w:rsid w:val="00B7039D"/>
    <w:rsid w:val="00B71534"/>
    <w:rsid w:val="00B72A3B"/>
    <w:rsid w:val="00B73798"/>
    <w:rsid w:val="00B7406F"/>
    <w:rsid w:val="00B755BF"/>
    <w:rsid w:val="00B7662C"/>
    <w:rsid w:val="00B76E4F"/>
    <w:rsid w:val="00B77842"/>
    <w:rsid w:val="00B81AB4"/>
    <w:rsid w:val="00B82AE4"/>
    <w:rsid w:val="00B84B4E"/>
    <w:rsid w:val="00B865EA"/>
    <w:rsid w:val="00B87D9E"/>
    <w:rsid w:val="00B9255C"/>
    <w:rsid w:val="00B940F3"/>
    <w:rsid w:val="00B956FA"/>
    <w:rsid w:val="00B96A24"/>
    <w:rsid w:val="00B97A74"/>
    <w:rsid w:val="00BA1ABD"/>
    <w:rsid w:val="00BA26C1"/>
    <w:rsid w:val="00BA2AD8"/>
    <w:rsid w:val="00BA4318"/>
    <w:rsid w:val="00BA5E0F"/>
    <w:rsid w:val="00BB1C9F"/>
    <w:rsid w:val="00BB1F2A"/>
    <w:rsid w:val="00BB2DE8"/>
    <w:rsid w:val="00BB2ECC"/>
    <w:rsid w:val="00BB3C1D"/>
    <w:rsid w:val="00BB4665"/>
    <w:rsid w:val="00BB4A6A"/>
    <w:rsid w:val="00BB52FC"/>
    <w:rsid w:val="00BB5459"/>
    <w:rsid w:val="00BC3FFB"/>
    <w:rsid w:val="00BC409F"/>
    <w:rsid w:val="00BC546E"/>
    <w:rsid w:val="00BC6A96"/>
    <w:rsid w:val="00BD2700"/>
    <w:rsid w:val="00BD344D"/>
    <w:rsid w:val="00BD4122"/>
    <w:rsid w:val="00BD4C77"/>
    <w:rsid w:val="00BD619F"/>
    <w:rsid w:val="00BD700B"/>
    <w:rsid w:val="00BE2FED"/>
    <w:rsid w:val="00BE684E"/>
    <w:rsid w:val="00BE7211"/>
    <w:rsid w:val="00BF29D4"/>
    <w:rsid w:val="00BF46F2"/>
    <w:rsid w:val="00BF5C8E"/>
    <w:rsid w:val="00BF746D"/>
    <w:rsid w:val="00C0153F"/>
    <w:rsid w:val="00C01E11"/>
    <w:rsid w:val="00C02416"/>
    <w:rsid w:val="00C02EA7"/>
    <w:rsid w:val="00C04084"/>
    <w:rsid w:val="00C04841"/>
    <w:rsid w:val="00C06655"/>
    <w:rsid w:val="00C074FC"/>
    <w:rsid w:val="00C07529"/>
    <w:rsid w:val="00C07C75"/>
    <w:rsid w:val="00C103DB"/>
    <w:rsid w:val="00C103E4"/>
    <w:rsid w:val="00C118AB"/>
    <w:rsid w:val="00C12BEE"/>
    <w:rsid w:val="00C14D81"/>
    <w:rsid w:val="00C24A85"/>
    <w:rsid w:val="00C26015"/>
    <w:rsid w:val="00C26521"/>
    <w:rsid w:val="00C26DCC"/>
    <w:rsid w:val="00C3059C"/>
    <w:rsid w:val="00C308A1"/>
    <w:rsid w:val="00C32245"/>
    <w:rsid w:val="00C32B29"/>
    <w:rsid w:val="00C32D1F"/>
    <w:rsid w:val="00C35937"/>
    <w:rsid w:val="00C35EE8"/>
    <w:rsid w:val="00C36826"/>
    <w:rsid w:val="00C369D9"/>
    <w:rsid w:val="00C4000B"/>
    <w:rsid w:val="00C42176"/>
    <w:rsid w:val="00C468DA"/>
    <w:rsid w:val="00C50669"/>
    <w:rsid w:val="00C513CE"/>
    <w:rsid w:val="00C53089"/>
    <w:rsid w:val="00C53417"/>
    <w:rsid w:val="00C54488"/>
    <w:rsid w:val="00C56F7A"/>
    <w:rsid w:val="00C57FD6"/>
    <w:rsid w:val="00C61A92"/>
    <w:rsid w:val="00C62210"/>
    <w:rsid w:val="00C629B5"/>
    <w:rsid w:val="00C62D1F"/>
    <w:rsid w:val="00C64766"/>
    <w:rsid w:val="00C65800"/>
    <w:rsid w:val="00C6624F"/>
    <w:rsid w:val="00C66926"/>
    <w:rsid w:val="00C707F5"/>
    <w:rsid w:val="00C722E7"/>
    <w:rsid w:val="00C722F9"/>
    <w:rsid w:val="00C736BF"/>
    <w:rsid w:val="00C73CC1"/>
    <w:rsid w:val="00C741C6"/>
    <w:rsid w:val="00C74553"/>
    <w:rsid w:val="00C74A55"/>
    <w:rsid w:val="00C81E2B"/>
    <w:rsid w:val="00C8347E"/>
    <w:rsid w:val="00C84A3F"/>
    <w:rsid w:val="00C86019"/>
    <w:rsid w:val="00C87C0C"/>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2E9C"/>
    <w:rsid w:val="00CD4F9C"/>
    <w:rsid w:val="00CD69EF"/>
    <w:rsid w:val="00CE0B1E"/>
    <w:rsid w:val="00CE3837"/>
    <w:rsid w:val="00CE4874"/>
    <w:rsid w:val="00CE5373"/>
    <w:rsid w:val="00CE5F90"/>
    <w:rsid w:val="00CE6D20"/>
    <w:rsid w:val="00CE78B2"/>
    <w:rsid w:val="00CF129E"/>
    <w:rsid w:val="00CF173E"/>
    <w:rsid w:val="00CF3A04"/>
    <w:rsid w:val="00CF3E07"/>
    <w:rsid w:val="00CF57EC"/>
    <w:rsid w:val="00CF6003"/>
    <w:rsid w:val="00CF685C"/>
    <w:rsid w:val="00CF738C"/>
    <w:rsid w:val="00CF7907"/>
    <w:rsid w:val="00D0047C"/>
    <w:rsid w:val="00D00FE3"/>
    <w:rsid w:val="00D03965"/>
    <w:rsid w:val="00D04FDA"/>
    <w:rsid w:val="00D05999"/>
    <w:rsid w:val="00D05EFB"/>
    <w:rsid w:val="00D06D84"/>
    <w:rsid w:val="00D06EBA"/>
    <w:rsid w:val="00D10BF5"/>
    <w:rsid w:val="00D126D0"/>
    <w:rsid w:val="00D15456"/>
    <w:rsid w:val="00D15459"/>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37FA3"/>
    <w:rsid w:val="00D4127F"/>
    <w:rsid w:val="00D4615D"/>
    <w:rsid w:val="00D52118"/>
    <w:rsid w:val="00D525D8"/>
    <w:rsid w:val="00D5434B"/>
    <w:rsid w:val="00D54436"/>
    <w:rsid w:val="00D54DB2"/>
    <w:rsid w:val="00D551DF"/>
    <w:rsid w:val="00D5628F"/>
    <w:rsid w:val="00D60A89"/>
    <w:rsid w:val="00D61324"/>
    <w:rsid w:val="00D616B6"/>
    <w:rsid w:val="00D619D2"/>
    <w:rsid w:val="00D64194"/>
    <w:rsid w:val="00D65EC6"/>
    <w:rsid w:val="00D6636E"/>
    <w:rsid w:val="00D66683"/>
    <w:rsid w:val="00D70B8B"/>
    <w:rsid w:val="00D70ED2"/>
    <w:rsid w:val="00D71CD1"/>
    <w:rsid w:val="00D73857"/>
    <w:rsid w:val="00D73CBF"/>
    <w:rsid w:val="00D74C8B"/>
    <w:rsid w:val="00D75539"/>
    <w:rsid w:val="00D75937"/>
    <w:rsid w:val="00D7606C"/>
    <w:rsid w:val="00D76C7F"/>
    <w:rsid w:val="00D81755"/>
    <w:rsid w:val="00D825B5"/>
    <w:rsid w:val="00D840DE"/>
    <w:rsid w:val="00D8749B"/>
    <w:rsid w:val="00D93D3D"/>
    <w:rsid w:val="00D945AC"/>
    <w:rsid w:val="00D94B3E"/>
    <w:rsid w:val="00D97E3B"/>
    <w:rsid w:val="00DA0839"/>
    <w:rsid w:val="00DA1EEA"/>
    <w:rsid w:val="00DA24D5"/>
    <w:rsid w:val="00DA2AA9"/>
    <w:rsid w:val="00DA315D"/>
    <w:rsid w:val="00DA4F02"/>
    <w:rsid w:val="00DA4F68"/>
    <w:rsid w:val="00DA5CBF"/>
    <w:rsid w:val="00DB1172"/>
    <w:rsid w:val="00DB11DC"/>
    <w:rsid w:val="00DB4DCB"/>
    <w:rsid w:val="00DB53BA"/>
    <w:rsid w:val="00DB69FE"/>
    <w:rsid w:val="00DB73EA"/>
    <w:rsid w:val="00DC1DAD"/>
    <w:rsid w:val="00DC250E"/>
    <w:rsid w:val="00DC2B00"/>
    <w:rsid w:val="00DC55AB"/>
    <w:rsid w:val="00DC561A"/>
    <w:rsid w:val="00DC6291"/>
    <w:rsid w:val="00DC7B8F"/>
    <w:rsid w:val="00DD040F"/>
    <w:rsid w:val="00DD07AD"/>
    <w:rsid w:val="00DD54E8"/>
    <w:rsid w:val="00DD653E"/>
    <w:rsid w:val="00DD6AE6"/>
    <w:rsid w:val="00DE167B"/>
    <w:rsid w:val="00DE18EC"/>
    <w:rsid w:val="00DE3C90"/>
    <w:rsid w:val="00DE3F9F"/>
    <w:rsid w:val="00DE43A1"/>
    <w:rsid w:val="00DE59D7"/>
    <w:rsid w:val="00DE6636"/>
    <w:rsid w:val="00DF0BEE"/>
    <w:rsid w:val="00DF17E1"/>
    <w:rsid w:val="00DF19D6"/>
    <w:rsid w:val="00DF28D3"/>
    <w:rsid w:val="00DF6E46"/>
    <w:rsid w:val="00E00535"/>
    <w:rsid w:val="00E03A06"/>
    <w:rsid w:val="00E03E34"/>
    <w:rsid w:val="00E04ACD"/>
    <w:rsid w:val="00E04B31"/>
    <w:rsid w:val="00E04D3F"/>
    <w:rsid w:val="00E050F5"/>
    <w:rsid w:val="00E07E47"/>
    <w:rsid w:val="00E1137A"/>
    <w:rsid w:val="00E116B6"/>
    <w:rsid w:val="00E130AC"/>
    <w:rsid w:val="00E13761"/>
    <w:rsid w:val="00E14903"/>
    <w:rsid w:val="00E15C25"/>
    <w:rsid w:val="00E160B4"/>
    <w:rsid w:val="00E1678F"/>
    <w:rsid w:val="00E176DD"/>
    <w:rsid w:val="00E20A9D"/>
    <w:rsid w:val="00E2113C"/>
    <w:rsid w:val="00E24A13"/>
    <w:rsid w:val="00E250CE"/>
    <w:rsid w:val="00E25F5C"/>
    <w:rsid w:val="00E269A5"/>
    <w:rsid w:val="00E26C29"/>
    <w:rsid w:val="00E27010"/>
    <w:rsid w:val="00E2742E"/>
    <w:rsid w:val="00E27C73"/>
    <w:rsid w:val="00E32F38"/>
    <w:rsid w:val="00E33EFC"/>
    <w:rsid w:val="00E35705"/>
    <w:rsid w:val="00E35CA2"/>
    <w:rsid w:val="00E363EF"/>
    <w:rsid w:val="00E36B59"/>
    <w:rsid w:val="00E37749"/>
    <w:rsid w:val="00E4224C"/>
    <w:rsid w:val="00E43EF0"/>
    <w:rsid w:val="00E44B36"/>
    <w:rsid w:val="00E44E47"/>
    <w:rsid w:val="00E4563A"/>
    <w:rsid w:val="00E504B7"/>
    <w:rsid w:val="00E51216"/>
    <w:rsid w:val="00E51DB4"/>
    <w:rsid w:val="00E52F21"/>
    <w:rsid w:val="00E54F77"/>
    <w:rsid w:val="00E555E7"/>
    <w:rsid w:val="00E57371"/>
    <w:rsid w:val="00E60F74"/>
    <w:rsid w:val="00E61AAC"/>
    <w:rsid w:val="00E61E2A"/>
    <w:rsid w:val="00E63A67"/>
    <w:rsid w:val="00E669B5"/>
    <w:rsid w:val="00E66DEF"/>
    <w:rsid w:val="00E67240"/>
    <w:rsid w:val="00E70219"/>
    <w:rsid w:val="00E71761"/>
    <w:rsid w:val="00E7351E"/>
    <w:rsid w:val="00E73833"/>
    <w:rsid w:val="00E756F9"/>
    <w:rsid w:val="00E75EAD"/>
    <w:rsid w:val="00E76B9C"/>
    <w:rsid w:val="00E824F9"/>
    <w:rsid w:val="00E825E5"/>
    <w:rsid w:val="00E83803"/>
    <w:rsid w:val="00E83A6A"/>
    <w:rsid w:val="00E859FE"/>
    <w:rsid w:val="00E86C42"/>
    <w:rsid w:val="00E8791E"/>
    <w:rsid w:val="00E91F0E"/>
    <w:rsid w:val="00E92DB4"/>
    <w:rsid w:val="00E936F6"/>
    <w:rsid w:val="00E96B03"/>
    <w:rsid w:val="00E96DAE"/>
    <w:rsid w:val="00EA0E72"/>
    <w:rsid w:val="00EA6AF8"/>
    <w:rsid w:val="00EA7506"/>
    <w:rsid w:val="00EB09D6"/>
    <w:rsid w:val="00EB2255"/>
    <w:rsid w:val="00EB2CFB"/>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6B38"/>
    <w:rsid w:val="00EE009D"/>
    <w:rsid w:val="00EE10DC"/>
    <w:rsid w:val="00EE30A0"/>
    <w:rsid w:val="00EE3800"/>
    <w:rsid w:val="00EE405D"/>
    <w:rsid w:val="00EE42E8"/>
    <w:rsid w:val="00EE584A"/>
    <w:rsid w:val="00EE625D"/>
    <w:rsid w:val="00EE6D75"/>
    <w:rsid w:val="00EE76E8"/>
    <w:rsid w:val="00EF00C1"/>
    <w:rsid w:val="00EF1C19"/>
    <w:rsid w:val="00EF4F7D"/>
    <w:rsid w:val="00EF6F83"/>
    <w:rsid w:val="00EF7321"/>
    <w:rsid w:val="00EF7C3B"/>
    <w:rsid w:val="00EF7C3C"/>
    <w:rsid w:val="00EF7E5D"/>
    <w:rsid w:val="00F010DC"/>
    <w:rsid w:val="00F02271"/>
    <w:rsid w:val="00F101F8"/>
    <w:rsid w:val="00F118D1"/>
    <w:rsid w:val="00F12957"/>
    <w:rsid w:val="00F161BC"/>
    <w:rsid w:val="00F175C7"/>
    <w:rsid w:val="00F179CF"/>
    <w:rsid w:val="00F20B45"/>
    <w:rsid w:val="00F21406"/>
    <w:rsid w:val="00F22C00"/>
    <w:rsid w:val="00F23F7F"/>
    <w:rsid w:val="00F24103"/>
    <w:rsid w:val="00F25A3E"/>
    <w:rsid w:val="00F26EF7"/>
    <w:rsid w:val="00F27C39"/>
    <w:rsid w:val="00F30214"/>
    <w:rsid w:val="00F30877"/>
    <w:rsid w:val="00F311A6"/>
    <w:rsid w:val="00F31E49"/>
    <w:rsid w:val="00F338BD"/>
    <w:rsid w:val="00F35B0F"/>
    <w:rsid w:val="00F35C7F"/>
    <w:rsid w:val="00F371DE"/>
    <w:rsid w:val="00F372FE"/>
    <w:rsid w:val="00F3793D"/>
    <w:rsid w:val="00F42DD6"/>
    <w:rsid w:val="00F44D29"/>
    <w:rsid w:val="00F47630"/>
    <w:rsid w:val="00F5034E"/>
    <w:rsid w:val="00F510A4"/>
    <w:rsid w:val="00F51C4E"/>
    <w:rsid w:val="00F5205A"/>
    <w:rsid w:val="00F526FC"/>
    <w:rsid w:val="00F52748"/>
    <w:rsid w:val="00F5505B"/>
    <w:rsid w:val="00F575C8"/>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2B9"/>
    <w:rsid w:val="00FA5608"/>
    <w:rsid w:val="00FA5DB2"/>
    <w:rsid w:val="00FA6E18"/>
    <w:rsid w:val="00FA7050"/>
    <w:rsid w:val="00FC0424"/>
    <w:rsid w:val="00FC061B"/>
    <w:rsid w:val="00FC128D"/>
    <w:rsid w:val="00FC1F89"/>
    <w:rsid w:val="00FC2830"/>
    <w:rsid w:val="00FC3F23"/>
    <w:rsid w:val="00FC42E6"/>
    <w:rsid w:val="00FC48DC"/>
    <w:rsid w:val="00FC6FEE"/>
    <w:rsid w:val="00FC76CD"/>
    <w:rsid w:val="00FC78C6"/>
    <w:rsid w:val="00FC7DFE"/>
    <w:rsid w:val="00FD20FF"/>
    <w:rsid w:val="00FD47BD"/>
    <w:rsid w:val="00FD516A"/>
    <w:rsid w:val="00FD7124"/>
    <w:rsid w:val="00FE00F1"/>
    <w:rsid w:val="00FE1113"/>
    <w:rsid w:val="00FE231A"/>
    <w:rsid w:val="00FE2BC1"/>
    <w:rsid w:val="00FE462B"/>
    <w:rsid w:val="00FE4638"/>
    <w:rsid w:val="00FE558B"/>
    <w:rsid w:val="00FE5D21"/>
    <w:rsid w:val="00FE5DAB"/>
    <w:rsid w:val="00FF1627"/>
    <w:rsid w:val="00FF1E47"/>
    <w:rsid w:val="00FF26A7"/>
    <w:rsid w:val="00FF272C"/>
    <w:rsid w:val="00FF3489"/>
    <w:rsid w:val="00FF392D"/>
    <w:rsid w:val="00FF3B17"/>
    <w:rsid w:val="00FF41CA"/>
    <w:rsid w:val="00FF489E"/>
    <w:rsid w:val="00FF6007"/>
    <w:rsid w:val="00FF605D"/>
    <w:rsid w:val="00FF68E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9F"/>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BC409F"/>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BC409F"/>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BC409F"/>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BC409F"/>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BC409F"/>
    <w:pPr>
      <w:outlineLvl w:val="4"/>
    </w:pPr>
  </w:style>
  <w:style w:type="paragraph" w:styleId="Heading6">
    <w:name w:val="heading 6"/>
    <w:basedOn w:val="fcHeading2"/>
    <w:next w:val="ParaNumbering"/>
    <w:link w:val="Heading6Char"/>
    <w:uiPriority w:val="99"/>
    <w:qFormat/>
    <w:rsid w:val="00BC409F"/>
    <w:pPr>
      <w:outlineLvl w:val="5"/>
    </w:pPr>
  </w:style>
  <w:style w:type="paragraph" w:styleId="Heading7">
    <w:name w:val="heading 7"/>
    <w:basedOn w:val="fcHeading3"/>
    <w:next w:val="ParaNumbering"/>
    <w:link w:val="Heading7Char"/>
    <w:uiPriority w:val="99"/>
    <w:qFormat/>
    <w:rsid w:val="00BC409F"/>
    <w:pPr>
      <w:outlineLvl w:val="6"/>
    </w:pPr>
  </w:style>
  <w:style w:type="paragraph" w:styleId="Heading8">
    <w:name w:val="heading 8"/>
    <w:basedOn w:val="fcHeading4"/>
    <w:next w:val="ParaNumbering"/>
    <w:link w:val="Heading8Char"/>
    <w:uiPriority w:val="99"/>
    <w:qFormat/>
    <w:rsid w:val="00BC409F"/>
    <w:pPr>
      <w:outlineLvl w:val="7"/>
    </w:pPr>
  </w:style>
  <w:style w:type="paragraph" w:styleId="Heading9">
    <w:name w:val="heading 9"/>
    <w:basedOn w:val="fcHeading5"/>
    <w:next w:val="ParaNumbering"/>
    <w:link w:val="Heading9Char"/>
    <w:uiPriority w:val="99"/>
    <w:qFormat/>
    <w:rsid w:val="00BC409F"/>
    <w:pPr>
      <w:outlineLvl w:val="8"/>
    </w:pPr>
    <w:rPr>
      <w:i/>
      <w:caps w:val="0"/>
      <w:smallCaps/>
    </w:rPr>
  </w:style>
  <w:style w:type="character" w:default="1" w:styleId="DefaultParagraphFont">
    <w:name w:val="Default Paragraph Font"/>
    <w:uiPriority w:val="99"/>
    <w:rsid w:val="00BC409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9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4369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4369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4369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4369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4369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4369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4369D"/>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4369D"/>
    <w:rPr>
      <w:rFonts w:asciiTheme="majorHAnsi" w:eastAsiaTheme="majorEastAsia" w:hAnsiTheme="majorHAnsi" w:cstheme="majorBidi"/>
      <w:lang w:eastAsia="en-US"/>
    </w:rPr>
  </w:style>
  <w:style w:type="paragraph" w:customStyle="1" w:styleId="OrdersPage">
    <w:name w:val="OrdersPage"/>
    <w:basedOn w:val="Normal"/>
    <w:uiPriority w:val="99"/>
    <w:semiHidden/>
    <w:rsid w:val="00BC409F"/>
    <w:pPr>
      <w:spacing w:line="240" w:lineRule="auto"/>
    </w:pPr>
  </w:style>
  <w:style w:type="paragraph" w:styleId="Header">
    <w:name w:val="header"/>
    <w:basedOn w:val="Normal"/>
    <w:link w:val="HeaderChar"/>
    <w:uiPriority w:val="99"/>
    <w:semiHidden/>
    <w:rsid w:val="00BC409F"/>
    <w:pPr>
      <w:tabs>
        <w:tab w:val="center" w:pos="4320"/>
        <w:tab w:val="right" w:pos="8640"/>
      </w:tabs>
    </w:pPr>
  </w:style>
  <w:style w:type="character" w:customStyle="1" w:styleId="HeaderChar">
    <w:name w:val="Header Char"/>
    <w:basedOn w:val="DefaultParagraphFont"/>
    <w:link w:val="Header"/>
    <w:uiPriority w:val="99"/>
    <w:semiHidden/>
    <w:rsid w:val="00C4369D"/>
    <w:rPr>
      <w:sz w:val="24"/>
      <w:szCs w:val="20"/>
      <w:lang w:eastAsia="en-US"/>
    </w:rPr>
  </w:style>
  <w:style w:type="paragraph" w:styleId="Footer">
    <w:name w:val="footer"/>
    <w:basedOn w:val="Normal"/>
    <w:link w:val="FooterChar"/>
    <w:uiPriority w:val="99"/>
    <w:semiHidden/>
    <w:rsid w:val="00BC409F"/>
    <w:pPr>
      <w:tabs>
        <w:tab w:val="center" w:pos="4320"/>
        <w:tab w:val="right" w:pos="8640"/>
      </w:tabs>
    </w:pPr>
  </w:style>
  <w:style w:type="character" w:customStyle="1" w:styleId="FooterChar">
    <w:name w:val="Footer Char"/>
    <w:basedOn w:val="DefaultParagraphFont"/>
    <w:link w:val="Footer"/>
    <w:uiPriority w:val="99"/>
    <w:semiHidden/>
    <w:rsid w:val="00C4369D"/>
    <w:rPr>
      <w:sz w:val="24"/>
      <w:szCs w:val="20"/>
      <w:lang w:eastAsia="en-US"/>
    </w:rPr>
  </w:style>
  <w:style w:type="paragraph" w:customStyle="1" w:styleId="ParaNumbering">
    <w:name w:val="ParaNumbering"/>
    <w:basedOn w:val="Normal"/>
    <w:uiPriority w:val="99"/>
    <w:rsid w:val="00BC409F"/>
    <w:pPr>
      <w:numPr>
        <w:numId w:val="11"/>
      </w:numPr>
      <w:spacing w:before="180" w:after="180"/>
    </w:pPr>
  </w:style>
  <w:style w:type="paragraph" w:customStyle="1" w:styleId="Quote1">
    <w:name w:val="Quote1"/>
    <w:uiPriority w:val="99"/>
    <w:rsid w:val="00BC409F"/>
    <w:pPr>
      <w:widowControl w:val="0"/>
      <w:ind w:left="737" w:right="737"/>
      <w:jc w:val="both"/>
    </w:pPr>
    <w:rPr>
      <w:szCs w:val="20"/>
      <w:lang w:eastAsia="en-US"/>
    </w:rPr>
  </w:style>
  <w:style w:type="paragraph" w:customStyle="1" w:styleId="NormalHeadings">
    <w:name w:val="Normal Headings"/>
    <w:uiPriority w:val="99"/>
    <w:semiHidden/>
    <w:rsid w:val="00BC409F"/>
    <w:pPr>
      <w:widowControl w:val="0"/>
      <w:jc w:val="both"/>
    </w:pPr>
    <w:rPr>
      <w:b/>
      <w:sz w:val="24"/>
      <w:szCs w:val="20"/>
      <w:lang w:eastAsia="en-US"/>
    </w:rPr>
  </w:style>
  <w:style w:type="table" w:styleId="TableGrid">
    <w:name w:val="Table Grid"/>
    <w:basedOn w:val="TableNormal"/>
    <w:uiPriority w:val="99"/>
    <w:semiHidden/>
    <w:rsid w:val="00BC409F"/>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BC409F"/>
    <w:pPr>
      <w:spacing w:before="20" w:after="20"/>
      <w:jc w:val="center"/>
    </w:pPr>
    <w:rPr>
      <w:b/>
      <w:sz w:val="26"/>
    </w:rPr>
  </w:style>
  <w:style w:type="paragraph" w:customStyle="1" w:styleId="Normal1linespace">
    <w:name w:val="Normal1linespace"/>
    <w:basedOn w:val="Normal"/>
    <w:uiPriority w:val="99"/>
    <w:semiHidden/>
    <w:rsid w:val="00BC409F"/>
    <w:pPr>
      <w:spacing w:line="240" w:lineRule="auto"/>
    </w:pPr>
  </w:style>
  <w:style w:type="paragraph" w:styleId="BalloonText">
    <w:name w:val="Balloon Text"/>
    <w:basedOn w:val="Normal"/>
    <w:link w:val="BalloonTextChar"/>
    <w:uiPriority w:val="99"/>
    <w:semiHidden/>
    <w:rsid w:val="00BC409F"/>
    <w:rPr>
      <w:rFonts w:ascii="Tahoma" w:hAnsi="Tahoma" w:cs="Tahoma"/>
      <w:sz w:val="16"/>
      <w:szCs w:val="16"/>
    </w:rPr>
  </w:style>
  <w:style w:type="character" w:customStyle="1" w:styleId="BalloonTextChar">
    <w:name w:val="Balloon Text Char"/>
    <w:basedOn w:val="DefaultParagraphFont"/>
    <w:link w:val="BalloonText"/>
    <w:uiPriority w:val="99"/>
    <w:semiHidden/>
    <w:rsid w:val="00C4369D"/>
    <w:rPr>
      <w:sz w:val="0"/>
      <w:szCs w:val="0"/>
      <w:lang w:eastAsia="en-US"/>
    </w:rPr>
  </w:style>
  <w:style w:type="paragraph" w:customStyle="1" w:styleId="StyleBold">
    <w:name w:val="Style Bold"/>
    <w:basedOn w:val="Normal"/>
    <w:next w:val="Normal"/>
    <w:uiPriority w:val="99"/>
    <w:semiHidden/>
    <w:rsid w:val="00BC409F"/>
    <w:rPr>
      <w:szCs w:val="24"/>
    </w:rPr>
  </w:style>
  <w:style w:type="paragraph" w:customStyle="1" w:styleId="Bold">
    <w:name w:val="Bold"/>
    <w:basedOn w:val="Normal"/>
    <w:next w:val="Normal"/>
    <w:uiPriority w:val="99"/>
    <w:semiHidden/>
    <w:rsid w:val="00BC409F"/>
    <w:pPr>
      <w:suppressAutoHyphens/>
      <w:jc w:val="left"/>
    </w:pPr>
    <w:rPr>
      <w:b/>
      <w:szCs w:val="24"/>
    </w:rPr>
  </w:style>
  <w:style w:type="paragraph" w:customStyle="1" w:styleId="Certify">
    <w:name w:val="Certify"/>
    <w:basedOn w:val="Normal"/>
    <w:link w:val="CertifyChar"/>
    <w:uiPriority w:val="99"/>
    <w:semiHidden/>
    <w:rsid w:val="00BC409F"/>
    <w:pPr>
      <w:spacing w:line="240" w:lineRule="auto"/>
    </w:pPr>
    <w:rPr>
      <w:szCs w:val="24"/>
    </w:rPr>
  </w:style>
  <w:style w:type="character" w:styleId="CommentReference">
    <w:name w:val="annotation reference"/>
    <w:basedOn w:val="DefaultParagraphFont"/>
    <w:uiPriority w:val="99"/>
    <w:semiHidden/>
    <w:rsid w:val="00BC409F"/>
    <w:rPr>
      <w:rFonts w:cs="Times New Roman"/>
      <w:sz w:val="16"/>
      <w:szCs w:val="16"/>
    </w:rPr>
  </w:style>
  <w:style w:type="paragraph" w:styleId="CommentText">
    <w:name w:val="annotation text"/>
    <w:basedOn w:val="Normal"/>
    <w:link w:val="CommentTextChar"/>
    <w:uiPriority w:val="99"/>
    <w:semiHidden/>
    <w:rsid w:val="00BC409F"/>
    <w:rPr>
      <w:sz w:val="20"/>
    </w:rPr>
  </w:style>
  <w:style w:type="character" w:customStyle="1" w:styleId="CommentTextChar">
    <w:name w:val="Comment Text Char"/>
    <w:basedOn w:val="DefaultParagraphFont"/>
    <w:link w:val="CommentText"/>
    <w:uiPriority w:val="99"/>
    <w:semiHidden/>
    <w:rsid w:val="00C4369D"/>
    <w:rPr>
      <w:sz w:val="20"/>
      <w:szCs w:val="20"/>
      <w:lang w:eastAsia="en-US"/>
    </w:rPr>
  </w:style>
  <w:style w:type="paragraph" w:styleId="CommentSubject">
    <w:name w:val="annotation subject"/>
    <w:basedOn w:val="CommentText"/>
    <w:next w:val="CommentText"/>
    <w:link w:val="CommentSubjectChar"/>
    <w:uiPriority w:val="99"/>
    <w:semiHidden/>
    <w:rsid w:val="00BC409F"/>
    <w:rPr>
      <w:b/>
      <w:bCs/>
    </w:rPr>
  </w:style>
  <w:style w:type="character" w:customStyle="1" w:styleId="CommentSubjectChar">
    <w:name w:val="Comment Subject Char"/>
    <w:basedOn w:val="CommentTextChar"/>
    <w:link w:val="CommentSubject"/>
    <w:uiPriority w:val="99"/>
    <w:semiHidden/>
    <w:rsid w:val="00C4369D"/>
    <w:rPr>
      <w:b/>
      <w:bCs/>
    </w:rPr>
  </w:style>
  <w:style w:type="paragraph" w:customStyle="1" w:styleId="FCBullets">
    <w:name w:val="FCBullets"/>
    <w:basedOn w:val="Normal"/>
    <w:uiPriority w:val="99"/>
    <w:rsid w:val="00BC409F"/>
    <w:pPr>
      <w:numPr>
        <w:numId w:val="41"/>
      </w:numPr>
      <w:spacing w:before="60" w:after="60"/>
    </w:pPr>
  </w:style>
  <w:style w:type="paragraph" w:customStyle="1" w:styleId="JudgeStyle">
    <w:name w:val="JudgeStyle"/>
    <w:basedOn w:val="Heading1"/>
    <w:next w:val="ParaNumbering"/>
    <w:uiPriority w:val="99"/>
    <w:semiHidden/>
    <w:rsid w:val="00BC409F"/>
  </w:style>
  <w:style w:type="paragraph" w:styleId="TOC1">
    <w:name w:val="toc 1"/>
    <w:basedOn w:val="Normal"/>
    <w:next w:val="Normal"/>
    <w:autoRedefine/>
    <w:uiPriority w:val="99"/>
    <w:semiHidden/>
    <w:rsid w:val="00BC409F"/>
    <w:pPr>
      <w:tabs>
        <w:tab w:val="right" w:leader="dot" w:pos="9071"/>
      </w:tabs>
    </w:pPr>
  </w:style>
  <w:style w:type="paragraph" w:styleId="TOC2">
    <w:name w:val="toc 2"/>
    <w:basedOn w:val="Normal"/>
    <w:next w:val="Normal"/>
    <w:autoRedefine/>
    <w:uiPriority w:val="99"/>
    <w:semiHidden/>
    <w:rsid w:val="00BC409F"/>
    <w:pPr>
      <w:tabs>
        <w:tab w:val="right" w:leader="dot" w:pos="9071"/>
      </w:tabs>
      <w:ind w:left="240"/>
    </w:pPr>
  </w:style>
  <w:style w:type="paragraph" w:styleId="TOC3">
    <w:name w:val="toc 3"/>
    <w:basedOn w:val="Normal"/>
    <w:next w:val="Normal"/>
    <w:autoRedefine/>
    <w:uiPriority w:val="99"/>
    <w:semiHidden/>
    <w:rsid w:val="00BC409F"/>
    <w:pPr>
      <w:tabs>
        <w:tab w:val="right" w:leader="dot" w:pos="9071"/>
      </w:tabs>
      <w:ind w:left="480"/>
    </w:pPr>
  </w:style>
  <w:style w:type="paragraph" w:styleId="TOC4">
    <w:name w:val="toc 4"/>
    <w:basedOn w:val="Normal"/>
    <w:next w:val="Normal"/>
    <w:autoRedefine/>
    <w:uiPriority w:val="99"/>
    <w:semiHidden/>
    <w:rsid w:val="00BC409F"/>
    <w:pPr>
      <w:tabs>
        <w:tab w:val="right" w:leader="dot" w:pos="9071"/>
      </w:tabs>
      <w:ind w:left="720"/>
    </w:pPr>
  </w:style>
  <w:style w:type="paragraph" w:customStyle="1" w:styleId="NoNum">
    <w:name w:val="No Num"/>
    <w:basedOn w:val="Normal1linespace"/>
    <w:uiPriority w:val="99"/>
    <w:rsid w:val="00BC409F"/>
    <w:pPr>
      <w:spacing w:before="120" w:after="180" w:line="360" w:lineRule="auto"/>
    </w:pPr>
  </w:style>
  <w:style w:type="paragraph" w:customStyle="1" w:styleId="AppealTable">
    <w:name w:val="AppealTable"/>
    <w:basedOn w:val="Normal"/>
    <w:uiPriority w:val="99"/>
    <w:rsid w:val="00BC409F"/>
    <w:pPr>
      <w:spacing w:line="240" w:lineRule="auto"/>
      <w:jc w:val="left"/>
    </w:pPr>
    <w:rPr>
      <w:b/>
      <w:caps/>
      <w:sz w:val="22"/>
      <w:szCs w:val="22"/>
    </w:rPr>
  </w:style>
  <w:style w:type="paragraph" w:customStyle="1" w:styleId="Quote3">
    <w:name w:val="Quote3"/>
    <w:basedOn w:val="Quote1"/>
    <w:uiPriority w:val="99"/>
    <w:rsid w:val="00BC409F"/>
    <w:pPr>
      <w:ind w:left="2160"/>
    </w:pPr>
  </w:style>
  <w:style w:type="paragraph" w:customStyle="1" w:styleId="Quote2">
    <w:name w:val="Quote2"/>
    <w:basedOn w:val="Quote1"/>
    <w:uiPriority w:val="99"/>
    <w:rsid w:val="00BC409F"/>
    <w:pPr>
      <w:ind w:left="1440"/>
    </w:pPr>
  </w:style>
  <w:style w:type="paragraph" w:customStyle="1" w:styleId="FTOC1">
    <w:name w:val="FTOC 1"/>
    <w:basedOn w:val="Normal"/>
    <w:uiPriority w:val="99"/>
    <w:semiHidden/>
    <w:rsid w:val="00BC409F"/>
    <w:pPr>
      <w:tabs>
        <w:tab w:val="right" w:leader="dot" w:pos="9072"/>
      </w:tabs>
      <w:spacing w:before="120" w:after="60" w:line="240" w:lineRule="auto"/>
    </w:pPr>
    <w:rPr>
      <w:b/>
      <w:caps/>
      <w:kern w:val="28"/>
    </w:rPr>
  </w:style>
  <w:style w:type="paragraph" w:customStyle="1" w:styleId="ListNo">
    <w:name w:val="List No"/>
    <w:basedOn w:val="Normal"/>
    <w:uiPriority w:val="99"/>
    <w:rsid w:val="00BC409F"/>
    <w:pPr>
      <w:spacing w:before="60" w:after="60"/>
    </w:pPr>
  </w:style>
  <w:style w:type="paragraph" w:customStyle="1" w:styleId="FTOC2">
    <w:name w:val="FTOC 2"/>
    <w:basedOn w:val="Normal"/>
    <w:uiPriority w:val="99"/>
    <w:semiHidden/>
    <w:rsid w:val="00BC409F"/>
    <w:pPr>
      <w:tabs>
        <w:tab w:val="right" w:leader="dot" w:pos="9072"/>
      </w:tabs>
      <w:spacing w:before="120" w:after="60" w:line="240" w:lineRule="auto"/>
      <w:ind w:left="238"/>
    </w:pPr>
    <w:rPr>
      <w:b/>
    </w:rPr>
  </w:style>
  <w:style w:type="paragraph" w:customStyle="1" w:styleId="FTOC3">
    <w:name w:val="FTOC 3"/>
    <w:basedOn w:val="Normal"/>
    <w:uiPriority w:val="99"/>
    <w:semiHidden/>
    <w:rsid w:val="00BC409F"/>
    <w:pPr>
      <w:tabs>
        <w:tab w:val="right" w:leader="dot" w:pos="9072"/>
      </w:tabs>
      <w:spacing w:before="120" w:after="60" w:line="240" w:lineRule="auto"/>
      <w:ind w:left="482"/>
    </w:pPr>
    <w:rPr>
      <w:b/>
      <w:i/>
    </w:rPr>
  </w:style>
  <w:style w:type="paragraph" w:customStyle="1" w:styleId="FTOC4">
    <w:name w:val="FTOC 4"/>
    <w:basedOn w:val="Normal"/>
    <w:uiPriority w:val="99"/>
    <w:semiHidden/>
    <w:rsid w:val="00BC409F"/>
    <w:pPr>
      <w:tabs>
        <w:tab w:val="right" w:leader="dot" w:pos="9072"/>
      </w:tabs>
      <w:spacing w:before="120" w:after="60" w:line="240" w:lineRule="auto"/>
      <w:ind w:left="720"/>
    </w:pPr>
    <w:rPr>
      <w:b/>
      <w:smallCaps/>
    </w:rPr>
  </w:style>
  <w:style w:type="character" w:customStyle="1" w:styleId="ListNumberChar">
    <w:name w:val="List Number Char"/>
    <w:basedOn w:val="DefaultParagraphFont"/>
    <w:link w:val="ListNumber"/>
    <w:uiPriority w:val="99"/>
    <w:semiHidden/>
    <w:locked/>
    <w:rsid w:val="007D4A47"/>
    <w:rPr>
      <w:sz w:val="24"/>
      <w:szCs w:val="20"/>
      <w:lang w:eastAsia="en-US"/>
    </w:rPr>
  </w:style>
  <w:style w:type="paragraph" w:styleId="TOC5">
    <w:name w:val="toc 5"/>
    <w:basedOn w:val="Normal"/>
    <w:next w:val="Normal"/>
    <w:autoRedefine/>
    <w:uiPriority w:val="99"/>
    <w:semiHidden/>
    <w:rsid w:val="00BC409F"/>
    <w:pPr>
      <w:tabs>
        <w:tab w:val="right" w:leader="dot" w:pos="9072"/>
      </w:tabs>
      <w:ind w:left="960"/>
    </w:pPr>
  </w:style>
  <w:style w:type="paragraph" w:styleId="BlockText">
    <w:name w:val="Block Text"/>
    <w:basedOn w:val="Normal"/>
    <w:uiPriority w:val="99"/>
    <w:semiHidden/>
    <w:rsid w:val="00BC409F"/>
    <w:pPr>
      <w:spacing w:after="120"/>
      <w:ind w:left="1440" w:right="1440"/>
    </w:pPr>
  </w:style>
  <w:style w:type="paragraph" w:styleId="BodyText">
    <w:name w:val="Body Text"/>
    <w:basedOn w:val="Normal"/>
    <w:link w:val="BodyTextChar"/>
    <w:uiPriority w:val="99"/>
    <w:semiHidden/>
    <w:rsid w:val="00BC409F"/>
    <w:pPr>
      <w:spacing w:after="120"/>
    </w:pPr>
  </w:style>
  <w:style w:type="character" w:customStyle="1" w:styleId="BodyTextChar">
    <w:name w:val="Body Text Char"/>
    <w:basedOn w:val="DefaultParagraphFont"/>
    <w:link w:val="BodyText"/>
    <w:uiPriority w:val="99"/>
    <w:semiHidden/>
    <w:rsid w:val="00C4369D"/>
    <w:rPr>
      <w:sz w:val="24"/>
      <w:szCs w:val="20"/>
      <w:lang w:eastAsia="en-US"/>
    </w:rPr>
  </w:style>
  <w:style w:type="paragraph" w:styleId="BodyText2">
    <w:name w:val="Body Text 2"/>
    <w:basedOn w:val="Normal"/>
    <w:link w:val="BodyText2Char"/>
    <w:uiPriority w:val="99"/>
    <w:semiHidden/>
    <w:rsid w:val="00BC409F"/>
    <w:pPr>
      <w:spacing w:after="120" w:line="480" w:lineRule="auto"/>
    </w:pPr>
  </w:style>
  <w:style w:type="character" w:customStyle="1" w:styleId="BodyText2Char">
    <w:name w:val="Body Text 2 Char"/>
    <w:basedOn w:val="DefaultParagraphFont"/>
    <w:link w:val="BodyText2"/>
    <w:uiPriority w:val="99"/>
    <w:semiHidden/>
    <w:rsid w:val="00C4369D"/>
    <w:rPr>
      <w:sz w:val="24"/>
      <w:szCs w:val="20"/>
      <w:lang w:eastAsia="en-US"/>
    </w:rPr>
  </w:style>
  <w:style w:type="paragraph" w:styleId="BodyText3">
    <w:name w:val="Body Text 3"/>
    <w:basedOn w:val="Normal"/>
    <w:link w:val="BodyText3Char"/>
    <w:uiPriority w:val="99"/>
    <w:semiHidden/>
    <w:rsid w:val="00BC409F"/>
    <w:pPr>
      <w:spacing w:after="120"/>
    </w:pPr>
    <w:rPr>
      <w:sz w:val="16"/>
      <w:szCs w:val="16"/>
    </w:rPr>
  </w:style>
  <w:style w:type="character" w:customStyle="1" w:styleId="BodyText3Char">
    <w:name w:val="Body Text 3 Char"/>
    <w:basedOn w:val="DefaultParagraphFont"/>
    <w:link w:val="BodyText3"/>
    <w:uiPriority w:val="99"/>
    <w:semiHidden/>
    <w:rsid w:val="00C4369D"/>
    <w:rPr>
      <w:sz w:val="16"/>
      <w:szCs w:val="16"/>
      <w:lang w:eastAsia="en-US"/>
    </w:rPr>
  </w:style>
  <w:style w:type="paragraph" w:styleId="BodyTextFirstIndent">
    <w:name w:val="Body Text First Indent"/>
    <w:basedOn w:val="BodyText"/>
    <w:link w:val="BodyTextFirstIndentChar"/>
    <w:uiPriority w:val="99"/>
    <w:semiHidden/>
    <w:rsid w:val="00BC409F"/>
    <w:pPr>
      <w:ind w:firstLine="210"/>
    </w:pPr>
  </w:style>
  <w:style w:type="character" w:customStyle="1" w:styleId="BodyTextFirstIndentChar">
    <w:name w:val="Body Text First Indent Char"/>
    <w:basedOn w:val="BodyTextChar"/>
    <w:link w:val="BodyTextFirstIndent"/>
    <w:uiPriority w:val="99"/>
    <w:semiHidden/>
    <w:rsid w:val="00C4369D"/>
  </w:style>
  <w:style w:type="paragraph" w:styleId="BodyTextIndent">
    <w:name w:val="Body Text Indent"/>
    <w:basedOn w:val="Normal"/>
    <w:link w:val="BodyTextIndentChar"/>
    <w:uiPriority w:val="99"/>
    <w:semiHidden/>
    <w:rsid w:val="00BC409F"/>
    <w:pPr>
      <w:spacing w:after="120"/>
      <w:ind w:left="283"/>
    </w:pPr>
  </w:style>
  <w:style w:type="character" w:customStyle="1" w:styleId="BodyTextIndentChar">
    <w:name w:val="Body Text Indent Char"/>
    <w:basedOn w:val="DefaultParagraphFont"/>
    <w:link w:val="BodyTextIndent"/>
    <w:uiPriority w:val="99"/>
    <w:semiHidden/>
    <w:rsid w:val="00C4369D"/>
    <w:rPr>
      <w:sz w:val="24"/>
      <w:szCs w:val="20"/>
      <w:lang w:eastAsia="en-US"/>
    </w:rPr>
  </w:style>
  <w:style w:type="paragraph" w:styleId="BodyTextFirstIndent2">
    <w:name w:val="Body Text First Indent 2"/>
    <w:basedOn w:val="BodyTextIndent"/>
    <w:link w:val="BodyTextFirstIndent2Char"/>
    <w:uiPriority w:val="99"/>
    <w:semiHidden/>
    <w:rsid w:val="00BC409F"/>
    <w:pPr>
      <w:ind w:firstLine="210"/>
    </w:pPr>
  </w:style>
  <w:style w:type="character" w:customStyle="1" w:styleId="BodyTextFirstIndent2Char">
    <w:name w:val="Body Text First Indent 2 Char"/>
    <w:basedOn w:val="BodyTextIndentChar"/>
    <w:link w:val="BodyTextFirstIndent2"/>
    <w:uiPriority w:val="99"/>
    <w:semiHidden/>
    <w:rsid w:val="00C4369D"/>
  </w:style>
  <w:style w:type="paragraph" w:styleId="BodyTextIndent2">
    <w:name w:val="Body Text Indent 2"/>
    <w:basedOn w:val="Normal"/>
    <w:link w:val="BodyTextIndent2Char"/>
    <w:uiPriority w:val="99"/>
    <w:semiHidden/>
    <w:rsid w:val="00BC409F"/>
    <w:pPr>
      <w:spacing w:after="120" w:line="480" w:lineRule="auto"/>
      <w:ind w:left="283"/>
    </w:pPr>
  </w:style>
  <w:style w:type="character" w:customStyle="1" w:styleId="BodyTextIndent2Char">
    <w:name w:val="Body Text Indent 2 Char"/>
    <w:basedOn w:val="DefaultParagraphFont"/>
    <w:link w:val="BodyTextIndent2"/>
    <w:uiPriority w:val="99"/>
    <w:semiHidden/>
    <w:rsid w:val="00C4369D"/>
    <w:rPr>
      <w:sz w:val="24"/>
      <w:szCs w:val="20"/>
      <w:lang w:eastAsia="en-US"/>
    </w:rPr>
  </w:style>
  <w:style w:type="paragraph" w:styleId="BodyTextIndent3">
    <w:name w:val="Body Text Indent 3"/>
    <w:basedOn w:val="Normal"/>
    <w:link w:val="BodyTextIndent3Char"/>
    <w:uiPriority w:val="99"/>
    <w:semiHidden/>
    <w:rsid w:val="00BC40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369D"/>
    <w:rPr>
      <w:sz w:val="16"/>
      <w:szCs w:val="16"/>
      <w:lang w:eastAsia="en-US"/>
    </w:rPr>
  </w:style>
  <w:style w:type="paragraph" w:styleId="Closing">
    <w:name w:val="Closing"/>
    <w:basedOn w:val="Normal"/>
    <w:link w:val="ClosingChar"/>
    <w:uiPriority w:val="99"/>
    <w:semiHidden/>
    <w:rsid w:val="00BC409F"/>
    <w:pPr>
      <w:ind w:left="4252"/>
    </w:pPr>
  </w:style>
  <w:style w:type="character" w:customStyle="1" w:styleId="ClosingChar">
    <w:name w:val="Closing Char"/>
    <w:basedOn w:val="DefaultParagraphFont"/>
    <w:link w:val="Closing"/>
    <w:uiPriority w:val="99"/>
    <w:semiHidden/>
    <w:rsid w:val="00C4369D"/>
    <w:rPr>
      <w:sz w:val="24"/>
      <w:szCs w:val="20"/>
      <w:lang w:eastAsia="en-US"/>
    </w:rPr>
  </w:style>
  <w:style w:type="paragraph" w:styleId="Date">
    <w:name w:val="Date"/>
    <w:basedOn w:val="Normal"/>
    <w:next w:val="Normal"/>
    <w:link w:val="DateChar"/>
    <w:uiPriority w:val="99"/>
    <w:semiHidden/>
    <w:rsid w:val="00BC409F"/>
  </w:style>
  <w:style w:type="character" w:customStyle="1" w:styleId="DateChar">
    <w:name w:val="Date Char"/>
    <w:basedOn w:val="DefaultParagraphFont"/>
    <w:link w:val="Date"/>
    <w:uiPriority w:val="99"/>
    <w:semiHidden/>
    <w:rsid w:val="00C4369D"/>
    <w:rPr>
      <w:sz w:val="24"/>
      <w:szCs w:val="20"/>
      <w:lang w:eastAsia="en-US"/>
    </w:rPr>
  </w:style>
  <w:style w:type="paragraph" w:styleId="E-mailSignature">
    <w:name w:val="E-mail Signature"/>
    <w:basedOn w:val="Normal"/>
    <w:link w:val="E-mailSignatureChar"/>
    <w:uiPriority w:val="99"/>
    <w:semiHidden/>
    <w:rsid w:val="00BC409F"/>
  </w:style>
  <w:style w:type="character" w:customStyle="1" w:styleId="E-mailSignatureChar">
    <w:name w:val="E-mail Signature Char"/>
    <w:basedOn w:val="DefaultParagraphFont"/>
    <w:link w:val="E-mailSignature"/>
    <w:uiPriority w:val="99"/>
    <w:semiHidden/>
    <w:rsid w:val="00C4369D"/>
    <w:rPr>
      <w:sz w:val="24"/>
      <w:szCs w:val="20"/>
      <w:lang w:eastAsia="en-US"/>
    </w:rPr>
  </w:style>
  <w:style w:type="character" w:styleId="Emphasis">
    <w:name w:val="Emphasis"/>
    <w:basedOn w:val="DefaultParagraphFont"/>
    <w:uiPriority w:val="99"/>
    <w:qFormat/>
    <w:rsid w:val="00BC409F"/>
    <w:rPr>
      <w:rFonts w:cs="Times New Roman"/>
      <w:i/>
      <w:iCs/>
    </w:rPr>
  </w:style>
  <w:style w:type="paragraph" w:styleId="EnvelopeAddress">
    <w:name w:val="envelope address"/>
    <w:basedOn w:val="Normal"/>
    <w:uiPriority w:val="99"/>
    <w:semiHidden/>
    <w:rsid w:val="00BC409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BC409F"/>
    <w:rPr>
      <w:rFonts w:ascii="Arial" w:hAnsi="Arial" w:cs="Arial"/>
      <w:sz w:val="20"/>
    </w:rPr>
  </w:style>
  <w:style w:type="character" w:styleId="FollowedHyperlink">
    <w:name w:val="FollowedHyperlink"/>
    <w:basedOn w:val="DefaultParagraphFont"/>
    <w:uiPriority w:val="99"/>
    <w:semiHidden/>
    <w:rsid w:val="00BC409F"/>
    <w:rPr>
      <w:rFonts w:cs="Times New Roman"/>
      <w:color w:val="800080"/>
      <w:u w:val="single"/>
    </w:rPr>
  </w:style>
  <w:style w:type="character" w:styleId="HTMLAcronym">
    <w:name w:val="HTML Acronym"/>
    <w:basedOn w:val="DefaultParagraphFont"/>
    <w:uiPriority w:val="99"/>
    <w:semiHidden/>
    <w:rsid w:val="00BC409F"/>
    <w:rPr>
      <w:rFonts w:cs="Times New Roman"/>
    </w:rPr>
  </w:style>
  <w:style w:type="paragraph" w:styleId="HTMLAddress">
    <w:name w:val="HTML Address"/>
    <w:basedOn w:val="Normal"/>
    <w:link w:val="HTMLAddressChar"/>
    <w:uiPriority w:val="99"/>
    <w:semiHidden/>
    <w:rsid w:val="00BC409F"/>
    <w:rPr>
      <w:i/>
      <w:iCs/>
    </w:rPr>
  </w:style>
  <w:style w:type="character" w:customStyle="1" w:styleId="HTMLAddressChar">
    <w:name w:val="HTML Address Char"/>
    <w:basedOn w:val="DefaultParagraphFont"/>
    <w:link w:val="HTMLAddress"/>
    <w:uiPriority w:val="99"/>
    <w:semiHidden/>
    <w:rsid w:val="00C4369D"/>
    <w:rPr>
      <w:i/>
      <w:iCs/>
      <w:sz w:val="24"/>
      <w:szCs w:val="20"/>
      <w:lang w:eastAsia="en-US"/>
    </w:rPr>
  </w:style>
  <w:style w:type="character" w:styleId="HTMLCite">
    <w:name w:val="HTML Cite"/>
    <w:basedOn w:val="DefaultParagraphFont"/>
    <w:uiPriority w:val="99"/>
    <w:semiHidden/>
    <w:rsid w:val="00BC409F"/>
    <w:rPr>
      <w:rFonts w:cs="Times New Roman"/>
      <w:i/>
      <w:iCs/>
    </w:rPr>
  </w:style>
  <w:style w:type="character" w:styleId="HTMLCode">
    <w:name w:val="HTML Code"/>
    <w:basedOn w:val="DefaultParagraphFont"/>
    <w:uiPriority w:val="99"/>
    <w:semiHidden/>
    <w:rsid w:val="00BC409F"/>
    <w:rPr>
      <w:rFonts w:ascii="Courier New" w:hAnsi="Courier New" w:cs="Courier New"/>
      <w:sz w:val="20"/>
      <w:szCs w:val="20"/>
    </w:rPr>
  </w:style>
  <w:style w:type="character" w:styleId="HTMLDefinition">
    <w:name w:val="HTML Definition"/>
    <w:basedOn w:val="DefaultParagraphFont"/>
    <w:uiPriority w:val="99"/>
    <w:semiHidden/>
    <w:rsid w:val="00BC409F"/>
    <w:rPr>
      <w:rFonts w:cs="Times New Roman"/>
      <w:i/>
      <w:iCs/>
    </w:rPr>
  </w:style>
  <w:style w:type="character" w:styleId="HTMLKeyboard">
    <w:name w:val="HTML Keyboard"/>
    <w:basedOn w:val="DefaultParagraphFont"/>
    <w:uiPriority w:val="99"/>
    <w:semiHidden/>
    <w:rsid w:val="00BC409F"/>
    <w:rPr>
      <w:rFonts w:ascii="Courier New" w:hAnsi="Courier New" w:cs="Courier New"/>
      <w:sz w:val="20"/>
      <w:szCs w:val="20"/>
    </w:rPr>
  </w:style>
  <w:style w:type="paragraph" w:styleId="HTMLPreformatted">
    <w:name w:val="HTML Preformatted"/>
    <w:basedOn w:val="Normal"/>
    <w:link w:val="HTMLPreformattedChar"/>
    <w:uiPriority w:val="99"/>
    <w:semiHidden/>
    <w:rsid w:val="00BC409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4369D"/>
    <w:rPr>
      <w:rFonts w:ascii="Courier New" w:hAnsi="Courier New" w:cs="Courier New"/>
      <w:sz w:val="20"/>
      <w:szCs w:val="20"/>
      <w:lang w:eastAsia="en-US"/>
    </w:rPr>
  </w:style>
  <w:style w:type="character" w:styleId="HTMLSample">
    <w:name w:val="HTML Sample"/>
    <w:basedOn w:val="DefaultParagraphFont"/>
    <w:uiPriority w:val="99"/>
    <w:semiHidden/>
    <w:rsid w:val="00BC409F"/>
    <w:rPr>
      <w:rFonts w:ascii="Courier New" w:hAnsi="Courier New" w:cs="Courier New"/>
    </w:rPr>
  </w:style>
  <w:style w:type="character" w:styleId="HTMLTypewriter">
    <w:name w:val="HTML Typewriter"/>
    <w:basedOn w:val="DefaultParagraphFont"/>
    <w:uiPriority w:val="99"/>
    <w:semiHidden/>
    <w:rsid w:val="00BC409F"/>
    <w:rPr>
      <w:rFonts w:ascii="Courier New" w:hAnsi="Courier New" w:cs="Courier New"/>
      <w:sz w:val="20"/>
      <w:szCs w:val="20"/>
    </w:rPr>
  </w:style>
  <w:style w:type="character" w:styleId="HTMLVariable">
    <w:name w:val="HTML Variable"/>
    <w:basedOn w:val="DefaultParagraphFont"/>
    <w:uiPriority w:val="99"/>
    <w:semiHidden/>
    <w:rsid w:val="00BC409F"/>
    <w:rPr>
      <w:rFonts w:cs="Times New Roman"/>
      <w:i/>
      <w:iCs/>
    </w:rPr>
  </w:style>
  <w:style w:type="character" w:styleId="Hyperlink">
    <w:name w:val="Hyperlink"/>
    <w:basedOn w:val="DefaultParagraphFont"/>
    <w:uiPriority w:val="99"/>
    <w:semiHidden/>
    <w:rsid w:val="00BC409F"/>
    <w:rPr>
      <w:rFonts w:cs="Times New Roman"/>
      <w:color w:val="0000FF"/>
      <w:u w:val="single"/>
    </w:rPr>
  </w:style>
  <w:style w:type="character" w:styleId="LineNumber">
    <w:name w:val="line number"/>
    <w:basedOn w:val="DefaultParagraphFont"/>
    <w:uiPriority w:val="99"/>
    <w:semiHidden/>
    <w:rsid w:val="00BC409F"/>
    <w:rPr>
      <w:rFonts w:cs="Times New Roman"/>
    </w:rPr>
  </w:style>
  <w:style w:type="paragraph" w:styleId="List">
    <w:name w:val="List"/>
    <w:basedOn w:val="Normal"/>
    <w:uiPriority w:val="99"/>
    <w:semiHidden/>
    <w:rsid w:val="00BC409F"/>
    <w:pPr>
      <w:ind w:left="283" w:hanging="283"/>
    </w:pPr>
  </w:style>
  <w:style w:type="paragraph" w:styleId="List2">
    <w:name w:val="List 2"/>
    <w:basedOn w:val="Normal"/>
    <w:uiPriority w:val="99"/>
    <w:semiHidden/>
    <w:rsid w:val="00BC409F"/>
    <w:pPr>
      <w:ind w:left="566" w:hanging="283"/>
    </w:pPr>
  </w:style>
  <w:style w:type="paragraph" w:styleId="List3">
    <w:name w:val="List 3"/>
    <w:basedOn w:val="Normal"/>
    <w:uiPriority w:val="99"/>
    <w:semiHidden/>
    <w:rsid w:val="00BC409F"/>
    <w:pPr>
      <w:ind w:left="849" w:hanging="283"/>
    </w:pPr>
  </w:style>
  <w:style w:type="paragraph" w:styleId="List4">
    <w:name w:val="List 4"/>
    <w:basedOn w:val="Normal"/>
    <w:uiPriority w:val="99"/>
    <w:semiHidden/>
    <w:rsid w:val="00BC409F"/>
    <w:pPr>
      <w:ind w:left="1132" w:hanging="283"/>
    </w:pPr>
  </w:style>
  <w:style w:type="paragraph" w:styleId="List5">
    <w:name w:val="List 5"/>
    <w:basedOn w:val="Normal"/>
    <w:uiPriority w:val="99"/>
    <w:semiHidden/>
    <w:rsid w:val="00BC409F"/>
    <w:pPr>
      <w:ind w:left="1415" w:hanging="283"/>
    </w:pPr>
  </w:style>
  <w:style w:type="paragraph" w:styleId="ListBullet">
    <w:name w:val="List Bullet"/>
    <w:basedOn w:val="Normal"/>
    <w:uiPriority w:val="99"/>
    <w:semiHidden/>
    <w:rsid w:val="00BC409F"/>
    <w:pPr>
      <w:numPr>
        <w:numId w:val="12"/>
      </w:numPr>
    </w:pPr>
  </w:style>
  <w:style w:type="paragraph" w:styleId="ListBullet2">
    <w:name w:val="List Bullet 2"/>
    <w:basedOn w:val="Normal"/>
    <w:uiPriority w:val="99"/>
    <w:semiHidden/>
    <w:rsid w:val="00BC409F"/>
    <w:pPr>
      <w:numPr>
        <w:numId w:val="13"/>
      </w:numPr>
    </w:pPr>
  </w:style>
  <w:style w:type="paragraph" w:styleId="ListBullet3">
    <w:name w:val="List Bullet 3"/>
    <w:basedOn w:val="Normal"/>
    <w:uiPriority w:val="99"/>
    <w:semiHidden/>
    <w:rsid w:val="00BC409F"/>
    <w:pPr>
      <w:numPr>
        <w:numId w:val="14"/>
      </w:numPr>
    </w:pPr>
  </w:style>
  <w:style w:type="paragraph" w:styleId="ListBullet4">
    <w:name w:val="List Bullet 4"/>
    <w:basedOn w:val="Normal"/>
    <w:uiPriority w:val="99"/>
    <w:semiHidden/>
    <w:rsid w:val="00BC409F"/>
    <w:pPr>
      <w:numPr>
        <w:numId w:val="15"/>
      </w:numPr>
    </w:pPr>
  </w:style>
  <w:style w:type="paragraph" w:styleId="ListBullet5">
    <w:name w:val="List Bullet 5"/>
    <w:basedOn w:val="Normal"/>
    <w:uiPriority w:val="99"/>
    <w:semiHidden/>
    <w:rsid w:val="00BC409F"/>
    <w:pPr>
      <w:numPr>
        <w:numId w:val="16"/>
      </w:numPr>
    </w:pPr>
  </w:style>
  <w:style w:type="paragraph" w:styleId="ListContinue">
    <w:name w:val="List Continue"/>
    <w:basedOn w:val="Normal"/>
    <w:uiPriority w:val="99"/>
    <w:semiHidden/>
    <w:rsid w:val="00BC409F"/>
    <w:pPr>
      <w:spacing w:after="120"/>
      <w:ind w:left="283"/>
    </w:pPr>
  </w:style>
  <w:style w:type="paragraph" w:styleId="ListContinue2">
    <w:name w:val="List Continue 2"/>
    <w:basedOn w:val="Normal"/>
    <w:uiPriority w:val="99"/>
    <w:semiHidden/>
    <w:rsid w:val="00BC409F"/>
    <w:pPr>
      <w:spacing w:after="120"/>
      <w:ind w:left="566"/>
    </w:pPr>
  </w:style>
  <w:style w:type="paragraph" w:styleId="ListContinue3">
    <w:name w:val="List Continue 3"/>
    <w:basedOn w:val="Normal"/>
    <w:uiPriority w:val="99"/>
    <w:semiHidden/>
    <w:rsid w:val="00BC409F"/>
    <w:pPr>
      <w:spacing w:after="120"/>
      <w:ind w:left="849"/>
    </w:pPr>
  </w:style>
  <w:style w:type="paragraph" w:styleId="ListContinue4">
    <w:name w:val="List Continue 4"/>
    <w:basedOn w:val="Normal"/>
    <w:uiPriority w:val="99"/>
    <w:semiHidden/>
    <w:rsid w:val="00BC409F"/>
    <w:pPr>
      <w:spacing w:after="120"/>
      <w:ind w:left="1132"/>
    </w:pPr>
  </w:style>
  <w:style w:type="paragraph" w:styleId="ListContinue5">
    <w:name w:val="List Continue 5"/>
    <w:basedOn w:val="Normal"/>
    <w:uiPriority w:val="99"/>
    <w:semiHidden/>
    <w:rsid w:val="00BC409F"/>
    <w:pPr>
      <w:spacing w:after="120"/>
      <w:ind w:left="1415"/>
    </w:pPr>
  </w:style>
  <w:style w:type="paragraph" w:styleId="ListNumber">
    <w:name w:val="List Number"/>
    <w:basedOn w:val="Normal"/>
    <w:link w:val="ListNumberChar"/>
    <w:uiPriority w:val="99"/>
    <w:semiHidden/>
    <w:rsid w:val="00BC409F"/>
    <w:pPr>
      <w:numPr>
        <w:numId w:val="17"/>
      </w:numPr>
    </w:pPr>
  </w:style>
  <w:style w:type="paragraph" w:styleId="ListNumber2">
    <w:name w:val="List Number 2"/>
    <w:basedOn w:val="Normal"/>
    <w:uiPriority w:val="99"/>
    <w:semiHidden/>
    <w:rsid w:val="00BC409F"/>
    <w:pPr>
      <w:numPr>
        <w:numId w:val="18"/>
      </w:numPr>
    </w:pPr>
  </w:style>
  <w:style w:type="paragraph" w:styleId="ListNumber3">
    <w:name w:val="List Number 3"/>
    <w:basedOn w:val="Normal"/>
    <w:uiPriority w:val="99"/>
    <w:semiHidden/>
    <w:rsid w:val="00BC409F"/>
    <w:pPr>
      <w:numPr>
        <w:numId w:val="19"/>
      </w:numPr>
    </w:pPr>
  </w:style>
  <w:style w:type="paragraph" w:styleId="ListNumber4">
    <w:name w:val="List Number 4"/>
    <w:basedOn w:val="Normal"/>
    <w:uiPriority w:val="99"/>
    <w:semiHidden/>
    <w:rsid w:val="00BC409F"/>
    <w:pPr>
      <w:numPr>
        <w:numId w:val="20"/>
      </w:numPr>
    </w:pPr>
  </w:style>
  <w:style w:type="paragraph" w:styleId="ListNumber5">
    <w:name w:val="List Number 5"/>
    <w:basedOn w:val="Normal"/>
    <w:uiPriority w:val="99"/>
    <w:semiHidden/>
    <w:rsid w:val="00BC409F"/>
    <w:pPr>
      <w:numPr>
        <w:numId w:val="21"/>
      </w:numPr>
    </w:pPr>
  </w:style>
  <w:style w:type="paragraph" w:styleId="MessageHeader">
    <w:name w:val="Message Header"/>
    <w:basedOn w:val="Normal"/>
    <w:link w:val="MessageHeaderChar"/>
    <w:uiPriority w:val="99"/>
    <w:semiHidden/>
    <w:rsid w:val="00BC40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C4369D"/>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BC409F"/>
    <w:rPr>
      <w:szCs w:val="24"/>
    </w:rPr>
  </w:style>
  <w:style w:type="paragraph" w:styleId="NormalIndent">
    <w:name w:val="Normal Indent"/>
    <w:basedOn w:val="Normal"/>
    <w:uiPriority w:val="99"/>
    <w:semiHidden/>
    <w:rsid w:val="00BC409F"/>
    <w:pPr>
      <w:ind w:left="720"/>
    </w:pPr>
  </w:style>
  <w:style w:type="paragraph" w:styleId="NoteHeading">
    <w:name w:val="Note Heading"/>
    <w:basedOn w:val="Normal"/>
    <w:next w:val="Normal"/>
    <w:link w:val="NoteHeadingChar"/>
    <w:uiPriority w:val="99"/>
    <w:semiHidden/>
    <w:rsid w:val="00BC409F"/>
  </w:style>
  <w:style w:type="character" w:customStyle="1" w:styleId="NoteHeadingChar">
    <w:name w:val="Note Heading Char"/>
    <w:basedOn w:val="DefaultParagraphFont"/>
    <w:link w:val="NoteHeading"/>
    <w:uiPriority w:val="99"/>
    <w:semiHidden/>
    <w:rsid w:val="00C4369D"/>
    <w:rPr>
      <w:sz w:val="24"/>
      <w:szCs w:val="20"/>
      <w:lang w:eastAsia="en-US"/>
    </w:rPr>
  </w:style>
  <w:style w:type="character" w:styleId="PageNumber">
    <w:name w:val="page number"/>
    <w:basedOn w:val="DefaultParagraphFont"/>
    <w:uiPriority w:val="99"/>
    <w:semiHidden/>
    <w:rsid w:val="00BC409F"/>
    <w:rPr>
      <w:rFonts w:cs="Times New Roman"/>
    </w:rPr>
  </w:style>
  <w:style w:type="paragraph" w:styleId="PlainText">
    <w:name w:val="Plain Text"/>
    <w:basedOn w:val="Normal"/>
    <w:link w:val="PlainTextChar"/>
    <w:uiPriority w:val="99"/>
    <w:semiHidden/>
    <w:rsid w:val="00BC409F"/>
    <w:rPr>
      <w:rFonts w:ascii="Courier New" w:hAnsi="Courier New" w:cs="Courier New"/>
      <w:sz w:val="20"/>
    </w:rPr>
  </w:style>
  <w:style w:type="character" w:customStyle="1" w:styleId="PlainTextChar">
    <w:name w:val="Plain Text Char"/>
    <w:basedOn w:val="DefaultParagraphFont"/>
    <w:link w:val="PlainText"/>
    <w:uiPriority w:val="99"/>
    <w:semiHidden/>
    <w:rsid w:val="00C4369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BC409F"/>
  </w:style>
  <w:style w:type="character" w:customStyle="1" w:styleId="SalutationChar">
    <w:name w:val="Salutation Char"/>
    <w:basedOn w:val="DefaultParagraphFont"/>
    <w:link w:val="Salutation"/>
    <w:uiPriority w:val="99"/>
    <w:semiHidden/>
    <w:rsid w:val="00C4369D"/>
    <w:rPr>
      <w:sz w:val="24"/>
      <w:szCs w:val="20"/>
      <w:lang w:eastAsia="en-US"/>
    </w:rPr>
  </w:style>
  <w:style w:type="paragraph" w:styleId="Signature">
    <w:name w:val="Signature"/>
    <w:basedOn w:val="Normal"/>
    <w:link w:val="SignatureChar"/>
    <w:uiPriority w:val="99"/>
    <w:semiHidden/>
    <w:rsid w:val="00BC409F"/>
    <w:pPr>
      <w:ind w:left="4252"/>
    </w:pPr>
  </w:style>
  <w:style w:type="character" w:customStyle="1" w:styleId="SignatureChar">
    <w:name w:val="Signature Char"/>
    <w:basedOn w:val="DefaultParagraphFont"/>
    <w:link w:val="Signature"/>
    <w:uiPriority w:val="99"/>
    <w:semiHidden/>
    <w:rsid w:val="00C4369D"/>
    <w:rPr>
      <w:sz w:val="24"/>
      <w:szCs w:val="20"/>
      <w:lang w:eastAsia="en-US"/>
    </w:rPr>
  </w:style>
  <w:style w:type="character" w:styleId="Strong">
    <w:name w:val="Strong"/>
    <w:basedOn w:val="DefaultParagraphFont"/>
    <w:uiPriority w:val="99"/>
    <w:qFormat/>
    <w:rsid w:val="00BC409F"/>
    <w:rPr>
      <w:rFonts w:cs="Times New Roman"/>
      <w:b/>
      <w:bCs/>
    </w:rPr>
  </w:style>
  <w:style w:type="paragraph" w:styleId="Subtitle">
    <w:name w:val="Subtitle"/>
    <w:basedOn w:val="Normal"/>
    <w:link w:val="SubtitleChar"/>
    <w:uiPriority w:val="99"/>
    <w:qFormat/>
    <w:rsid w:val="00BC409F"/>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4369D"/>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BC409F"/>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C409F"/>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C409F"/>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BC409F"/>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BC409F"/>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BC409F"/>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BC409F"/>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BC409F"/>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BC409F"/>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BC409F"/>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C409F"/>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BC409F"/>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BC409F"/>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BC409F"/>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BC409F"/>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BC409F"/>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C409F"/>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BC409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BC409F"/>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BC409F"/>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BC409F"/>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BC409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BC409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BC409F"/>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BC409F"/>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BC409F"/>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BC409F"/>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BC409F"/>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BC409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C409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BC409F"/>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C409F"/>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C409F"/>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C409F"/>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C409F"/>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C409F"/>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C409F"/>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C409F"/>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BC409F"/>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BC409F"/>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BC409F"/>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BC409F"/>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BC409F"/>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BC40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4369D"/>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BC409F"/>
  </w:style>
  <w:style w:type="paragraph" w:customStyle="1" w:styleId="bTOC2">
    <w:name w:val="bTOC 2"/>
    <w:basedOn w:val="TOC2"/>
    <w:uiPriority w:val="99"/>
    <w:semiHidden/>
    <w:rsid w:val="00BC409F"/>
  </w:style>
  <w:style w:type="paragraph" w:customStyle="1" w:styleId="bTOC3">
    <w:name w:val="bTOC 3"/>
    <w:basedOn w:val="TOC3"/>
    <w:uiPriority w:val="99"/>
    <w:semiHidden/>
    <w:rsid w:val="00BC409F"/>
  </w:style>
  <w:style w:type="paragraph" w:customStyle="1" w:styleId="bTOC4">
    <w:name w:val="bTOC 4"/>
    <w:basedOn w:val="TOC4"/>
    <w:uiPriority w:val="99"/>
    <w:semiHidden/>
    <w:rsid w:val="00BC409F"/>
  </w:style>
  <w:style w:type="character" w:customStyle="1" w:styleId="CharChar4">
    <w:name w:val="Char Char4"/>
    <w:basedOn w:val="DefaultParagraphFont"/>
    <w:uiPriority w:val="99"/>
    <w:locked/>
    <w:rsid w:val="00E57371"/>
    <w:rPr>
      <w:rFonts w:ascii="Arial" w:hAnsi="Arial" w:cs="Arial"/>
      <w:color w:val="000000"/>
      <w:lang w:val="en-AU" w:eastAsia="zh-CN" w:bidi="ar-SA"/>
    </w:rPr>
  </w:style>
  <w:style w:type="paragraph" w:customStyle="1" w:styleId="Counsel">
    <w:name w:val="Counsel"/>
    <w:basedOn w:val="Normal"/>
    <w:uiPriority w:val="99"/>
    <w:rsid w:val="00BC409F"/>
    <w:pPr>
      <w:widowControl w:val="0"/>
      <w:suppressAutoHyphens/>
      <w:spacing w:line="240" w:lineRule="auto"/>
    </w:pPr>
  </w:style>
  <w:style w:type="character" w:customStyle="1" w:styleId="CertifyChar">
    <w:name w:val="Certify Char"/>
    <w:basedOn w:val="DefaultParagraphFont"/>
    <w:link w:val="Certify"/>
    <w:uiPriority w:val="99"/>
    <w:locked/>
    <w:rsid w:val="00BC409F"/>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BC409F"/>
    <w:pPr>
      <w:keepNext/>
      <w:numPr>
        <w:numId w:val="25"/>
      </w:numPr>
      <w:spacing w:before="240" w:after="60" w:line="240" w:lineRule="auto"/>
    </w:pPr>
    <w:rPr>
      <w:b/>
      <w:caps/>
      <w:kern w:val="28"/>
    </w:rPr>
  </w:style>
  <w:style w:type="paragraph" w:customStyle="1" w:styleId="fcHeading2">
    <w:name w:val="fcHeading 2"/>
    <w:basedOn w:val="Normal"/>
    <w:next w:val="ParaNumbering"/>
    <w:uiPriority w:val="99"/>
    <w:semiHidden/>
    <w:rsid w:val="00BC409F"/>
    <w:pPr>
      <w:keepNext/>
      <w:numPr>
        <w:ilvl w:val="1"/>
        <w:numId w:val="25"/>
      </w:numPr>
      <w:spacing w:before="240" w:after="60" w:line="240" w:lineRule="auto"/>
    </w:pPr>
    <w:rPr>
      <w:b/>
    </w:rPr>
  </w:style>
  <w:style w:type="paragraph" w:customStyle="1" w:styleId="fcHeading3">
    <w:name w:val="fcHeading 3"/>
    <w:basedOn w:val="Normal"/>
    <w:next w:val="ParaNumbering"/>
    <w:uiPriority w:val="99"/>
    <w:semiHidden/>
    <w:rsid w:val="00BC409F"/>
    <w:pPr>
      <w:keepNext/>
      <w:numPr>
        <w:ilvl w:val="2"/>
        <w:numId w:val="25"/>
      </w:numPr>
      <w:spacing w:before="240" w:after="60" w:line="240" w:lineRule="auto"/>
    </w:pPr>
    <w:rPr>
      <w:b/>
      <w:i/>
    </w:rPr>
  </w:style>
  <w:style w:type="paragraph" w:customStyle="1" w:styleId="fcHeading4">
    <w:name w:val="fcHeading 4"/>
    <w:basedOn w:val="Normal"/>
    <w:next w:val="ParaNumbering"/>
    <w:uiPriority w:val="99"/>
    <w:semiHidden/>
    <w:rsid w:val="00BC409F"/>
    <w:pPr>
      <w:keepNext/>
      <w:numPr>
        <w:ilvl w:val="3"/>
        <w:numId w:val="25"/>
      </w:numPr>
      <w:spacing w:before="240" w:after="60" w:line="240" w:lineRule="auto"/>
    </w:pPr>
    <w:rPr>
      <w:b/>
      <w:smallCaps/>
    </w:rPr>
  </w:style>
  <w:style w:type="paragraph" w:customStyle="1" w:styleId="fcHeading5">
    <w:name w:val="fcHeading 5"/>
    <w:basedOn w:val="Normal"/>
    <w:next w:val="ParaNumbering"/>
    <w:uiPriority w:val="99"/>
    <w:semiHidden/>
    <w:rsid w:val="00BC409F"/>
    <w:pPr>
      <w:keepNext/>
      <w:numPr>
        <w:ilvl w:val="4"/>
        <w:numId w:val="25"/>
      </w:numPr>
      <w:spacing w:before="240" w:after="60" w:line="240" w:lineRule="auto"/>
    </w:pPr>
    <w:rPr>
      <w:b/>
      <w:caps/>
    </w:rPr>
  </w:style>
  <w:style w:type="paragraph" w:customStyle="1" w:styleId="FTOC5">
    <w:name w:val="FTOC 5"/>
    <w:basedOn w:val="Normal"/>
    <w:uiPriority w:val="99"/>
    <w:semiHidden/>
    <w:rsid w:val="00BC409F"/>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BC409F"/>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BC409F"/>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BC409F"/>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BC409F"/>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BC409F"/>
    <w:pPr>
      <w:keepNext/>
      <w:tabs>
        <w:tab w:val="right" w:leader="dot" w:pos="9072"/>
      </w:tabs>
      <w:spacing w:before="240" w:after="60" w:line="240" w:lineRule="auto"/>
      <w:ind w:left="709" w:hanging="709"/>
    </w:pPr>
  </w:style>
  <w:style w:type="paragraph" w:customStyle="1" w:styleId="bTOC6">
    <w:name w:val="bTOC 6"/>
    <w:basedOn w:val="Normal"/>
    <w:uiPriority w:val="99"/>
    <w:rsid w:val="00BC409F"/>
    <w:pPr>
      <w:keepNext/>
      <w:tabs>
        <w:tab w:val="right" w:leader="dot" w:pos="9072"/>
      </w:tabs>
      <w:spacing w:before="240" w:after="60" w:line="240" w:lineRule="auto"/>
      <w:ind w:left="1418" w:hanging="709"/>
    </w:pPr>
  </w:style>
  <w:style w:type="paragraph" w:customStyle="1" w:styleId="bTOC7">
    <w:name w:val="bTOC 7"/>
    <w:basedOn w:val="Normal"/>
    <w:uiPriority w:val="99"/>
    <w:rsid w:val="00BC409F"/>
    <w:pPr>
      <w:keepNext/>
      <w:tabs>
        <w:tab w:val="right" w:leader="dot" w:pos="9072"/>
      </w:tabs>
      <w:spacing w:before="240" w:after="60" w:line="240" w:lineRule="auto"/>
      <w:ind w:left="2127" w:hanging="709"/>
    </w:pPr>
  </w:style>
  <w:style w:type="paragraph" w:customStyle="1" w:styleId="bTOC8">
    <w:name w:val="bTOC 8"/>
    <w:basedOn w:val="Normal"/>
    <w:uiPriority w:val="99"/>
    <w:rsid w:val="00BC409F"/>
    <w:pPr>
      <w:keepNext/>
      <w:tabs>
        <w:tab w:val="right" w:leader="dot" w:pos="9072"/>
      </w:tabs>
      <w:spacing w:before="240" w:after="60" w:line="240" w:lineRule="auto"/>
      <w:ind w:left="3260" w:hanging="1134"/>
    </w:pPr>
  </w:style>
  <w:style w:type="paragraph" w:customStyle="1" w:styleId="bTOC9">
    <w:name w:val="bTOC 9"/>
    <w:basedOn w:val="Normal"/>
    <w:uiPriority w:val="99"/>
    <w:rsid w:val="00BC409F"/>
    <w:pPr>
      <w:keepNext/>
      <w:tabs>
        <w:tab w:val="right" w:leader="dot" w:pos="9072"/>
      </w:tabs>
      <w:spacing w:before="240" w:after="60" w:line="240" w:lineRule="auto"/>
      <w:ind w:left="3969" w:hanging="1134"/>
    </w:pPr>
  </w:style>
  <w:style w:type="character" w:customStyle="1" w:styleId="FootnoteTextChar">
    <w:name w:val="Footnote Text Char"/>
    <w:basedOn w:val="DefaultParagraphFont"/>
    <w:link w:val="FootnoteText"/>
    <w:uiPriority w:val="99"/>
    <w:locked/>
    <w:rsid w:val="00BB2ECC"/>
    <w:rPr>
      <w:rFonts w:ascii="Arial" w:hAnsi="Arial" w:cs="Arial"/>
      <w:sz w:val="16"/>
      <w:szCs w:val="16"/>
      <w:lang w:val="en-AU" w:eastAsia="en-US" w:bidi="ar-SA"/>
    </w:rPr>
  </w:style>
  <w:style w:type="paragraph" w:styleId="FootnoteText">
    <w:name w:val="footnote text"/>
    <w:basedOn w:val="Normal"/>
    <w:link w:val="FootnoteTextChar"/>
    <w:uiPriority w:val="99"/>
    <w:semiHidden/>
    <w:rsid w:val="00BB2ECC"/>
    <w:pPr>
      <w:spacing w:after="60" w:line="180" w:lineRule="exact"/>
      <w:ind w:left="85" w:hanging="85"/>
      <w:jc w:val="left"/>
    </w:pPr>
    <w:rPr>
      <w:rFonts w:ascii="Arial" w:hAnsi="Arial" w:cs="Arial"/>
      <w:sz w:val="16"/>
      <w:szCs w:val="16"/>
    </w:rPr>
  </w:style>
  <w:style w:type="character" w:customStyle="1" w:styleId="FootnoteTextChar1">
    <w:name w:val="Footnote Text Char1"/>
    <w:basedOn w:val="DefaultParagraphFont"/>
    <w:link w:val="FootnoteText"/>
    <w:uiPriority w:val="99"/>
    <w:semiHidden/>
    <w:rsid w:val="00C4369D"/>
    <w:rPr>
      <w:sz w:val="20"/>
      <w:szCs w:val="20"/>
      <w:lang w:eastAsia="en-US"/>
    </w:rPr>
  </w:style>
  <w:style w:type="character" w:styleId="FootnoteReference">
    <w:name w:val="footnote reference"/>
    <w:basedOn w:val="DefaultParagraphFont"/>
    <w:uiPriority w:val="99"/>
    <w:semiHidden/>
    <w:rsid w:val="00BB2ECC"/>
    <w:rPr>
      <w:rFonts w:ascii="Arial" w:hAnsi="Arial" w:cs="Arial"/>
      <w:vertAlign w:val="superscript"/>
    </w:rPr>
  </w:style>
  <w:style w:type="character" w:customStyle="1" w:styleId="loose1">
    <w:name w:val="loose1"/>
    <w:basedOn w:val="DefaultParagraphFont"/>
    <w:uiPriority w:val="99"/>
    <w:rsid w:val="00BB2ECC"/>
    <w:rPr>
      <w:rFonts w:cs="Times New Roman"/>
    </w:rPr>
  </w:style>
  <w:style w:type="character" w:customStyle="1" w:styleId="italic1">
    <w:name w:val="italic1"/>
    <w:basedOn w:val="DefaultParagraphFont"/>
    <w:uiPriority w:val="99"/>
    <w:rsid w:val="00BB2ECC"/>
    <w:rPr>
      <w:rFonts w:cs="Times New Roman"/>
      <w:i/>
      <w:iCs/>
    </w:rPr>
  </w:style>
  <w:style w:type="paragraph" w:styleId="ListParagraph">
    <w:name w:val="List Paragraph"/>
    <w:basedOn w:val="Normal"/>
    <w:uiPriority w:val="99"/>
    <w:qFormat/>
    <w:rsid w:val="000C045F"/>
    <w:pPr>
      <w:spacing w:line="240" w:lineRule="auto"/>
      <w:ind w:left="720"/>
      <w:jc w:val="left"/>
    </w:pPr>
    <w:rPr>
      <w:rFonts w:ascii="Cambria" w:hAnsi="Cambria"/>
      <w:szCs w:val="24"/>
      <w:lang w:val="en-US"/>
    </w:rPr>
  </w:style>
  <w:style w:type="paragraph" w:styleId="DocumentMap">
    <w:name w:val="Document Map"/>
    <w:basedOn w:val="Normal"/>
    <w:link w:val="DocumentMapChar"/>
    <w:uiPriority w:val="99"/>
    <w:semiHidden/>
    <w:rsid w:val="006E42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4369D"/>
    <w:rPr>
      <w:sz w:val="0"/>
      <w:szCs w:val="0"/>
      <w:lang w:eastAsia="en-US"/>
    </w:rPr>
  </w:style>
  <w:style w:type="numbering" w:styleId="1ai">
    <w:name w:val="Outline List 1"/>
    <w:basedOn w:val="NoList"/>
    <w:uiPriority w:val="99"/>
    <w:semiHidden/>
    <w:unhideWhenUsed/>
    <w:rsid w:val="00C4369D"/>
    <w:pPr>
      <w:numPr>
        <w:numId w:val="23"/>
      </w:numPr>
    </w:pPr>
  </w:style>
  <w:style w:type="numbering" w:styleId="ArticleSection">
    <w:name w:val="Outline List 3"/>
    <w:basedOn w:val="NoList"/>
    <w:uiPriority w:val="99"/>
    <w:semiHidden/>
    <w:unhideWhenUsed/>
    <w:rsid w:val="00C4369D"/>
    <w:pPr>
      <w:numPr>
        <w:numId w:val="24"/>
      </w:numPr>
    </w:pPr>
  </w:style>
  <w:style w:type="numbering" w:styleId="111111">
    <w:name w:val="Outline List 2"/>
    <w:basedOn w:val="NoList"/>
    <w:uiPriority w:val="99"/>
    <w:semiHidden/>
    <w:unhideWhenUsed/>
    <w:rsid w:val="00C4369D"/>
    <w:pPr>
      <w:numPr>
        <w:numId w:val="22"/>
      </w:numPr>
    </w:pPr>
  </w:style>
</w:styles>
</file>

<file path=word/webSettings.xml><?xml version="1.0" encoding="utf-8"?>
<w:webSettings xmlns:r="http://schemas.openxmlformats.org/officeDocument/2006/relationships" xmlns:w="http://schemas.openxmlformats.org/wordprocessingml/2006/main">
  <w:divs>
    <w:div w:id="1106123147">
      <w:marLeft w:val="0"/>
      <w:marRight w:val="0"/>
      <w:marTop w:val="0"/>
      <w:marBottom w:val="0"/>
      <w:divBdr>
        <w:top w:val="none" w:sz="0" w:space="0" w:color="auto"/>
        <w:left w:val="none" w:sz="0" w:space="0" w:color="auto"/>
        <w:bottom w:val="none" w:sz="0" w:space="0" w:color="auto"/>
        <w:right w:val="none" w:sz="0" w:space="0" w:color="auto"/>
      </w:divBdr>
    </w:div>
    <w:div w:id="1106123148">
      <w:marLeft w:val="0"/>
      <w:marRight w:val="0"/>
      <w:marTop w:val="0"/>
      <w:marBottom w:val="0"/>
      <w:divBdr>
        <w:top w:val="none" w:sz="0" w:space="0" w:color="auto"/>
        <w:left w:val="none" w:sz="0" w:space="0" w:color="auto"/>
        <w:bottom w:val="none" w:sz="0" w:space="0" w:color="auto"/>
        <w:right w:val="none" w:sz="0" w:space="0" w:color="auto"/>
      </w:divBdr>
    </w:div>
    <w:div w:id="1106123149">
      <w:marLeft w:val="0"/>
      <w:marRight w:val="0"/>
      <w:marTop w:val="0"/>
      <w:marBottom w:val="0"/>
      <w:divBdr>
        <w:top w:val="none" w:sz="0" w:space="0" w:color="auto"/>
        <w:left w:val="none" w:sz="0" w:space="0" w:color="auto"/>
        <w:bottom w:val="none" w:sz="0" w:space="0" w:color="auto"/>
        <w:right w:val="none" w:sz="0" w:space="0" w:color="auto"/>
      </w:divBdr>
    </w:div>
    <w:div w:id="1106123150">
      <w:marLeft w:val="0"/>
      <w:marRight w:val="0"/>
      <w:marTop w:val="0"/>
      <w:marBottom w:val="0"/>
      <w:divBdr>
        <w:top w:val="none" w:sz="0" w:space="0" w:color="auto"/>
        <w:left w:val="none" w:sz="0" w:space="0" w:color="auto"/>
        <w:bottom w:val="none" w:sz="0" w:space="0" w:color="auto"/>
        <w:right w:val="none" w:sz="0" w:space="0" w:color="auto"/>
      </w:divBdr>
    </w:div>
    <w:div w:id="1106123151">
      <w:marLeft w:val="0"/>
      <w:marRight w:val="0"/>
      <w:marTop w:val="0"/>
      <w:marBottom w:val="0"/>
      <w:divBdr>
        <w:top w:val="none" w:sz="0" w:space="0" w:color="auto"/>
        <w:left w:val="none" w:sz="0" w:space="0" w:color="auto"/>
        <w:bottom w:val="none" w:sz="0" w:space="0" w:color="auto"/>
        <w:right w:val="none" w:sz="0" w:space="0" w:color="auto"/>
      </w:divBdr>
    </w:div>
    <w:div w:id="1106123152">
      <w:marLeft w:val="0"/>
      <w:marRight w:val="0"/>
      <w:marTop w:val="0"/>
      <w:marBottom w:val="0"/>
      <w:divBdr>
        <w:top w:val="none" w:sz="0" w:space="0" w:color="auto"/>
        <w:left w:val="none" w:sz="0" w:space="0" w:color="auto"/>
        <w:bottom w:val="none" w:sz="0" w:space="0" w:color="auto"/>
        <w:right w:val="none" w:sz="0" w:space="0" w:color="auto"/>
      </w:divBdr>
    </w:div>
    <w:div w:id="1106123153">
      <w:marLeft w:val="0"/>
      <w:marRight w:val="0"/>
      <w:marTop w:val="0"/>
      <w:marBottom w:val="0"/>
      <w:divBdr>
        <w:top w:val="none" w:sz="0" w:space="0" w:color="auto"/>
        <w:left w:val="none" w:sz="0" w:space="0" w:color="auto"/>
        <w:bottom w:val="none" w:sz="0" w:space="0" w:color="auto"/>
        <w:right w:val="none" w:sz="0" w:space="0" w:color="auto"/>
      </w:divBdr>
    </w:div>
    <w:div w:id="1106123154">
      <w:marLeft w:val="0"/>
      <w:marRight w:val="0"/>
      <w:marTop w:val="0"/>
      <w:marBottom w:val="0"/>
      <w:divBdr>
        <w:top w:val="none" w:sz="0" w:space="0" w:color="auto"/>
        <w:left w:val="none" w:sz="0" w:space="0" w:color="auto"/>
        <w:bottom w:val="none" w:sz="0" w:space="0" w:color="auto"/>
        <w:right w:val="none" w:sz="0" w:space="0" w:color="auto"/>
      </w:divBdr>
    </w:div>
    <w:div w:id="1106123155">
      <w:marLeft w:val="0"/>
      <w:marRight w:val="0"/>
      <w:marTop w:val="0"/>
      <w:marBottom w:val="0"/>
      <w:divBdr>
        <w:top w:val="none" w:sz="0" w:space="0" w:color="auto"/>
        <w:left w:val="none" w:sz="0" w:space="0" w:color="auto"/>
        <w:bottom w:val="none" w:sz="0" w:space="0" w:color="auto"/>
        <w:right w:val="none" w:sz="0" w:space="0" w:color="auto"/>
      </w:divBdr>
    </w:div>
    <w:div w:id="1106123156">
      <w:marLeft w:val="0"/>
      <w:marRight w:val="0"/>
      <w:marTop w:val="0"/>
      <w:marBottom w:val="0"/>
      <w:divBdr>
        <w:top w:val="none" w:sz="0" w:space="0" w:color="auto"/>
        <w:left w:val="none" w:sz="0" w:space="0" w:color="auto"/>
        <w:bottom w:val="none" w:sz="0" w:space="0" w:color="auto"/>
        <w:right w:val="none" w:sz="0" w:space="0" w:color="auto"/>
      </w:divBdr>
    </w:div>
    <w:div w:id="1106123157">
      <w:marLeft w:val="0"/>
      <w:marRight w:val="0"/>
      <w:marTop w:val="0"/>
      <w:marBottom w:val="0"/>
      <w:divBdr>
        <w:top w:val="none" w:sz="0" w:space="0" w:color="auto"/>
        <w:left w:val="none" w:sz="0" w:space="0" w:color="auto"/>
        <w:bottom w:val="none" w:sz="0" w:space="0" w:color="auto"/>
        <w:right w:val="none" w:sz="0" w:space="0" w:color="auto"/>
      </w:divBdr>
    </w:div>
    <w:div w:id="1106123158">
      <w:marLeft w:val="0"/>
      <w:marRight w:val="0"/>
      <w:marTop w:val="0"/>
      <w:marBottom w:val="0"/>
      <w:divBdr>
        <w:top w:val="none" w:sz="0" w:space="0" w:color="auto"/>
        <w:left w:val="none" w:sz="0" w:space="0" w:color="auto"/>
        <w:bottom w:val="none" w:sz="0" w:space="0" w:color="auto"/>
        <w:right w:val="none" w:sz="0" w:space="0" w:color="auto"/>
      </w:divBdr>
    </w:div>
    <w:div w:id="1106123159">
      <w:marLeft w:val="0"/>
      <w:marRight w:val="0"/>
      <w:marTop w:val="0"/>
      <w:marBottom w:val="0"/>
      <w:divBdr>
        <w:top w:val="none" w:sz="0" w:space="0" w:color="auto"/>
        <w:left w:val="none" w:sz="0" w:space="0" w:color="auto"/>
        <w:bottom w:val="none" w:sz="0" w:space="0" w:color="auto"/>
        <w:right w:val="none" w:sz="0" w:space="0" w:color="auto"/>
      </w:divBdr>
    </w:div>
    <w:div w:id="1106123160">
      <w:marLeft w:val="0"/>
      <w:marRight w:val="0"/>
      <w:marTop w:val="0"/>
      <w:marBottom w:val="0"/>
      <w:divBdr>
        <w:top w:val="none" w:sz="0" w:space="0" w:color="auto"/>
        <w:left w:val="none" w:sz="0" w:space="0" w:color="auto"/>
        <w:bottom w:val="none" w:sz="0" w:space="0" w:color="auto"/>
        <w:right w:val="none" w:sz="0" w:space="0" w:color="auto"/>
      </w:divBdr>
    </w:div>
    <w:div w:id="1106123161">
      <w:marLeft w:val="0"/>
      <w:marRight w:val="0"/>
      <w:marTop w:val="0"/>
      <w:marBottom w:val="0"/>
      <w:divBdr>
        <w:top w:val="none" w:sz="0" w:space="0" w:color="auto"/>
        <w:left w:val="none" w:sz="0" w:space="0" w:color="auto"/>
        <w:bottom w:val="none" w:sz="0" w:space="0" w:color="auto"/>
        <w:right w:val="none" w:sz="0" w:space="0" w:color="auto"/>
      </w:divBdr>
    </w:div>
    <w:div w:id="1106123162">
      <w:marLeft w:val="0"/>
      <w:marRight w:val="0"/>
      <w:marTop w:val="0"/>
      <w:marBottom w:val="0"/>
      <w:divBdr>
        <w:top w:val="none" w:sz="0" w:space="0" w:color="auto"/>
        <w:left w:val="none" w:sz="0" w:space="0" w:color="auto"/>
        <w:bottom w:val="none" w:sz="0" w:space="0" w:color="auto"/>
        <w:right w:val="none" w:sz="0" w:space="0" w:color="auto"/>
      </w:divBdr>
    </w:div>
    <w:div w:id="1106123163">
      <w:marLeft w:val="0"/>
      <w:marRight w:val="0"/>
      <w:marTop w:val="0"/>
      <w:marBottom w:val="0"/>
      <w:divBdr>
        <w:top w:val="none" w:sz="0" w:space="0" w:color="auto"/>
        <w:left w:val="none" w:sz="0" w:space="0" w:color="auto"/>
        <w:bottom w:val="none" w:sz="0" w:space="0" w:color="auto"/>
        <w:right w:val="none" w:sz="0" w:space="0" w:color="auto"/>
      </w:divBdr>
    </w:div>
    <w:div w:id="1106123164">
      <w:marLeft w:val="0"/>
      <w:marRight w:val="0"/>
      <w:marTop w:val="0"/>
      <w:marBottom w:val="0"/>
      <w:divBdr>
        <w:top w:val="none" w:sz="0" w:space="0" w:color="auto"/>
        <w:left w:val="none" w:sz="0" w:space="0" w:color="auto"/>
        <w:bottom w:val="none" w:sz="0" w:space="0" w:color="auto"/>
        <w:right w:val="none" w:sz="0" w:space="0" w:color="auto"/>
      </w:divBdr>
    </w:div>
    <w:div w:id="1106123165">
      <w:marLeft w:val="0"/>
      <w:marRight w:val="0"/>
      <w:marTop w:val="0"/>
      <w:marBottom w:val="0"/>
      <w:divBdr>
        <w:top w:val="none" w:sz="0" w:space="0" w:color="auto"/>
        <w:left w:val="none" w:sz="0" w:space="0" w:color="auto"/>
        <w:bottom w:val="none" w:sz="0" w:space="0" w:color="auto"/>
        <w:right w:val="none" w:sz="0" w:space="0" w:color="auto"/>
      </w:divBdr>
    </w:div>
    <w:div w:id="1106123166">
      <w:marLeft w:val="0"/>
      <w:marRight w:val="0"/>
      <w:marTop w:val="0"/>
      <w:marBottom w:val="0"/>
      <w:divBdr>
        <w:top w:val="none" w:sz="0" w:space="0" w:color="auto"/>
        <w:left w:val="none" w:sz="0" w:space="0" w:color="auto"/>
        <w:bottom w:val="none" w:sz="0" w:space="0" w:color="auto"/>
        <w:right w:val="none" w:sz="0" w:space="0" w:color="auto"/>
      </w:divBdr>
    </w:div>
    <w:div w:id="1106123167">
      <w:marLeft w:val="0"/>
      <w:marRight w:val="0"/>
      <w:marTop w:val="0"/>
      <w:marBottom w:val="0"/>
      <w:divBdr>
        <w:top w:val="none" w:sz="0" w:space="0" w:color="auto"/>
        <w:left w:val="none" w:sz="0" w:space="0" w:color="auto"/>
        <w:bottom w:val="none" w:sz="0" w:space="0" w:color="auto"/>
        <w:right w:val="none" w:sz="0" w:space="0" w:color="auto"/>
      </w:divBdr>
    </w:div>
    <w:div w:id="1106123168">
      <w:marLeft w:val="0"/>
      <w:marRight w:val="0"/>
      <w:marTop w:val="0"/>
      <w:marBottom w:val="0"/>
      <w:divBdr>
        <w:top w:val="none" w:sz="0" w:space="0" w:color="auto"/>
        <w:left w:val="none" w:sz="0" w:space="0" w:color="auto"/>
        <w:bottom w:val="none" w:sz="0" w:space="0" w:color="auto"/>
        <w:right w:val="none" w:sz="0" w:space="0" w:color="auto"/>
      </w:divBdr>
    </w:div>
    <w:div w:id="1106123169">
      <w:marLeft w:val="0"/>
      <w:marRight w:val="0"/>
      <w:marTop w:val="0"/>
      <w:marBottom w:val="0"/>
      <w:divBdr>
        <w:top w:val="none" w:sz="0" w:space="0" w:color="auto"/>
        <w:left w:val="none" w:sz="0" w:space="0" w:color="auto"/>
        <w:bottom w:val="none" w:sz="0" w:space="0" w:color="auto"/>
        <w:right w:val="none" w:sz="0" w:space="0" w:color="auto"/>
      </w:divBdr>
    </w:div>
    <w:div w:id="1106123170">
      <w:marLeft w:val="0"/>
      <w:marRight w:val="0"/>
      <w:marTop w:val="0"/>
      <w:marBottom w:val="0"/>
      <w:divBdr>
        <w:top w:val="none" w:sz="0" w:space="0" w:color="auto"/>
        <w:left w:val="none" w:sz="0" w:space="0" w:color="auto"/>
        <w:bottom w:val="none" w:sz="0" w:space="0" w:color="auto"/>
        <w:right w:val="none" w:sz="0" w:space="0" w:color="auto"/>
      </w:divBdr>
    </w:div>
    <w:div w:id="1106123171">
      <w:marLeft w:val="0"/>
      <w:marRight w:val="0"/>
      <w:marTop w:val="0"/>
      <w:marBottom w:val="0"/>
      <w:divBdr>
        <w:top w:val="none" w:sz="0" w:space="0" w:color="auto"/>
        <w:left w:val="none" w:sz="0" w:space="0" w:color="auto"/>
        <w:bottom w:val="none" w:sz="0" w:space="0" w:color="auto"/>
        <w:right w:val="none" w:sz="0" w:space="0" w:color="auto"/>
      </w:divBdr>
    </w:div>
    <w:div w:id="1106123172">
      <w:marLeft w:val="0"/>
      <w:marRight w:val="0"/>
      <w:marTop w:val="0"/>
      <w:marBottom w:val="0"/>
      <w:divBdr>
        <w:top w:val="none" w:sz="0" w:space="0" w:color="auto"/>
        <w:left w:val="none" w:sz="0" w:space="0" w:color="auto"/>
        <w:bottom w:val="none" w:sz="0" w:space="0" w:color="auto"/>
        <w:right w:val="none" w:sz="0" w:space="0" w:color="auto"/>
      </w:divBdr>
    </w:div>
    <w:div w:id="1106123173">
      <w:marLeft w:val="0"/>
      <w:marRight w:val="0"/>
      <w:marTop w:val="0"/>
      <w:marBottom w:val="0"/>
      <w:divBdr>
        <w:top w:val="none" w:sz="0" w:space="0" w:color="auto"/>
        <w:left w:val="none" w:sz="0" w:space="0" w:color="auto"/>
        <w:bottom w:val="none" w:sz="0" w:space="0" w:color="auto"/>
        <w:right w:val="none" w:sz="0" w:space="0" w:color="auto"/>
      </w:divBdr>
    </w:div>
    <w:div w:id="1106123174">
      <w:marLeft w:val="0"/>
      <w:marRight w:val="0"/>
      <w:marTop w:val="0"/>
      <w:marBottom w:val="0"/>
      <w:divBdr>
        <w:top w:val="none" w:sz="0" w:space="0" w:color="auto"/>
        <w:left w:val="none" w:sz="0" w:space="0" w:color="auto"/>
        <w:bottom w:val="none" w:sz="0" w:space="0" w:color="auto"/>
        <w:right w:val="none" w:sz="0" w:space="0" w:color="auto"/>
      </w:divBdr>
    </w:div>
    <w:div w:id="1106123175">
      <w:marLeft w:val="0"/>
      <w:marRight w:val="0"/>
      <w:marTop w:val="0"/>
      <w:marBottom w:val="0"/>
      <w:divBdr>
        <w:top w:val="none" w:sz="0" w:space="0" w:color="auto"/>
        <w:left w:val="none" w:sz="0" w:space="0" w:color="auto"/>
        <w:bottom w:val="none" w:sz="0" w:space="0" w:color="auto"/>
        <w:right w:val="none" w:sz="0" w:space="0" w:color="auto"/>
      </w:divBdr>
    </w:div>
    <w:div w:id="1106123176">
      <w:marLeft w:val="0"/>
      <w:marRight w:val="0"/>
      <w:marTop w:val="0"/>
      <w:marBottom w:val="0"/>
      <w:divBdr>
        <w:top w:val="none" w:sz="0" w:space="0" w:color="auto"/>
        <w:left w:val="none" w:sz="0" w:space="0" w:color="auto"/>
        <w:bottom w:val="none" w:sz="0" w:space="0" w:color="auto"/>
        <w:right w:val="none" w:sz="0" w:space="0" w:color="auto"/>
      </w:divBdr>
    </w:div>
    <w:div w:id="1106123177">
      <w:marLeft w:val="0"/>
      <w:marRight w:val="0"/>
      <w:marTop w:val="0"/>
      <w:marBottom w:val="0"/>
      <w:divBdr>
        <w:top w:val="none" w:sz="0" w:space="0" w:color="auto"/>
        <w:left w:val="none" w:sz="0" w:space="0" w:color="auto"/>
        <w:bottom w:val="none" w:sz="0" w:space="0" w:color="auto"/>
        <w:right w:val="none" w:sz="0" w:space="0" w:color="auto"/>
      </w:divBdr>
    </w:div>
    <w:div w:id="1106123178">
      <w:marLeft w:val="0"/>
      <w:marRight w:val="0"/>
      <w:marTop w:val="0"/>
      <w:marBottom w:val="0"/>
      <w:divBdr>
        <w:top w:val="none" w:sz="0" w:space="0" w:color="auto"/>
        <w:left w:val="none" w:sz="0" w:space="0" w:color="auto"/>
        <w:bottom w:val="none" w:sz="0" w:space="0" w:color="auto"/>
        <w:right w:val="none" w:sz="0" w:space="0" w:color="auto"/>
      </w:divBdr>
    </w:div>
    <w:div w:id="1106123179">
      <w:marLeft w:val="0"/>
      <w:marRight w:val="0"/>
      <w:marTop w:val="0"/>
      <w:marBottom w:val="0"/>
      <w:divBdr>
        <w:top w:val="none" w:sz="0" w:space="0" w:color="auto"/>
        <w:left w:val="none" w:sz="0" w:space="0" w:color="auto"/>
        <w:bottom w:val="none" w:sz="0" w:space="0" w:color="auto"/>
        <w:right w:val="none" w:sz="0" w:space="0" w:color="auto"/>
      </w:divBdr>
    </w:div>
    <w:div w:id="1106123180">
      <w:marLeft w:val="0"/>
      <w:marRight w:val="0"/>
      <w:marTop w:val="0"/>
      <w:marBottom w:val="0"/>
      <w:divBdr>
        <w:top w:val="none" w:sz="0" w:space="0" w:color="auto"/>
        <w:left w:val="none" w:sz="0" w:space="0" w:color="auto"/>
        <w:bottom w:val="none" w:sz="0" w:space="0" w:color="auto"/>
        <w:right w:val="none" w:sz="0" w:space="0" w:color="auto"/>
      </w:divBdr>
    </w:div>
    <w:div w:id="1106123181">
      <w:marLeft w:val="0"/>
      <w:marRight w:val="0"/>
      <w:marTop w:val="0"/>
      <w:marBottom w:val="0"/>
      <w:divBdr>
        <w:top w:val="none" w:sz="0" w:space="0" w:color="auto"/>
        <w:left w:val="none" w:sz="0" w:space="0" w:color="auto"/>
        <w:bottom w:val="none" w:sz="0" w:space="0" w:color="auto"/>
        <w:right w:val="none" w:sz="0" w:space="0" w:color="auto"/>
      </w:divBdr>
    </w:div>
    <w:div w:id="1106123182">
      <w:marLeft w:val="0"/>
      <w:marRight w:val="0"/>
      <w:marTop w:val="0"/>
      <w:marBottom w:val="0"/>
      <w:divBdr>
        <w:top w:val="none" w:sz="0" w:space="0" w:color="auto"/>
        <w:left w:val="none" w:sz="0" w:space="0" w:color="auto"/>
        <w:bottom w:val="none" w:sz="0" w:space="0" w:color="auto"/>
        <w:right w:val="none" w:sz="0" w:space="0" w:color="auto"/>
      </w:divBdr>
    </w:div>
    <w:div w:id="1106123183">
      <w:marLeft w:val="0"/>
      <w:marRight w:val="0"/>
      <w:marTop w:val="0"/>
      <w:marBottom w:val="0"/>
      <w:divBdr>
        <w:top w:val="none" w:sz="0" w:space="0" w:color="auto"/>
        <w:left w:val="none" w:sz="0" w:space="0" w:color="auto"/>
        <w:bottom w:val="none" w:sz="0" w:space="0" w:color="auto"/>
        <w:right w:val="none" w:sz="0" w:space="0" w:color="auto"/>
      </w:divBdr>
    </w:div>
    <w:div w:id="1106123184">
      <w:marLeft w:val="0"/>
      <w:marRight w:val="0"/>
      <w:marTop w:val="0"/>
      <w:marBottom w:val="0"/>
      <w:divBdr>
        <w:top w:val="none" w:sz="0" w:space="0" w:color="auto"/>
        <w:left w:val="none" w:sz="0" w:space="0" w:color="auto"/>
        <w:bottom w:val="none" w:sz="0" w:space="0" w:color="auto"/>
        <w:right w:val="none" w:sz="0" w:space="0" w:color="auto"/>
      </w:divBdr>
    </w:div>
    <w:div w:id="1106123185">
      <w:marLeft w:val="0"/>
      <w:marRight w:val="0"/>
      <w:marTop w:val="0"/>
      <w:marBottom w:val="0"/>
      <w:divBdr>
        <w:top w:val="none" w:sz="0" w:space="0" w:color="auto"/>
        <w:left w:val="none" w:sz="0" w:space="0" w:color="auto"/>
        <w:bottom w:val="none" w:sz="0" w:space="0" w:color="auto"/>
        <w:right w:val="none" w:sz="0" w:space="0" w:color="auto"/>
      </w:divBdr>
    </w:div>
    <w:div w:id="1106123186">
      <w:marLeft w:val="0"/>
      <w:marRight w:val="0"/>
      <w:marTop w:val="0"/>
      <w:marBottom w:val="0"/>
      <w:divBdr>
        <w:top w:val="none" w:sz="0" w:space="0" w:color="auto"/>
        <w:left w:val="none" w:sz="0" w:space="0" w:color="auto"/>
        <w:bottom w:val="none" w:sz="0" w:space="0" w:color="auto"/>
        <w:right w:val="none" w:sz="0" w:space="0" w:color="auto"/>
      </w:divBdr>
    </w:div>
    <w:div w:id="1106123187">
      <w:marLeft w:val="0"/>
      <w:marRight w:val="0"/>
      <w:marTop w:val="0"/>
      <w:marBottom w:val="0"/>
      <w:divBdr>
        <w:top w:val="none" w:sz="0" w:space="0" w:color="auto"/>
        <w:left w:val="none" w:sz="0" w:space="0" w:color="auto"/>
        <w:bottom w:val="none" w:sz="0" w:space="0" w:color="auto"/>
        <w:right w:val="none" w:sz="0" w:space="0" w:color="auto"/>
      </w:divBdr>
    </w:div>
    <w:div w:id="1106123188">
      <w:marLeft w:val="0"/>
      <w:marRight w:val="0"/>
      <w:marTop w:val="0"/>
      <w:marBottom w:val="0"/>
      <w:divBdr>
        <w:top w:val="none" w:sz="0" w:space="0" w:color="auto"/>
        <w:left w:val="none" w:sz="0" w:space="0" w:color="auto"/>
        <w:bottom w:val="none" w:sz="0" w:space="0" w:color="auto"/>
        <w:right w:val="none" w:sz="0" w:space="0" w:color="auto"/>
      </w:divBdr>
    </w:div>
    <w:div w:id="1106123189">
      <w:marLeft w:val="0"/>
      <w:marRight w:val="0"/>
      <w:marTop w:val="0"/>
      <w:marBottom w:val="0"/>
      <w:divBdr>
        <w:top w:val="none" w:sz="0" w:space="0" w:color="auto"/>
        <w:left w:val="none" w:sz="0" w:space="0" w:color="auto"/>
        <w:bottom w:val="none" w:sz="0" w:space="0" w:color="auto"/>
        <w:right w:val="none" w:sz="0" w:space="0" w:color="auto"/>
      </w:divBdr>
    </w:div>
    <w:div w:id="1106123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13</Pages>
  <Words>3236</Words>
  <Characters>18450</Characters>
  <Application>Microsoft Office Outlook</Application>
  <DocSecurity>0</DocSecurity>
  <Lines>0</Lines>
  <Paragraphs>0</Paragraphs>
  <ScaleCrop>false</ScaleCrop>
  <Company>Federal Court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Joshua Marczenko</dc:creator>
  <cp:keywords/>
  <dc:description/>
  <cp:lastModifiedBy>tran0c</cp:lastModifiedBy>
  <cp:revision>2</cp:revision>
  <cp:lastPrinted>2011-05-10T07:17:00Z</cp:lastPrinted>
  <dcterms:created xsi:type="dcterms:W3CDTF">2011-05-13T00:39:00Z</dcterms:created>
  <dcterms:modified xsi:type="dcterms:W3CDTF">2011-05-13T00:39:00Z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LAW FOR A REVIEW OF A DISTRIBUTION DETERMINATION MADE BY THE AUSTRALIAN ENERGY REGULATOR IN RELATION TO ENERGEX LIMITED PURSUANT TO CLAUSE 6.11.1 OF THE NATIONAL ELECTRITICY RULES</vt:lpwstr>
  </property>
  <property fmtid="{D5CDD505-2E9C-101B-9397-08002B2CF9AE}" pid="3" name="Judge" linkTarget="Judge">
    <vt:lpwstr>MIDDLETON J</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Energex Limited (Gamma) (No 5) [2011] ACompT 9</vt:lpwstr>
  </property>
  <property fmtid="{D5CDD505-2E9C-101B-9397-08002B2CF9AE}" pid="7" name="File_Number" linkTarget="Num">
    <vt:lpwstr>File No 2 of 2010</vt:lpwstr>
  </property>
  <property fmtid="{D5CDD505-2E9C-101B-9397-08002B2CF9AE}" pid="8" name="Pages">
    <vt:lpwstr>13</vt:lpwstr>
  </property>
  <property fmtid="{D5CDD505-2E9C-101B-9397-08002B2CF9AE}" pid="9" name="Parties" linkTarget="MNC">
    <vt:lpwstr>Application by Energex Limited (Gamma) (No 5) [2011] ACompT 9</vt:lpwstr>
  </property>
  <property fmtid="{D5CDD505-2E9C-101B-9397-08002B2CF9AE}" pid="10" name="Place" linkTarget="Place">
    <vt:lpwstr>MELBOURNE</vt:lpwstr>
  </property>
  <property fmtid="{D5CDD505-2E9C-101B-9397-08002B2CF9AE}" pid="11" name="State" linkTarget="State">
    <vt:lpwstr>VICTORIA</vt:lpwstr>
  </property>
  <property fmtid="{D5CDD505-2E9C-101B-9397-08002B2CF9AE}" pid="12" name="Year">
    <vt:lpwstr>2006</vt:lpwstr>
  </property>
  <property fmtid="{D5CDD505-2E9C-101B-9397-08002B2CF9AE}" pid="13" name="Judgment Template">
    <vt:lpwstr>True</vt:lpwstr>
  </property>
  <property fmtid="{D5CDD505-2E9C-101B-9397-08002B2CF9AE}" pid="14" name="Legislation">
    <vt:lpwstr>Legislation</vt:lpwstr>
  </property>
  <property fmtid="{D5CDD505-2E9C-101B-9397-08002B2CF9AE}" pid="15" name="Catchwords">
    <vt:lpwstr>Catchwords</vt:lpwstr>
  </property>
  <property fmtid="{D5CDD505-2E9C-101B-9397-08002B2CF9AE}" pid="16" name="Words_Phrases">
    <vt:lpwstr>WordsPhrases</vt:lpwstr>
  </property>
  <property fmtid="{D5CDD505-2E9C-101B-9397-08002B2CF9AE}" pid="17" name="Cases_Cited">
    <vt:lpwstr>CasesCited</vt:lpwstr>
  </property>
</Properties>
</file>