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D" w:rsidRDefault="005271CD">
      <w:pPr>
        <w:pStyle w:val="NormalHeadings"/>
        <w:jc w:val="center"/>
        <w:rPr>
          <w:sz w:val="32"/>
        </w:rPr>
      </w:pPr>
      <w:r>
        <w:rPr>
          <w:sz w:val="32"/>
        </w:rPr>
        <w:t>FEDERAL COURT OF AUSTRALIA</w:t>
      </w:r>
    </w:p>
    <w:p w:rsidR="005271CD" w:rsidRDefault="005271CD">
      <w:pPr>
        <w:pStyle w:val="NormalHeadings"/>
        <w:jc w:val="center"/>
        <w:rPr>
          <w:sz w:val="32"/>
        </w:rPr>
      </w:pPr>
    </w:p>
    <w:p w:rsidR="00AE2EAE" w:rsidRDefault="00AE2EAE">
      <w:pPr>
        <w:pStyle w:val="MediaNeutralStyle"/>
      </w:pPr>
      <w:bookmarkStart w:id="0" w:name="MNC"/>
      <w:r>
        <w:t xml:space="preserve">Far West Coast Native Title Claim </w:t>
      </w:r>
      <w:r w:rsidR="00766AAA">
        <w:t>v State of South Australia</w:t>
      </w:r>
      <w:r>
        <w:t xml:space="preserve"> (No 7)</w:t>
      </w:r>
      <w:r w:rsidR="00340CE9">
        <w:t xml:space="preserve"> </w:t>
      </w:r>
    </w:p>
    <w:p w:rsidR="00327582" w:rsidRPr="006F44C1" w:rsidRDefault="00327582" w:rsidP="006F44C1">
      <w:pPr>
        <w:pStyle w:val="MediaNeutralStyle"/>
      </w:pPr>
      <w:r>
        <w:t xml:space="preserve">[2013] FCA </w:t>
      </w:r>
      <w:r w:rsidR="00AE2EAE">
        <w:t>1285</w:t>
      </w:r>
    </w:p>
    <w:bookmarkEnd w:id="0"/>
    <w:p w:rsidR="00005647" w:rsidRPr="00005647" w:rsidRDefault="00005647" w:rsidP="00005647">
      <w:pPr>
        <w:pStyle w:val="Normal1linespace"/>
      </w:pPr>
    </w:p>
    <w:tbl>
      <w:tblPr>
        <w:tblW w:w="0" w:type="auto"/>
        <w:tblLook w:val="01E0" w:firstRow="1" w:lastRow="1" w:firstColumn="1" w:lastColumn="1" w:noHBand="0" w:noVBand="0"/>
      </w:tblPr>
      <w:tblGrid>
        <w:gridCol w:w="3085"/>
        <w:gridCol w:w="5954"/>
        <w:gridCol w:w="25"/>
      </w:tblGrid>
      <w:tr w:rsidR="008679F6" w:rsidTr="00F138B9">
        <w:trPr>
          <w:gridAfter w:val="1"/>
          <w:wAfter w:w="25" w:type="dxa"/>
        </w:trPr>
        <w:tc>
          <w:tcPr>
            <w:tcW w:w="3085" w:type="dxa"/>
            <w:shd w:val="clear" w:color="auto" w:fill="auto"/>
          </w:tcPr>
          <w:p w:rsidR="008679F6" w:rsidRDefault="008679F6" w:rsidP="00F138B9">
            <w:pPr>
              <w:pStyle w:val="Normal1linespace"/>
              <w:widowControl w:val="0"/>
            </w:pPr>
            <w:r>
              <w:t>Citation:</w:t>
            </w:r>
          </w:p>
        </w:tc>
        <w:tc>
          <w:tcPr>
            <w:tcW w:w="5954" w:type="dxa"/>
            <w:shd w:val="clear" w:color="auto" w:fill="auto"/>
          </w:tcPr>
          <w:p w:rsidR="008679F6" w:rsidRDefault="00AE2EAE" w:rsidP="00AE2EAE">
            <w:pPr>
              <w:pStyle w:val="Normal1linespace"/>
              <w:widowControl w:val="0"/>
              <w:jc w:val="left"/>
            </w:pPr>
            <w:r>
              <w:t>Far West Coast</w:t>
            </w:r>
            <w:r w:rsidR="00766AAA">
              <w:t xml:space="preserve"> </w:t>
            </w:r>
            <w:r>
              <w:t xml:space="preserve">Native Title Claim </w:t>
            </w:r>
            <w:r w:rsidR="00453275">
              <w:t>v State of South Australia (No 7)</w:t>
            </w:r>
            <w:bookmarkStart w:id="1" w:name="_GoBack"/>
            <w:bookmarkEnd w:id="1"/>
            <w:r w:rsidR="00766AAA">
              <w:t xml:space="preserve"> [2013] FCA </w:t>
            </w:r>
            <w:r>
              <w:t>1285</w:t>
            </w: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p>
        </w:tc>
        <w:tc>
          <w:tcPr>
            <w:tcW w:w="5954" w:type="dxa"/>
            <w:shd w:val="clear" w:color="auto" w:fill="auto"/>
          </w:tcPr>
          <w:p w:rsidR="008679F6" w:rsidRDefault="008679F6" w:rsidP="00F138B9">
            <w:pPr>
              <w:pStyle w:val="Normal1linespace"/>
              <w:widowControl w:val="0"/>
              <w:jc w:val="left"/>
            </w:pP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r>
              <w:t>Parties:</w:t>
            </w:r>
          </w:p>
        </w:tc>
        <w:tc>
          <w:tcPr>
            <w:tcW w:w="5954" w:type="dxa"/>
            <w:shd w:val="clear" w:color="auto" w:fill="auto"/>
          </w:tcPr>
          <w:p w:rsidR="002C3D81" w:rsidRDefault="00AE2EAE" w:rsidP="00F138B9">
            <w:pPr>
              <w:pStyle w:val="Normal1linespace"/>
              <w:widowControl w:val="0"/>
              <w:jc w:val="left"/>
              <w:rPr>
                <w:b/>
              </w:rPr>
            </w:pPr>
            <w:bookmarkStart w:id="2" w:name="JudgmentFP"/>
            <w:r>
              <w:rPr>
                <w:b/>
              </w:rPr>
              <w:t>FAR WEST COAST NATIVE TITLE CLAIM</w:t>
            </w:r>
            <w:r w:rsidR="002E0C81">
              <w:rPr>
                <w:b/>
              </w:rPr>
              <w:t xml:space="preserve"> – KENNETH GORDON ROBERTS &amp; OTHERS</w:t>
            </w:r>
            <w:r>
              <w:rPr>
                <w:b/>
              </w:rPr>
              <w:t xml:space="preserve"> v S</w:t>
            </w:r>
            <w:r w:rsidR="00EB66DD">
              <w:rPr>
                <w:b/>
              </w:rPr>
              <w:t>TATE OF SOUTH AUSTRALIA</w:t>
            </w:r>
            <w:bookmarkEnd w:id="2"/>
            <w:r>
              <w:rPr>
                <w:b/>
              </w:rPr>
              <w:t xml:space="preserve"> &amp; OTHERS</w:t>
            </w:r>
            <w:r w:rsidR="002C3D81">
              <w:rPr>
                <w:b/>
              </w:rPr>
              <w:t xml:space="preserve"> </w:t>
            </w:r>
          </w:p>
          <w:p w:rsidR="00AE2EAE" w:rsidRDefault="00AE2EAE" w:rsidP="00F138B9">
            <w:pPr>
              <w:pStyle w:val="Normal1linespace"/>
              <w:widowControl w:val="0"/>
              <w:jc w:val="left"/>
              <w:rPr>
                <w:b/>
              </w:rPr>
            </w:pPr>
          </w:p>
          <w:p w:rsidR="008679F6" w:rsidRPr="00F138B9" w:rsidRDefault="002C3D81" w:rsidP="00F138B9">
            <w:pPr>
              <w:pStyle w:val="Normal1linespace"/>
              <w:widowControl w:val="0"/>
              <w:jc w:val="left"/>
              <w:rPr>
                <w:b/>
              </w:rPr>
            </w:pPr>
            <w:r w:rsidRPr="002C3D81">
              <w:rPr>
                <w:sz w:val="22"/>
              </w:rPr>
              <w:t>[Refer to Schedule 12 for Full List of Applicants and Respondents]</w:t>
            </w: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p>
        </w:tc>
        <w:tc>
          <w:tcPr>
            <w:tcW w:w="5954" w:type="dxa"/>
            <w:shd w:val="clear" w:color="auto" w:fill="auto"/>
          </w:tcPr>
          <w:p w:rsidR="008679F6" w:rsidRDefault="008679F6" w:rsidP="00F138B9">
            <w:pPr>
              <w:pStyle w:val="Normal1linespace"/>
              <w:widowControl w:val="0"/>
              <w:jc w:val="left"/>
            </w:pPr>
          </w:p>
        </w:tc>
      </w:tr>
      <w:tr w:rsidR="008679F6" w:rsidTr="00F138B9">
        <w:trPr>
          <w:gridAfter w:val="1"/>
          <w:wAfter w:w="25" w:type="dxa"/>
        </w:trPr>
        <w:tc>
          <w:tcPr>
            <w:tcW w:w="3085" w:type="dxa"/>
            <w:shd w:val="clear" w:color="auto" w:fill="auto"/>
          </w:tcPr>
          <w:p w:rsidR="008679F6" w:rsidRDefault="008679F6" w:rsidP="00766AAA">
            <w:pPr>
              <w:pStyle w:val="Normal1linespace"/>
              <w:widowControl w:val="0"/>
            </w:pPr>
            <w:r>
              <w:t>File number:</w:t>
            </w:r>
          </w:p>
        </w:tc>
        <w:tc>
          <w:tcPr>
            <w:tcW w:w="5954" w:type="dxa"/>
            <w:shd w:val="clear" w:color="auto" w:fill="auto"/>
          </w:tcPr>
          <w:p w:rsidR="008679F6" w:rsidRPr="00012E32" w:rsidRDefault="008679F6" w:rsidP="00F138B9">
            <w:pPr>
              <w:pStyle w:val="Normal1linespace"/>
              <w:widowControl w:val="0"/>
              <w:jc w:val="left"/>
            </w:pPr>
            <w:r w:rsidRPr="00F138B9">
              <w:rPr>
                <w:szCs w:val="24"/>
              </w:rPr>
              <w:fldChar w:fldCharType="begin" w:fldLock="1"/>
            </w:r>
            <w:r w:rsidRPr="00F138B9">
              <w:rPr>
                <w:szCs w:val="24"/>
              </w:rPr>
              <w:instrText xml:space="preserve"> REF  Num  \* MERGEFORMAT </w:instrText>
            </w:r>
            <w:r w:rsidRPr="00F138B9">
              <w:rPr>
                <w:szCs w:val="24"/>
              </w:rPr>
              <w:fldChar w:fldCharType="separate"/>
            </w:r>
            <w:r w:rsidR="00EB66DD">
              <w:rPr>
                <w:szCs w:val="24"/>
              </w:rPr>
              <w:t>SAD 6008 of 1998</w:t>
            </w:r>
            <w:r w:rsidRPr="00F138B9">
              <w:rPr>
                <w:szCs w:val="24"/>
              </w:rPr>
              <w:fldChar w:fldCharType="end"/>
            </w: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p>
        </w:tc>
        <w:tc>
          <w:tcPr>
            <w:tcW w:w="5954" w:type="dxa"/>
            <w:shd w:val="clear" w:color="auto" w:fill="auto"/>
          </w:tcPr>
          <w:p w:rsidR="008679F6" w:rsidRDefault="008679F6" w:rsidP="00F138B9">
            <w:pPr>
              <w:pStyle w:val="Normal1linespace"/>
              <w:widowControl w:val="0"/>
              <w:jc w:val="left"/>
            </w:pPr>
          </w:p>
        </w:tc>
      </w:tr>
      <w:tr w:rsidR="008679F6" w:rsidTr="00F138B9">
        <w:trPr>
          <w:gridAfter w:val="1"/>
          <w:wAfter w:w="25" w:type="dxa"/>
        </w:trPr>
        <w:tc>
          <w:tcPr>
            <w:tcW w:w="3085" w:type="dxa"/>
            <w:shd w:val="clear" w:color="auto" w:fill="auto"/>
          </w:tcPr>
          <w:p w:rsidR="008679F6" w:rsidRDefault="008679F6" w:rsidP="00766AAA">
            <w:pPr>
              <w:pStyle w:val="Normal1linespace"/>
              <w:widowControl w:val="0"/>
            </w:pPr>
            <w:r>
              <w:t>Judge:</w:t>
            </w:r>
          </w:p>
        </w:tc>
        <w:tc>
          <w:tcPr>
            <w:tcW w:w="5954" w:type="dxa"/>
            <w:shd w:val="clear" w:color="auto" w:fill="auto"/>
          </w:tcPr>
          <w:p w:rsidR="008679F6" w:rsidRPr="00F138B9" w:rsidRDefault="008679F6" w:rsidP="00F138B9">
            <w:pPr>
              <w:pStyle w:val="Normal1linespace"/>
              <w:widowControl w:val="0"/>
              <w:jc w:val="left"/>
              <w:rPr>
                <w:b/>
              </w:rPr>
            </w:pPr>
            <w:r w:rsidRPr="00EB66DD">
              <w:rPr>
                <w:b/>
              </w:rPr>
              <w:fldChar w:fldCharType="begin" w:fldLock="1"/>
            </w:r>
            <w:r w:rsidRPr="00EB66DD">
              <w:rPr>
                <w:b/>
              </w:rPr>
              <w:instrText xml:space="preserve"> REF  Judge  \* MERGEFORMAT </w:instrText>
            </w:r>
            <w:r w:rsidRPr="00EB66DD">
              <w:rPr>
                <w:b/>
              </w:rPr>
              <w:fldChar w:fldCharType="separate"/>
            </w:r>
            <w:r w:rsidR="00EB66DD" w:rsidRPr="00EB66DD">
              <w:rPr>
                <w:b/>
                <w:caps/>
                <w:szCs w:val="24"/>
              </w:rPr>
              <w:t>MANSFIELD J</w:t>
            </w:r>
            <w:r w:rsidRPr="00EB66DD">
              <w:rPr>
                <w:b/>
              </w:rPr>
              <w:fldChar w:fldCharType="end"/>
            </w: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p>
        </w:tc>
        <w:tc>
          <w:tcPr>
            <w:tcW w:w="5954" w:type="dxa"/>
            <w:shd w:val="clear" w:color="auto" w:fill="auto"/>
          </w:tcPr>
          <w:p w:rsidR="008679F6" w:rsidRDefault="008679F6" w:rsidP="00F138B9">
            <w:pPr>
              <w:pStyle w:val="Normal1linespace"/>
              <w:widowControl w:val="0"/>
              <w:jc w:val="left"/>
            </w:pPr>
          </w:p>
        </w:tc>
      </w:tr>
      <w:tr w:rsidR="0005174A" w:rsidTr="00F138B9">
        <w:trPr>
          <w:gridAfter w:val="1"/>
          <w:wAfter w:w="25" w:type="dxa"/>
        </w:trPr>
        <w:tc>
          <w:tcPr>
            <w:tcW w:w="3085" w:type="dxa"/>
            <w:shd w:val="clear" w:color="auto" w:fill="auto"/>
          </w:tcPr>
          <w:p w:rsidR="0005174A" w:rsidRDefault="0005174A" w:rsidP="00F138B9">
            <w:pPr>
              <w:pStyle w:val="Normal1linespace"/>
              <w:widowControl w:val="0"/>
            </w:pPr>
            <w:r>
              <w:t>Date of judgment:</w:t>
            </w:r>
          </w:p>
        </w:tc>
        <w:tc>
          <w:tcPr>
            <w:tcW w:w="5954" w:type="dxa"/>
            <w:shd w:val="clear" w:color="auto" w:fill="auto"/>
          </w:tcPr>
          <w:p w:rsidR="0005174A" w:rsidRDefault="00EB66DD" w:rsidP="00F138B9">
            <w:pPr>
              <w:pStyle w:val="Normal1linespace"/>
              <w:widowControl w:val="0"/>
              <w:jc w:val="left"/>
            </w:pPr>
            <w:bookmarkStart w:id="3" w:name="JudgmentDate"/>
            <w:r>
              <w:t>5 December 2013</w:t>
            </w:r>
            <w:bookmarkEnd w:id="3"/>
          </w:p>
        </w:tc>
      </w:tr>
      <w:tr w:rsidR="0005174A" w:rsidTr="00F138B9">
        <w:trPr>
          <w:gridAfter w:val="1"/>
          <w:wAfter w:w="25" w:type="dxa"/>
        </w:trPr>
        <w:tc>
          <w:tcPr>
            <w:tcW w:w="3085" w:type="dxa"/>
            <w:shd w:val="clear" w:color="auto" w:fill="auto"/>
          </w:tcPr>
          <w:p w:rsidR="0005174A" w:rsidRDefault="0005174A" w:rsidP="00F138B9">
            <w:pPr>
              <w:pStyle w:val="Normal1linespace"/>
              <w:widowControl w:val="0"/>
            </w:pPr>
          </w:p>
        </w:tc>
        <w:tc>
          <w:tcPr>
            <w:tcW w:w="5954" w:type="dxa"/>
            <w:shd w:val="clear" w:color="auto" w:fill="auto"/>
          </w:tcPr>
          <w:p w:rsidR="0005174A" w:rsidRDefault="0005174A" w:rsidP="00F138B9">
            <w:pPr>
              <w:pStyle w:val="Normal1linespace"/>
              <w:widowControl w:val="0"/>
              <w:jc w:val="left"/>
            </w:pP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r>
              <w:t>Catchwords:</w:t>
            </w:r>
          </w:p>
        </w:tc>
        <w:tc>
          <w:tcPr>
            <w:tcW w:w="5954" w:type="dxa"/>
            <w:shd w:val="clear" w:color="auto" w:fill="auto"/>
          </w:tcPr>
          <w:p w:rsidR="008679F6" w:rsidRDefault="00AE2EAE" w:rsidP="00F138B9">
            <w:pPr>
              <w:pStyle w:val="Normal1linespace"/>
              <w:widowControl w:val="0"/>
              <w:jc w:val="left"/>
            </w:pPr>
            <w:bookmarkStart w:id="4" w:name="Catchwords"/>
            <w:r>
              <w:rPr>
                <w:b/>
              </w:rPr>
              <w:t xml:space="preserve">NATIVE TITLE </w:t>
            </w:r>
            <w:r>
              <w:t xml:space="preserve"> - consent determination – consideration of role of Court and State respondent – application definition of native title in s 223(1) of </w:t>
            </w:r>
            <w:r>
              <w:rPr>
                <w:i/>
              </w:rPr>
              <w:t xml:space="preserve">Native Title Act 1993 </w:t>
            </w:r>
            <w:r>
              <w:t xml:space="preserve">(Cth) – consideration of s 87 and s 225 of </w:t>
            </w:r>
            <w:r>
              <w:rPr>
                <w:i/>
              </w:rPr>
              <w:t xml:space="preserve">Native Title Act 1993 </w:t>
            </w:r>
            <w:r>
              <w:t>(Cth)</w:t>
            </w:r>
            <w:r w:rsidR="001932FA">
              <w:t xml:space="preserve"> </w:t>
            </w:r>
            <w:bookmarkEnd w:id="4"/>
          </w:p>
        </w:tc>
      </w:tr>
      <w:tr w:rsidR="00905900" w:rsidTr="00F138B9">
        <w:trPr>
          <w:gridAfter w:val="1"/>
          <w:wAfter w:w="25" w:type="dxa"/>
        </w:trPr>
        <w:tc>
          <w:tcPr>
            <w:tcW w:w="3085" w:type="dxa"/>
            <w:shd w:val="clear" w:color="auto" w:fill="auto"/>
          </w:tcPr>
          <w:p w:rsidR="00905900" w:rsidRDefault="00905900" w:rsidP="00F138B9">
            <w:pPr>
              <w:pStyle w:val="Normal1linespace"/>
              <w:widowControl w:val="0"/>
            </w:pPr>
          </w:p>
        </w:tc>
        <w:tc>
          <w:tcPr>
            <w:tcW w:w="5954" w:type="dxa"/>
            <w:shd w:val="clear" w:color="auto" w:fill="auto"/>
          </w:tcPr>
          <w:p w:rsidR="00905900" w:rsidRDefault="00905900" w:rsidP="00F138B9">
            <w:pPr>
              <w:pStyle w:val="Normal1linespace"/>
              <w:widowControl w:val="0"/>
              <w:jc w:val="left"/>
            </w:pP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r>
              <w:t>Legislation:</w:t>
            </w:r>
          </w:p>
        </w:tc>
        <w:tc>
          <w:tcPr>
            <w:tcW w:w="5954" w:type="dxa"/>
            <w:shd w:val="clear" w:color="auto" w:fill="auto"/>
          </w:tcPr>
          <w:p w:rsidR="0030112B" w:rsidRDefault="0030112B" w:rsidP="0030112B">
            <w:pPr>
              <w:spacing w:line="240" w:lineRule="auto"/>
            </w:pPr>
            <w:bookmarkStart w:id="5" w:name="Legislation"/>
            <w:r w:rsidRPr="00766AAA">
              <w:rPr>
                <w:i/>
              </w:rPr>
              <w:t>Native Title Act 1993</w:t>
            </w:r>
            <w:r>
              <w:t xml:space="preserve"> (Cth)</w:t>
            </w:r>
            <w:r w:rsidR="00AE2EAE">
              <w:t xml:space="preserve"> ss 13, 24EBA, 24IB, 24JA, 47A, 47B, 57, 61, 66, 87, 94A, 223, 225</w:t>
            </w:r>
          </w:p>
          <w:p w:rsidR="0030112B" w:rsidRDefault="0030112B" w:rsidP="0030112B">
            <w:pPr>
              <w:spacing w:line="240" w:lineRule="auto"/>
            </w:pPr>
            <w:r w:rsidRPr="00766AAA">
              <w:rPr>
                <w:i/>
              </w:rPr>
              <w:t>Harbors and Navigation Act 1993</w:t>
            </w:r>
            <w:r>
              <w:t xml:space="preserve"> (SA) </w:t>
            </w:r>
            <w:r w:rsidR="00AE2EAE">
              <w:t>s 15</w:t>
            </w:r>
          </w:p>
          <w:p w:rsidR="0030112B" w:rsidRDefault="0030112B" w:rsidP="0030112B">
            <w:pPr>
              <w:spacing w:line="240" w:lineRule="auto"/>
            </w:pPr>
            <w:r w:rsidRPr="00766AAA">
              <w:rPr>
                <w:i/>
              </w:rPr>
              <w:t>Native Title (South Australia) Act 1994</w:t>
            </w:r>
            <w:r>
              <w:t xml:space="preserve"> (SA)</w:t>
            </w:r>
            <w:r w:rsidR="00AE2EAE">
              <w:t xml:space="preserve"> s 36B</w:t>
            </w:r>
          </w:p>
          <w:p w:rsidR="00AE2EAE" w:rsidRDefault="00AE2EAE" w:rsidP="00AE2EAE">
            <w:pPr>
              <w:spacing w:line="240" w:lineRule="auto"/>
            </w:pPr>
            <w:r w:rsidRPr="00D5727E">
              <w:rPr>
                <w:i/>
              </w:rPr>
              <w:t>National Parks and Wildlife Act 197</w:t>
            </w:r>
            <w:r>
              <w:rPr>
                <w:i/>
              </w:rPr>
              <w:t>2</w:t>
            </w:r>
            <w:r>
              <w:t xml:space="preserve"> (SA)</w:t>
            </w:r>
          </w:p>
          <w:p w:rsidR="00AE2EAE" w:rsidRDefault="00AE2EAE" w:rsidP="00AE2EAE">
            <w:pPr>
              <w:spacing w:line="240" w:lineRule="auto"/>
            </w:pPr>
            <w:r>
              <w:rPr>
                <w:i/>
              </w:rPr>
              <w:t>Wilderness Protection Act 1992</w:t>
            </w:r>
            <w:r>
              <w:t xml:space="preserve"> (SA)</w:t>
            </w:r>
          </w:p>
          <w:p w:rsidR="00AE2EAE" w:rsidRDefault="00AE2EAE" w:rsidP="00AE2EAE">
            <w:pPr>
              <w:spacing w:line="240" w:lineRule="auto"/>
            </w:pPr>
            <w:r w:rsidRPr="00305318">
              <w:rPr>
                <w:i/>
              </w:rPr>
              <w:t>Natural Resources Management Act 2004</w:t>
            </w:r>
            <w:r>
              <w:t xml:space="preserve"> (SA)</w:t>
            </w:r>
          </w:p>
          <w:p w:rsidR="00AE2EAE" w:rsidRPr="00AE2EAE" w:rsidRDefault="00AE2EAE" w:rsidP="00AE2EAE">
            <w:pPr>
              <w:spacing w:line="240" w:lineRule="auto"/>
            </w:pPr>
            <w:r>
              <w:rPr>
                <w:i/>
              </w:rPr>
              <w:t xml:space="preserve">Aboriginal Lands Trust Act 1966 </w:t>
            </w:r>
            <w:r>
              <w:t>(SA)</w:t>
            </w:r>
          </w:p>
          <w:p w:rsidR="00AE2EAE" w:rsidRDefault="00AE2EAE" w:rsidP="00AE2EAE">
            <w:pPr>
              <w:spacing w:line="240" w:lineRule="auto"/>
            </w:pPr>
            <w:r w:rsidRPr="003D74F2">
              <w:rPr>
                <w:i/>
              </w:rPr>
              <w:t>Crown Land Management Act 2009</w:t>
            </w:r>
            <w:r>
              <w:t xml:space="preserve"> (SA)</w:t>
            </w:r>
          </w:p>
          <w:p w:rsidR="00AE2EAE" w:rsidRDefault="00AE2EAE" w:rsidP="00AE2EAE">
            <w:pPr>
              <w:spacing w:line="240" w:lineRule="auto"/>
            </w:pPr>
            <w:r w:rsidRPr="004E6DCF">
              <w:rPr>
                <w:i/>
              </w:rPr>
              <w:t>Crown Lan</w:t>
            </w:r>
            <w:r>
              <w:rPr>
                <w:i/>
              </w:rPr>
              <w:t xml:space="preserve">ds </w:t>
            </w:r>
            <w:r w:rsidRPr="004E6DCF">
              <w:rPr>
                <w:i/>
              </w:rPr>
              <w:t>Act 1929</w:t>
            </w:r>
            <w:r>
              <w:t xml:space="preserve"> (SA)</w:t>
            </w:r>
          </w:p>
          <w:p w:rsidR="0030112B" w:rsidRDefault="0030112B" w:rsidP="0030112B">
            <w:pPr>
              <w:spacing w:line="240" w:lineRule="auto"/>
            </w:pPr>
            <w:r w:rsidRPr="003D74F2">
              <w:rPr>
                <w:i/>
              </w:rPr>
              <w:t>Post and Telegraph Act 1901</w:t>
            </w:r>
            <w:r>
              <w:t xml:space="preserve"> (Cth)</w:t>
            </w:r>
          </w:p>
          <w:p w:rsidR="00595BFF" w:rsidRDefault="00595BFF" w:rsidP="00595BFF">
            <w:pPr>
              <w:spacing w:line="240" w:lineRule="auto"/>
            </w:pPr>
            <w:r>
              <w:rPr>
                <w:i/>
              </w:rPr>
              <w:t xml:space="preserve">Mining Act 1971 </w:t>
            </w:r>
            <w:r>
              <w:t>(SA)</w:t>
            </w:r>
          </w:p>
          <w:p w:rsidR="00595BFF" w:rsidRDefault="00595BFF" w:rsidP="00595BFF">
            <w:pPr>
              <w:spacing w:line="240" w:lineRule="auto"/>
            </w:pPr>
            <w:r>
              <w:rPr>
                <w:i/>
              </w:rPr>
              <w:t xml:space="preserve">Petroleum and Geothermal Energy Act 2000 </w:t>
            </w:r>
            <w:r>
              <w:t>(SA)</w:t>
            </w:r>
          </w:p>
          <w:p w:rsidR="00595BFF" w:rsidRPr="00AE2EAE" w:rsidRDefault="00595BFF" w:rsidP="00595BFF">
            <w:pPr>
              <w:spacing w:line="240" w:lineRule="auto"/>
            </w:pPr>
            <w:r>
              <w:rPr>
                <w:i/>
              </w:rPr>
              <w:t xml:space="preserve">Opal Mining Act 1995 </w:t>
            </w:r>
            <w:r>
              <w:t>(SA)</w:t>
            </w:r>
          </w:p>
          <w:p w:rsidR="0030112B" w:rsidRDefault="0030112B" w:rsidP="0030112B">
            <w:pPr>
              <w:spacing w:line="240" w:lineRule="auto"/>
            </w:pPr>
            <w:r w:rsidRPr="003D74F2">
              <w:rPr>
                <w:i/>
              </w:rPr>
              <w:t>Telecommunications Act 1975</w:t>
            </w:r>
            <w:r>
              <w:t xml:space="preserve"> (Cth)</w:t>
            </w:r>
          </w:p>
          <w:p w:rsidR="0030112B" w:rsidRDefault="0030112B" w:rsidP="0030112B">
            <w:pPr>
              <w:spacing w:line="240" w:lineRule="auto"/>
            </w:pPr>
            <w:r w:rsidRPr="003D74F2">
              <w:rPr>
                <w:i/>
              </w:rPr>
              <w:t>Australian Telecommunications Corporation Act 1989</w:t>
            </w:r>
            <w:r>
              <w:t xml:space="preserve"> (Cth)</w:t>
            </w:r>
          </w:p>
          <w:p w:rsidR="0030112B" w:rsidRDefault="0030112B" w:rsidP="0030112B">
            <w:pPr>
              <w:spacing w:line="240" w:lineRule="auto"/>
            </w:pPr>
            <w:r w:rsidRPr="003D74F2">
              <w:rPr>
                <w:i/>
              </w:rPr>
              <w:t>Telecommunications Act 1991</w:t>
            </w:r>
            <w:r>
              <w:t xml:space="preserve"> (Cth)</w:t>
            </w:r>
          </w:p>
          <w:p w:rsidR="0030112B" w:rsidRDefault="0030112B" w:rsidP="0030112B">
            <w:pPr>
              <w:spacing w:line="240" w:lineRule="auto"/>
            </w:pPr>
            <w:r w:rsidRPr="003D74F2">
              <w:rPr>
                <w:i/>
              </w:rPr>
              <w:t xml:space="preserve">Telecommunications Act 1997 </w:t>
            </w:r>
            <w:r>
              <w:t>(Cth)</w:t>
            </w:r>
          </w:p>
          <w:p w:rsidR="0030112B" w:rsidRDefault="0030112B" w:rsidP="0030112B">
            <w:pPr>
              <w:spacing w:line="240" w:lineRule="auto"/>
            </w:pPr>
            <w:r w:rsidRPr="004E6DCF">
              <w:rPr>
                <w:i/>
              </w:rPr>
              <w:t>Local Government Act 1934</w:t>
            </w:r>
            <w:r>
              <w:t xml:space="preserve"> (SA)</w:t>
            </w:r>
          </w:p>
          <w:p w:rsidR="0030112B" w:rsidRDefault="0030112B" w:rsidP="0030112B">
            <w:pPr>
              <w:spacing w:line="240" w:lineRule="auto"/>
            </w:pPr>
            <w:r w:rsidRPr="004E6DCF">
              <w:rPr>
                <w:i/>
              </w:rPr>
              <w:t>Local Government Act 1999 (SA)</w:t>
            </w:r>
            <w:r>
              <w:t>;</w:t>
            </w:r>
          </w:p>
          <w:bookmarkEnd w:id="5"/>
          <w:p w:rsidR="008679F6" w:rsidRDefault="008679F6" w:rsidP="00AE2EAE">
            <w:pPr>
              <w:spacing w:line="240" w:lineRule="auto"/>
            </w:pP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p>
        </w:tc>
        <w:tc>
          <w:tcPr>
            <w:tcW w:w="5954" w:type="dxa"/>
            <w:shd w:val="clear" w:color="auto" w:fill="auto"/>
          </w:tcPr>
          <w:p w:rsidR="008679F6" w:rsidRDefault="008679F6" w:rsidP="00F138B9">
            <w:pPr>
              <w:pStyle w:val="Normal1linespace"/>
              <w:widowControl w:val="0"/>
              <w:jc w:val="left"/>
            </w:pPr>
          </w:p>
        </w:tc>
      </w:tr>
      <w:tr w:rsidR="008679F6" w:rsidTr="00F138B9">
        <w:trPr>
          <w:gridAfter w:val="1"/>
          <w:wAfter w:w="25" w:type="dxa"/>
        </w:trPr>
        <w:tc>
          <w:tcPr>
            <w:tcW w:w="3085" w:type="dxa"/>
            <w:shd w:val="clear" w:color="auto" w:fill="auto"/>
          </w:tcPr>
          <w:p w:rsidR="008679F6" w:rsidRDefault="008679F6" w:rsidP="00F138B9">
            <w:pPr>
              <w:pStyle w:val="Normal1linespace"/>
              <w:widowControl w:val="0"/>
            </w:pPr>
            <w:r>
              <w:t>Cases cited:</w:t>
            </w:r>
          </w:p>
        </w:tc>
        <w:tc>
          <w:tcPr>
            <w:tcW w:w="5954" w:type="dxa"/>
            <w:shd w:val="clear" w:color="auto" w:fill="auto"/>
          </w:tcPr>
          <w:p w:rsidR="0030112B" w:rsidRDefault="0030112B" w:rsidP="0030112B">
            <w:pPr>
              <w:spacing w:line="240" w:lineRule="auto"/>
            </w:pPr>
            <w:bookmarkStart w:id="6" w:name="Cases_Cited"/>
            <w:r w:rsidRPr="0080245A">
              <w:rPr>
                <w:i/>
              </w:rPr>
              <w:t>Munn v Queensland</w:t>
            </w:r>
            <w:r>
              <w:t xml:space="preserve"> (2001) 115 FCR 109</w:t>
            </w:r>
            <w:r w:rsidR="00595BFF">
              <w:t xml:space="preserve"> referred to</w:t>
            </w:r>
          </w:p>
          <w:p w:rsidR="0030112B" w:rsidRDefault="0030112B" w:rsidP="0030112B">
            <w:pPr>
              <w:spacing w:line="240" w:lineRule="auto"/>
            </w:pPr>
            <w:r w:rsidRPr="0080245A">
              <w:rPr>
                <w:i/>
              </w:rPr>
              <w:t xml:space="preserve">Nelson v Northern Territory </w:t>
            </w:r>
            <w:r>
              <w:t>(2010) 190 FCR 344; [2010] FCA 1343</w:t>
            </w:r>
            <w:r w:rsidR="00595BFF">
              <w:t xml:space="preserve"> discussed</w:t>
            </w:r>
          </w:p>
          <w:p w:rsidR="0030112B" w:rsidRDefault="0030112B" w:rsidP="0030112B">
            <w:pPr>
              <w:spacing w:line="240" w:lineRule="auto"/>
            </w:pPr>
            <w:r>
              <w:rPr>
                <w:i/>
              </w:rPr>
              <w:t xml:space="preserve">Lovett on behalf of the Gunditjmara People v State of Victoria </w:t>
            </w:r>
            <w:r>
              <w:t>[2007] FCA 474</w:t>
            </w:r>
            <w:r w:rsidR="00595BFF">
              <w:t xml:space="preserve"> discussed</w:t>
            </w:r>
          </w:p>
          <w:p w:rsidR="0030112B" w:rsidRDefault="0030112B" w:rsidP="0030112B">
            <w:pPr>
              <w:spacing w:line="240" w:lineRule="auto"/>
            </w:pPr>
            <w:r w:rsidRPr="00D5727E">
              <w:rPr>
                <w:i/>
              </w:rPr>
              <w:t>Yorta Yorta</w:t>
            </w:r>
            <w:r>
              <w:rPr>
                <w:i/>
              </w:rPr>
              <w:t xml:space="preserve"> Aboriginal Community v Victoria </w:t>
            </w:r>
            <w:r>
              <w:t xml:space="preserve">(2002) 77 ALJR 356 </w:t>
            </w:r>
            <w:r w:rsidR="00595BFF">
              <w:t>referred to</w:t>
            </w:r>
          </w:p>
          <w:p w:rsidR="0030112B" w:rsidRDefault="0030112B" w:rsidP="0030112B">
            <w:pPr>
              <w:spacing w:line="240" w:lineRule="auto"/>
            </w:pPr>
            <w:r w:rsidRPr="00D5727E">
              <w:rPr>
                <w:i/>
              </w:rPr>
              <w:t>Risk v Northern Territory</w:t>
            </w:r>
            <w:r>
              <w:t xml:space="preserve"> [2006] FCA 404 </w:t>
            </w:r>
            <w:r w:rsidR="00595BFF">
              <w:t>referred to</w:t>
            </w:r>
          </w:p>
          <w:p w:rsidR="0030112B" w:rsidRDefault="0030112B" w:rsidP="0030112B">
            <w:pPr>
              <w:spacing w:line="240" w:lineRule="auto"/>
            </w:pPr>
            <w:r>
              <w:rPr>
                <w:i/>
              </w:rPr>
              <w:t xml:space="preserve">Akiba v Queensland (No </w:t>
            </w:r>
            <w:r w:rsidR="00595BFF">
              <w:rPr>
                <w:i/>
              </w:rPr>
              <w:t>3</w:t>
            </w:r>
            <w:r>
              <w:rPr>
                <w:i/>
              </w:rPr>
              <w:t xml:space="preserve">) </w:t>
            </w:r>
            <w:r w:rsidR="00595BFF">
              <w:t>(</w:t>
            </w:r>
            <w:r>
              <w:t>2010</w:t>
            </w:r>
            <w:r w:rsidR="00595BFF">
              <w:t>)</w:t>
            </w:r>
            <w:r>
              <w:t xml:space="preserve"> </w:t>
            </w:r>
            <w:r w:rsidR="00595BFF">
              <w:t>204 FCR 1 cited</w:t>
            </w:r>
          </w:p>
          <w:p w:rsidR="0030112B" w:rsidRDefault="0030112B" w:rsidP="0030112B">
            <w:pPr>
              <w:spacing w:line="240" w:lineRule="auto"/>
            </w:pPr>
            <w:r>
              <w:rPr>
                <w:i/>
              </w:rPr>
              <w:t xml:space="preserve">Sampi on behalf of the Bardi and Jawi People v Western Australia </w:t>
            </w:r>
            <w:r>
              <w:t>[2005] FCA 777</w:t>
            </w:r>
            <w:r w:rsidR="00595BFF">
              <w:t xml:space="preserve"> cited</w:t>
            </w:r>
          </w:p>
          <w:p w:rsidR="0030112B" w:rsidRDefault="0030112B" w:rsidP="0030112B">
            <w:pPr>
              <w:spacing w:line="240" w:lineRule="auto"/>
            </w:pPr>
            <w:r w:rsidRPr="00582F6B">
              <w:rPr>
                <w:i/>
              </w:rPr>
              <w:t>Karpany v Dietman</w:t>
            </w:r>
            <w:r>
              <w:t xml:space="preserve"> [2013] HCA 47</w:t>
            </w:r>
            <w:r w:rsidR="00595BFF">
              <w:t xml:space="preserve"> referred to</w:t>
            </w:r>
          </w:p>
          <w:p w:rsidR="008679F6" w:rsidRDefault="0030112B" w:rsidP="00F138B9">
            <w:pPr>
              <w:pStyle w:val="Normal1linespace"/>
              <w:widowControl w:val="0"/>
              <w:jc w:val="left"/>
            </w:pPr>
            <w:r>
              <w:t xml:space="preserve"> </w:t>
            </w:r>
            <w:bookmarkEnd w:id="6"/>
          </w:p>
        </w:tc>
      </w:tr>
      <w:tr w:rsidR="00582F6B" w:rsidRPr="001D7816" w:rsidTr="00EB66DD">
        <w:tblPrEx>
          <w:tblCellSpacing w:w="8" w:type="dxa"/>
        </w:tblPrEx>
        <w:trPr>
          <w:gridAfter w:val="1"/>
          <w:wAfter w:w="25" w:type="dxa"/>
          <w:tblCellSpacing w:w="8" w:type="dxa"/>
        </w:trPr>
        <w:tc>
          <w:tcPr>
            <w:tcW w:w="3062" w:type="dxa"/>
            <w:shd w:val="clear" w:color="auto" w:fill="auto"/>
          </w:tcPr>
          <w:p w:rsidR="00582F6B" w:rsidRPr="00061C52" w:rsidRDefault="00582F6B" w:rsidP="00582F6B">
            <w:pPr>
              <w:pStyle w:val="Normal1linespace"/>
              <w:jc w:val="left"/>
            </w:pPr>
          </w:p>
        </w:tc>
        <w:tc>
          <w:tcPr>
            <w:tcW w:w="5954" w:type="dxa"/>
            <w:shd w:val="clear" w:color="auto" w:fill="auto"/>
          </w:tcPr>
          <w:p w:rsidR="00582F6B" w:rsidRPr="00061C52" w:rsidRDefault="00582F6B" w:rsidP="00582F6B">
            <w:pPr>
              <w:pStyle w:val="Normal1linespace"/>
              <w:jc w:val="left"/>
            </w:pPr>
          </w:p>
        </w:tc>
      </w:tr>
      <w:tr w:rsidR="00582F6B" w:rsidRPr="001D7816" w:rsidTr="00EB66DD">
        <w:tblPrEx>
          <w:tblCellSpacing w:w="8" w:type="dxa"/>
        </w:tblPrEx>
        <w:trPr>
          <w:gridAfter w:val="1"/>
          <w:wAfter w:w="25" w:type="dxa"/>
          <w:tblCellSpacing w:w="8" w:type="dxa"/>
        </w:trPr>
        <w:tc>
          <w:tcPr>
            <w:tcW w:w="3062" w:type="dxa"/>
            <w:shd w:val="clear" w:color="auto" w:fill="auto"/>
          </w:tcPr>
          <w:p w:rsidR="00582F6B" w:rsidRPr="00061C52" w:rsidRDefault="00582F6B" w:rsidP="00582F6B">
            <w:pPr>
              <w:pStyle w:val="Normal1linespace"/>
              <w:jc w:val="left"/>
            </w:pPr>
            <w:bookmarkStart w:id="7" w:name="CounselDate"/>
            <w:r w:rsidRPr="00061C52">
              <w:t>Date of hearing:</w:t>
            </w:r>
          </w:p>
        </w:tc>
        <w:tc>
          <w:tcPr>
            <w:tcW w:w="5954" w:type="dxa"/>
            <w:shd w:val="clear" w:color="auto" w:fill="auto"/>
          </w:tcPr>
          <w:p w:rsidR="00582F6B" w:rsidRPr="00061C52" w:rsidRDefault="009B52E6" w:rsidP="00582F6B">
            <w:pPr>
              <w:pStyle w:val="Normal1linespace"/>
              <w:jc w:val="left"/>
            </w:pPr>
            <w:bookmarkStart w:id="8" w:name="HearingDate"/>
            <w:r>
              <w:t>5 December 2013</w:t>
            </w:r>
            <w:bookmarkEnd w:id="8"/>
          </w:p>
        </w:tc>
      </w:tr>
      <w:tr w:rsidR="00582F6B" w:rsidRPr="001D7816" w:rsidTr="00EB66DD">
        <w:tblPrEx>
          <w:tblCellSpacing w:w="8" w:type="dxa"/>
        </w:tblPrEx>
        <w:trPr>
          <w:gridAfter w:val="1"/>
          <w:wAfter w:w="25" w:type="dxa"/>
          <w:tblCellSpacing w:w="8" w:type="dxa"/>
        </w:trPr>
        <w:tc>
          <w:tcPr>
            <w:tcW w:w="3062" w:type="dxa"/>
            <w:shd w:val="clear" w:color="auto" w:fill="auto"/>
          </w:tcPr>
          <w:p w:rsidR="00582F6B" w:rsidRPr="00061C52" w:rsidRDefault="00582F6B" w:rsidP="00582F6B">
            <w:pPr>
              <w:pStyle w:val="Normal1linespace"/>
              <w:jc w:val="left"/>
            </w:pPr>
          </w:p>
        </w:tc>
        <w:tc>
          <w:tcPr>
            <w:tcW w:w="5954" w:type="dxa"/>
            <w:shd w:val="clear" w:color="auto" w:fill="auto"/>
          </w:tcPr>
          <w:p w:rsidR="00582F6B" w:rsidRPr="00061C52" w:rsidRDefault="00582F6B" w:rsidP="00582F6B">
            <w:pPr>
              <w:pStyle w:val="Normal1linespace"/>
              <w:jc w:val="left"/>
            </w:pPr>
          </w:p>
        </w:tc>
      </w:tr>
      <w:tr w:rsidR="00582F6B" w:rsidRPr="001D7816" w:rsidTr="00EB66DD">
        <w:tblPrEx>
          <w:tblCellSpacing w:w="8" w:type="dxa"/>
        </w:tblPrEx>
        <w:trPr>
          <w:gridAfter w:val="1"/>
          <w:wAfter w:w="25" w:type="dxa"/>
          <w:tblCellSpacing w:w="8" w:type="dxa"/>
        </w:trPr>
        <w:tc>
          <w:tcPr>
            <w:tcW w:w="3062" w:type="dxa"/>
            <w:shd w:val="clear" w:color="auto" w:fill="auto"/>
          </w:tcPr>
          <w:p w:rsidR="00582F6B" w:rsidRPr="00061C52" w:rsidRDefault="00582F6B" w:rsidP="00582F6B">
            <w:pPr>
              <w:pStyle w:val="Normal1linespace"/>
              <w:jc w:val="left"/>
            </w:pPr>
            <w:r w:rsidRPr="00061C52">
              <w:t>Date of last submissions:</w:t>
            </w:r>
          </w:p>
        </w:tc>
        <w:tc>
          <w:tcPr>
            <w:tcW w:w="5954" w:type="dxa"/>
            <w:shd w:val="clear" w:color="auto" w:fill="auto"/>
          </w:tcPr>
          <w:p w:rsidR="00582F6B" w:rsidRPr="00061C52" w:rsidRDefault="00D822A9" w:rsidP="00582F6B">
            <w:pPr>
              <w:pStyle w:val="Normal1linespace"/>
              <w:jc w:val="left"/>
            </w:pPr>
            <w:r>
              <w:t>18 November 2013</w:t>
            </w:r>
          </w:p>
        </w:tc>
      </w:tr>
      <w:bookmarkEnd w:id="7"/>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p>
        </w:tc>
        <w:tc>
          <w:tcPr>
            <w:tcW w:w="5954" w:type="dxa"/>
            <w:gridSpan w:val="2"/>
            <w:shd w:val="clear" w:color="auto" w:fill="auto"/>
          </w:tcPr>
          <w:p w:rsidR="00582F6B" w:rsidRPr="00061C52" w:rsidRDefault="00582F6B" w:rsidP="00582F6B">
            <w:pPr>
              <w:pStyle w:val="Normal1linespace"/>
              <w:jc w:val="left"/>
            </w:pPr>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r w:rsidRPr="00061C52">
              <w:t>Place:</w:t>
            </w:r>
          </w:p>
        </w:tc>
        <w:tc>
          <w:tcPr>
            <w:tcW w:w="5954" w:type="dxa"/>
            <w:gridSpan w:val="2"/>
            <w:shd w:val="clear" w:color="auto" w:fill="auto"/>
          </w:tcPr>
          <w:p w:rsidR="00582F6B" w:rsidRPr="00595BFF" w:rsidRDefault="00595BFF" w:rsidP="00582F6B">
            <w:pPr>
              <w:pStyle w:val="Normal1linespace"/>
              <w:jc w:val="left"/>
            </w:pPr>
            <w:r w:rsidRPr="00595BFF">
              <w:t>Adelaide</w:t>
            </w:r>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p>
        </w:tc>
        <w:tc>
          <w:tcPr>
            <w:tcW w:w="5954" w:type="dxa"/>
            <w:gridSpan w:val="2"/>
            <w:shd w:val="clear" w:color="auto" w:fill="auto"/>
          </w:tcPr>
          <w:p w:rsidR="00582F6B" w:rsidRPr="00061C52" w:rsidRDefault="00582F6B" w:rsidP="00582F6B">
            <w:pPr>
              <w:pStyle w:val="Normal1linespace"/>
              <w:jc w:val="left"/>
            </w:pPr>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r w:rsidRPr="00061C52">
              <w:t>Division:</w:t>
            </w:r>
          </w:p>
        </w:tc>
        <w:tc>
          <w:tcPr>
            <w:tcW w:w="5954" w:type="dxa"/>
            <w:gridSpan w:val="2"/>
            <w:shd w:val="clear" w:color="auto" w:fill="auto"/>
          </w:tcPr>
          <w:p w:rsidR="00582F6B" w:rsidRPr="00061C52" w:rsidRDefault="00DD4A00" w:rsidP="00582F6B">
            <w:pPr>
              <w:pStyle w:val="Normal1linespace"/>
              <w:jc w:val="left"/>
            </w:pPr>
            <w:fldSimple w:instr=" REF  Division  \* MERGEFORMAT " w:fldLock="1">
              <w:r w:rsidR="00EB66DD" w:rsidRPr="00EB66DD">
                <w:t>GENERAL</w:t>
              </w:r>
              <w:r w:rsidR="00EB66DD">
                <w:rPr>
                  <w:caps/>
                  <w:szCs w:val="24"/>
                </w:rPr>
                <w:t xml:space="preserve"> DIVISION</w:t>
              </w:r>
            </w:fldSimple>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p>
        </w:tc>
        <w:tc>
          <w:tcPr>
            <w:tcW w:w="5954" w:type="dxa"/>
            <w:gridSpan w:val="2"/>
            <w:shd w:val="clear" w:color="auto" w:fill="auto"/>
          </w:tcPr>
          <w:p w:rsidR="00582F6B" w:rsidRPr="00061C52" w:rsidRDefault="00582F6B" w:rsidP="00582F6B">
            <w:pPr>
              <w:pStyle w:val="Normal1linespace"/>
              <w:jc w:val="left"/>
            </w:pPr>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r w:rsidRPr="00061C52">
              <w:t>Category:</w:t>
            </w:r>
          </w:p>
        </w:tc>
        <w:tc>
          <w:tcPr>
            <w:tcW w:w="5954" w:type="dxa"/>
            <w:gridSpan w:val="2"/>
            <w:shd w:val="clear" w:color="auto" w:fill="auto"/>
          </w:tcPr>
          <w:p w:rsidR="00582F6B" w:rsidRPr="00061C52" w:rsidRDefault="002F07EB" w:rsidP="00582F6B">
            <w:pPr>
              <w:pStyle w:val="Normal1linespace"/>
              <w:jc w:val="left"/>
            </w:pPr>
            <w:r>
              <w:t>Catchwords</w:t>
            </w:r>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p>
        </w:tc>
        <w:tc>
          <w:tcPr>
            <w:tcW w:w="5954" w:type="dxa"/>
            <w:gridSpan w:val="2"/>
            <w:shd w:val="clear" w:color="auto" w:fill="auto"/>
          </w:tcPr>
          <w:p w:rsidR="00582F6B" w:rsidRPr="00061C52" w:rsidRDefault="00582F6B" w:rsidP="00582F6B">
            <w:pPr>
              <w:pStyle w:val="Normal1linespace"/>
              <w:jc w:val="left"/>
            </w:pPr>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r w:rsidRPr="00061C52">
              <w:t>Number of paragraphs:</w:t>
            </w:r>
          </w:p>
        </w:tc>
        <w:tc>
          <w:tcPr>
            <w:tcW w:w="5954" w:type="dxa"/>
            <w:gridSpan w:val="2"/>
            <w:shd w:val="clear" w:color="auto" w:fill="auto"/>
          </w:tcPr>
          <w:p w:rsidR="00582F6B" w:rsidRPr="00061C52" w:rsidRDefault="009B52E6" w:rsidP="00270432">
            <w:pPr>
              <w:pStyle w:val="Normal1linespace"/>
              <w:jc w:val="left"/>
            </w:pPr>
            <w:r>
              <w:t>10</w:t>
            </w:r>
            <w:r w:rsidR="00270432">
              <w:t>5</w:t>
            </w:r>
          </w:p>
        </w:tc>
      </w:tr>
      <w:tr w:rsidR="00582F6B" w:rsidRPr="001D7816" w:rsidTr="00EB66DD">
        <w:tblPrEx>
          <w:tblCellSpacing w:w="8" w:type="dxa"/>
        </w:tblPrEx>
        <w:trPr>
          <w:tblCellSpacing w:w="8" w:type="dxa"/>
        </w:trPr>
        <w:tc>
          <w:tcPr>
            <w:tcW w:w="3062" w:type="dxa"/>
            <w:shd w:val="clear" w:color="auto" w:fill="auto"/>
          </w:tcPr>
          <w:p w:rsidR="00582F6B" w:rsidRPr="00061C52" w:rsidRDefault="00582F6B" w:rsidP="00582F6B">
            <w:pPr>
              <w:pStyle w:val="Normal1linespace"/>
              <w:jc w:val="left"/>
            </w:pPr>
          </w:p>
        </w:tc>
        <w:tc>
          <w:tcPr>
            <w:tcW w:w="5954" w:type="dxa"/>
            <w:gridSpan w:val="2"/>
            <w:shd w:val="clear" w:color="auto" w:fill="auto"/>
          </w:tcPr>
          <w:p w:rsidR="00582F6B" w:rsidRPr="00061C52" w:rsidRDefault="00582F6B" w:rsidP="00582F6B">
            <w:pPr>
              <w:pStyle w:val="Normal1linespace"/>
              <w:jc w:val="left"/>
            </w:pPr>
          </w:p>
        </w:tc>
      </w:tr>
      <w:tr w:rsidR="009B52E6" w:rsidRPr="001D7816" w:rsidTr="00AE2EAE">
        <w:tblPrEx>
          <w:tblCellSpacing w:w="8" w:type="dxa"/>
        </w:tblPrEx>
        <w:trPr>
          <w:tblCellSpacing w:w="8" w:type="dxa"/>
        </w:trPr>
        <w:tc>
          <w:tcPr>
            <w:tcW w:w="3062" w:type="dxa"/>
            <w:shd w:val="clear" w:color="auto" w:fill="auto"/>
          </w:tcPr>
          <w:p w:rsidR="009B52E6" w:rsidRPr="00061C52" w:rsidRDefault="009B52E6" w:rsidP="009B52E6">
            <w:pPr>
              <w:pStyle w:val="Normal1linespace"/>
              <w:jc w:val="left"/>
            </w:pPr>
          </w:p>
        </w:tc>
        <w:tc>
          <w:tcPr>
            <w:tcW w:w="5954" w:type="dxa"/>
            <w:gridSpan w:val="2"/>
            <w:shd w:val="clear" w:color="auto" w:fill="auto"/>
          </w:tcPr>
          <w:p w:rsidR="009B52E6" w:rsidRPr="00061C52" w:rsidRDefault="009B52E6" w:rsidP="009B52E6">
            <w:pPr>
              <w:pStyle w:val="Normal1linespace"/>
              <w:jc w:val="left"/>
            </w:pPr>
          </w:p>
        </w:tc>
      </w:tr>
      <w:tr w:rsidR="009B52E6" w:rsidRPr="001D7816" w:rsidTr="00AE2EAE">
        <w:tblPrEx>
          <w:tblCellSpacing w:w="8" w:type="dxa"/>
        </w:tblPrEx>
        <w:trPr>
          <w:tblCellSpacing w:w="8" w:type="dxa"/>
        </w:trPr>
        <w:tc>
          <w:tcPr>
            <w:tcW w:w="3062" w:type="dxa"/>
            <w:shd w:val="clear" w:color="auto" w:fill="auto"/>
          </w:tcPr>
          <w:p w:rsidR="009B52E6" w:rsidRPr="00061C52" w:rsidRDefault="009B52E6" w:rsidP="009B52E6">
            <w:pPr>
              <w:pStyle w:val="Normal1linespace"/>
              <w:jc w:val="left"/>
            </w:pPr>
            <w:bookmarkStart w:id="9" w:name="Counsel"/>
            <w:r>
              <w:t>Counsel for the Applicant:</w:t>
            </w:r>
          </w:p>
        </w:tc>
        <w:tc>
          <w:tcPr>
            <w:tcW w:w="5954" w:type="dxa"/>
            <w:gridSpan w:val="2"/>
            <w:shd w:val="clear" w:color="auto" w:fill="auto"/>
          </w:tcPr>
          <w:p w:rsidR="009B52E6" w:rsidRPr="00061C52" w:rsidRDefault="009B52E6" w:rsidP="009B52E6">
            <w:pPr>
              <w:pStyle w:val="Normal1linespace"/>
              <w:jc w:val="left"/>
            </w:pPr>
            <w:bookmarkStart w:id="10" w:name="AppCounsel"/>
            <w:bookmarkEnd w:id="10"/>
            <w:r>
              <w:t>O Linde</w:t>
            </w:r>
          </w:p>
        </w:tc>
      </w:tr>
      <w:tr w:rsidR="009B52E6" w:rsidRPr="001D7816" w:rsidTr="00AE2EAE">
        <w:tblPrEx>
          <w:tblCellSpacing w:w="8" w:type="dxa"/>
        </w:tblPrEx>
        <w:trPr>
          <w:tblCellSpacing w:w="8" w:type="dxa"/>
        </w:trPr>
        <w:tc>
          <w:tcPr>
            <w:tcW w:w="3062" w:type="dxa"/>
            <w:shd w:val="clear" w:color="auto" w:fill="auto"/>
          </w:tcPr>
          <w:p w:rsidR="009B52E6" w:rsidRDefault="009B52E6" w:rsidP="009B52E6">
            <w:pPr>
              <w:pStyle w:val="Normal1linespace"/>
              <w:jc w:val="left"/>
            </w:pPr>
          </w:p>
        </w:tc>
        <w:tc>
          <w:tcPr>
            <w:tcW w:w="5954" w:type="dxa"/>
            <w:gridSpan w:val="2"/>
            <w:shd w:val="clear" w:color="auto" w:fill="auto"/>
          </w:tcPr>
          <w:p w:rsidR="009B52E6" w:rsidRDefault="009B52E6" w:rsidP="009B52E6">
            <w:pPr>
              <w:pStyle w:val="Normal1linespace"/>
              <w:jc w:val="left"/>
            </w:pPr>
          </w:p>
        </w:tc>
      </w:tr>
      <w:tr w:rsidR="009B52E6" w:rsidRPr="001D7816" w:rsidTr="00AE2EAE">
        <w:tblPrEx>
          <w:tblCellSpacing w:w="8" w:type="dxa"/>
        </w:tblPrEx>
        <w:trPr>
          <w:tblCellSpacing w:w="8" w:type="dxa"/>
        </w:trPr>
        <w:tc>
          <w:tcPr>
            <w:tcW w:w="3062" w:type="dxa"/>
            <w:shd w:val="clear" w:color="auto" w:fill="auto"/>
          </w:tcPr>
          <w:p w:rsidR="009B52E6" w:rsidRDefault="009B52E6" w:rsidP="009B52E6">
            <w:pPr>
              <w:pStyle w:val="Normal1linespace"/>
              <w:jc w:val="left"/>
            </w:pPr>
            <w:r>
              <w:t>Solicitor for the Applicant:</w:t>
            </w:r>
          </w:p>
        </w:tc>
        <w:tc>
          <w:tcPr>
            <w:tcW w:w="5954" w:type="dxa"/>
            <w:gridSpan w:val="2"/>
            <w:shd w:val="clear" w:color="auto" w:fill="auto"/>
          </w:tcPr>
          <w:p w:rsidR="009B52E6" w:rsidRDefault="00340CE9" w:rsidP="009B52E6">
            <w:pPr>
              <w:pStyle w:val="Normal1linespace"/>
              <w:jc w:val="left"/>
            </w:pPr>
            <w:r>
              <w:t>South Australian Native Title Services Ltd</w:t>
            </w:r>
          </w:p>
        </w:tc>
      </w:tr>
      <w:tr w:rsidR="009B52E6" w:rsidRPr="001D7816" w:rsidTr="00AE2EAE">
        <w:tblPrEx>
          <w:tblCellSpacing w:w="8" w:type="dxa"/>
        </w:tblPrEx>
        <w:trPr>
          <w:tblCellSpacing w:w="8" w:type="dxa"/>
        </w:trPr>
        <w:tc>
          <w:tcPr>
            <w:tcW w:w="3062" w:type="dxa"/>
            <w:shd w:val="clear" w:color="auto" w:fill="auto"/>
          </w:tcPr>
          <w:p w:rsidR="009B52E6" w:rsidRDefault="009B52E6" w:rsidP="009B52E6">
            <w:pPr>
              <w:pStyle w:val="Normal1linespace"/>
              <w:jc w:val="left"/>
            </w:pPr>
          </w:p>
        </w:tc>
        <w:tc>
          <w:tcPr>
            <w:tcW w:w="5954" w:type="dxa"/>
            <w:gridSpan w:val="2"/>
            <w:shd w:val="clear" w:color="auto" w:fill="auto"/>
          </w:tcPr>
          <w:p w:rsidR="009B52E6" w:rsidRDefault="009B52E6" w:rsidP="009B52E6">
            <w:pPr>
              <w:pStyle w:val="Normal1linespace"/>
              <w:jc w:val="left"/>
            </w:pPr>
          </w:p>
        </w:tc>
      </w:tr>
      <w:tr w:rsidR="009B52E6" w:rsidRPr="001D7816" w:rsidTr="00AE2EAE">
        <w:tblPrEx>
          <w:tblCellSpacing w:w="8" w:type="dxa"/>
        </w:tblPrEx>
        <w:trPr>
          <w:tblCellSpacing w:w="8" w:type="dxa"/>
        </w:trPr>
        <w:tc>
          <w:tcPr>
            <w:tcW w:w="3062" w:type="dxa"/>
            <w:shd w:val="clear" w:color="auto" w:fill="auto"/>
          </w:tcPr>
          <w:p w:rsidR="009B52E6" w:rsidRDefault="009B52E6" w:rsidP="009B52E6">
            <w:pPr>
              <w:pStyle w:val="Normal1linespace"/>
              <w:jc w:val="left"/>
            </w:pPr>
            <w:r>
              <w:t xml:space="preserve">Counsel for the </w:t>
            </w:r>
            <w:r w:rsidR="00340CE9">
              <w:t xml:space="preserve">First </w:t>
            </w:r>
            <w:r>
              <w:t>Respondent:</w:t>
            </w:r>
          </w:p>
        </w:tc>
        <w:tc>
          <w:tcPr>
            <w:tcW w:w="5954" w:type="dxa"/>
            <w:gridSpan w:val="2"/>
            <w:shd w:val="clear" w:color="auto" w:fill="auto"/>
          </w:tcPr>
          <w:p w:rsidR="009B52E6" w:rsidRDefault="009B52E6" w:rsidP="009B52E6">
            <w:pPr>
              <w:pStyle w:val="Normal1linespace"/>
              <w:jc w:val="left"/>
            </w:pPr>
            <w:r>
              <w:t>G Reid</w:t>
            </w:r>
          </w:p>
        </w:tc>
      </w:tr>
      <w:tr w:rsidR="009B52E6" w:rsidRPr="001D7816" w:rsidTr="00AE2EAE">
        <w:tblPrEx>
          <w:tblCellSpacing w:w="8" w:type="dxa"/>
        </w:tblPrEx>
        <w:trPr>
          <w:tblCellSpacing w:w="8" w:type="dxa"/>
        </w:trPr>
        <w:tc>
          <w:tcPr>
            <w:tcW w:w="3062" w:type="dxa"/>
            <w:shd w:val="clear" w:color="auto" w:fill="auto"/>
          </w:tcPr>
          <w:p w:rsidR="009B52E6" w:rsidRDefault="009B52E6" w:rsidP="009B52E6">
            <w:pPr>
              <w:pStyle w:val="Normal1linespace"/>
              <w:jc w:val="left"/>
            </w:pPr>
          </w:p>
        </w:tc>
        <w:tc>
          <w:tcPr>
            <w:tcW w:w="5954" w:type="dxa"/>
            <w:gridSpan w:val="2"/>
            <w:shd w:val="clear" w:color="auto" w:fill="auto"/>
          </w:tcPr>
          <w:p w:rsidR="009B52E6" w:rsidRDefault="009B52E6" w:rsidP="009B52E6">
            <w:pPr>
              <w:pStyle w:val="Normal1linespace"/>
              <w:jc w:val="left"/>
            </w:pPr>
          </w:p>
        </w:tc>
      </w:tr>
      <w:tr w:rsidR="009B52E6" w:rsidRPr="001D7816" w:rsidTr="00AE2EAE">
        <w:tblPrEx>
          <w:tblCellSpacing w:w="8" w:type="dxa"/>
        </w:tblPrEx>
        <w:trPr>
          <w:tblCellSpacing w:w="8" w:type="dxa"/>
        </w:trPr>
        <w:tc>
          <w:tcPr>
            <w:tcW w:w="3062" w:type="dxa"/>
            <w:shd w:val="clear" w:color="auto" w:fill="auto"/>
          </w:tcPr>
          <w:p w:rsidR="009B52E6" w:rsidRDefault="009B52E6" w:rsidP="009B52E6">
            <w:pPr>
              <w:pStyle w:val="Normal1linespace"/>
              <w:jc w:val="left"/>
            </w:pPr>
            <w:r>
              <w:t xml:space="preserve">Solicitor for the </w:t>
            </w:r>
            <w:r w:rsidR="00340CE9">
              <w:t xml:space="preserve">First </w:t>
            </w:r>
            <w:r>
              <w:t>Respondent:</w:t>
            </w:r>
          </w:p>
        </w:tc>
        <w:tc>
          <w:tcPr>
            <w:tcW w:w="5954" w:type="dxa"/>
            <w:gridSpan w:val="2"/>
            <w:shd w:val="clear" w:color="auto" w:fill="auto"/>
          </w:tcPr>
          <w:p w:rsidR="009B52E6" w:rsidRDefault="00340CE9" w:rsidP="009B52E6">
            <w:pPr>
              <w:pStyle w:val="Normal1linespace"/>
              <w:jc w:val="left"/>
            </w:pPr>
            <w:r>
              <w:t>Crown Solicitor’s Office South Australia</w:t>
            </w:r>
          </w:p>
        </w:tc>
      </w:tr>
      <w:tr w:rsidR="00340CE9" w:rsidRPr="001D7816" w:rsidTr="00AE2EAE">
        <w:tblPrEx>
          <w:tblCellSpacing w:w="8" w:type="dxa"/>
        </w:tblPrEx>
        <w:trPr>
          <w:tblCellSpacing w:w="8" w:type="dxa"/>
        </w:trPr>
        <w:tc>
          <w:tcPr>
            <w:tcW w:w="3062" w:type="dxa"/>
            <w:shd w:val="clear" w:color="auto" w:fill="auto"/>
          </w:tcPr>
          <w:p w:rsidR="00340CE9" w:rsidRDefault="00340CE9" w:rsidP="009B52E6">
            <w:pPr>
              <w:pStyle w:val="Normal1linespace"/>
              <w:jc w:val="left"/>
            </w:pPr>
          </w:p>
        </w:tc>
        <w:tc>
          <w:tcPr>
            <w:tcW w:w="5954" w:type="dxa"/>
            <w:gridSpan w:val="2"/>
            <w:shd w:val="clear" w:color="auto" w:fill="auto"/>
          </w:tcPr>
          <w:p w:rsidR="00340CE9" w:rsidRDefault="00340CE9" w:rsidP="009B52E6">
            <w:pPr>
              <w:pStyle w:val="Normal1linespace"/>
              <w:jc w:val="left"/>
            </w:pPr>
          </w:p>
        </w:tc>
      </w:tr>
      <w:tr w:rsidR="00340CE9" w:rsidRPr="001D7816" w:rsidTr="00AE2EAE">
        <w:tblPrEx>
          <w:tblCellSpacing w:w="8" w:type="dxa"/>
        </w:tblPrEx>
        <w:trPr>
          <w:tblCellSpacing w:w="8" w:type="dxa"/>
        </w:trPr>
        <w:tc>
          <w:tcPr>
            <w:tcW w:w="3062" w:type="dxa"/>
            <w:shd w:val="clear" w:color="auto" w:fill="auto"/>
          </w:tcPr>
          <w:p w:rsidR="00340CE9" w:rsidRDefault="00340CE9" w:rsidP="00340CE9">
            <w:pPr>
              <w:pStyle w:val="Normal1linespace"/>
              <w:jc w:val="left"/>
            </w:pPr>
            <w:r>
              <w:t>Counsel for the Pastoral &amp; Fishing Interests:</w:t>
            </w:r>
          </w:p>
        </w:tc>
        <w:tc>
          <w:tcPr>
            <w:tcW w:w="5954" w:type="dxa"/>
            <w:gridSpan w:val="2"/>
            <w:shd w:val="clear" w:color="auto" w:fill="auto"/>
          </w:tcPr>
          <w:p w:rsidR="00340CE9" w:rsidRDefault="00340CE9" w:rsidP="009B52E6">
            <w:pPr>
              <w:pStyle w:val="Normal1linespace"/>
              <w:jc w:val="left"/>
            </w:pPr>
            <w:r>
              <w:t>T Mellor</w:t>
            </w:r>
          </w:p>
        </w:tc>
      </w:tr>
      <w:tr w:rsidR="00340CE9" w:rsidRPr="001D7816" w:rsidTr="00AE2EAE">
        <w:tblPrEx>
          <w:tblCellSpacing w:w="8" w:type="dxa"/>
        </w:tblPrEx>
        <w:trPr>
          <w:tblCellSpacing w:w="8" w:type="dxa"/>
        </w:trPr>
        <w:tc>
          <w:tcPr>
            <w:tcW w:w="3062" w:type="dxa"/>
            <w:shd w:val="clear" w:color="auto" w:fill="auto"/>
          </w:tcPr>
          <w:p w:rsidR="00340CE9" w:rsidRDefault="00340CE9" w:rsidP="009B52E6">
            <w:pPr>
              <w:pStyle w:val="Normal1linespace"/>
              <w:jc w:val="left"/>
            </w:pPr>
          </w:p>
        </w:tc>
        <w:tc>
          <w:tcPr>
            <w:tcW w:w="5954" w:type="dxa"/>
            <w:gridSpan w:val="2"/>
            <w:shd w:val="clear" w:color="auto" w:fill="auto"/>
          </w:tcPr>
          <w:p w:rsidR="00340CE9" w:rsidRDefault="00340CE9" w:rsidP="009B52E6">
            <w:pPr>
              <w:pStyle w:val="Normal1linespace"/>
              <w:jc w:val="left"/>
            </w:pPr>
          </w:p>
        </w:tc>
      </w:tr>
      <w:tr w:rsidR="00340CE9" w:rsidRPr="001D7816" w:rsidTr="00AE2EAE">
        <w:tblPrEx>
          <w:tblCellSpacing w:w="8" w:type="dxa"/>
        </w:tblPrEx>
        <w:trPr>
          <w:tblCellSpacing w:w="8" w:type="dxa"/>
        </w:trPr>
        <w:tc>
          <w:tcPr>
            <w:tcW w:w="3062" w:type="dxa"/>
            <w:shd w:val="clear" w:color="auto" w:fill="auto"/>
          </w:tcPr>
          <w:p w:rsidR="00340CE9" w:rsidRDefault="00340CE9" w:rsidP="00340CE9">
            <w:pPr>
              <w:pStyle w:val="Normal1linespace"/>
              <w:jc w:val="left"/>
            </w:pPr>
            <w:r>
              <w:t>Solicitor for the Pastoral &amp; Fishing Interests:</w:t>
            </w:r>
          </w:p>
        </w:tc>
        <w:tc>
          <w:tcPr>
            <w:tcW w:w="5954" w:type="dxa"/>
            <w:gridSpan w:val="2"/>
            <w:shd w:val="clear" w:color="auto" w:fill="auto"/>
          </w:tcPr>
          <w:p w:rsidR="00340CE9" w:rsidRDefault="00340CE9" w:rsidP="009B52E6">
            <w:pPr>
              <w:pStyle w:val="Normal1linespace"/>
              <w:jc w:val="left"/>
            </w:pPr>
            <w:r>
              <w:t>Mellor Olsson</w:t>
            </w:r>
          </w:p>
        </w:tc>
      </w:tr>
      <w:tr w:rsidR="00340CE9" w:rsidRPr="001D7816" w:rsidTr="00AE2EAE">
        <w:tblPrEx>
          <w:tblCellSpacing w:w="8" w:type="dxa"/>
        </w:tblPrEx>
        <w:trPr>
          <w:tblCellSpacing w:w="8" w:type="dxa"/>
        </w:trPr>
        <w:tc>
          <w:tcPr>
            <w:tcW w:w="3062" w:type="dxa"/>
            <w:shd w:val="clear" w:color="auto" w:fill="auto"/>
          </w:tcPr>
          <w:p w:rsidR="00340CE9" w:rsidRDefault="00340CE9" w:rsidP="009B52E6">
            <w:pPr>
              <w:pStyle w:val="Normal1linespace"/>
              <w:jc w:val="left"/>
            </w:pPr>
          </w:p>
        </w:tc>
        <w:tc>
          <w:tcPr>
            <w:tcW w:w="5954" w:type="dxa"/>
            <w:gridSpan w:val="2"/>
            <w:shd w:val="clear" w:color="auto" w:fill="auto"/>
          </w:tcPr>
          <w:p w:rsidR="00340CE9" w:rsidRDefault="00340CE9" w:rsidP="009B52E6">
            <w:pPr>
              <w:pStyle w:val="Normal1linespace"/>
              <w:jc w:val="left"/>
            </w:pPr>
          </w:p>
        </w:tc>
      </w:tr>
      <w:tr w:rsidR="00340CE9" w:rsidRPr="001D7816" w:rsidTr="00AE2EAE">
        <w:tblPrEx>
          <w:tblCellSpacing w:w="8" w:type="dxa"/>
        </w:tblPrEx>
        <w:trPr>
          <w:tblCellSpacing w:w="8" w:type="dxa"/>
        </w:trPr>
        <w:tc>
          <w:tcPr>
            <w:tcW w:w="3062" w:type="dxa"/>
            <w:shd w:val="clear" w:color="auto" w:fill="auto"/>
          </w:tcPr>
          <w:p w:rsidR="00340CE9" w:rsidRDefault="00340CE9" w:rsidP="009B52E6">
            <w:pPr>
              <w:pStyle w:val="Normal1linespace"/>
              <w:jc w:val="left"/>
            </w:pPr>
            <w:r>
              <w:t>Counsel for the District Council of Ceduna:</w:t>
            </w:r>
          </w:p>
        </w:tc>
        <w:tc>
          <w:tcPr>
            <w:tcW w:w="5954" w:type="dxa"/>
            <w:gridSpan w:val="2"/>
            <w:shd w:val="clear" w:color="auto" w:fill="auto"/>
          </w:tcPr>
          <w:p w:rsidR="00340CE9" w:rsidRDefault="00340CE9" w:rsidP="009B52E6">
            <w:pPr>
              <w:pStyle w:val="Normal1linespace"/>
              <w:jc w:val="left"/>
            </w:pPr>
            <w:r>
              <w:t>R Craddock</w:t>
            </w:r>
          </w:p>
        </w:tc>
      </w:tr>
      <w:tr w:rsidR="00340CE9" w:rsidRPr="001D7816" w:rsidTr="00AE2EAE">
        <w:tblPrEx>
          <w:tblCellSpacing w:w="8" w:type="dxa"/>
        </w:tblPrEx>
        <w:trPr>
          <w:tblCellSpacing w:w="8" w:type="dxa"/>
        </w:trPr>
        <w:tc>
          <w:tcPr>
            <w:tcW w:w="3062" w:type="dxa"/>
            <w:shd w:val="clear" w:color="auto" w:fill="auto"/>
          </w:tcPr>
          <w:p w:rsidR="00340CE9" w:rsidRDefault="00340CE9" w:rsidP="009B52E6">
            <w:pPr>
              <w:pStyle w:val="Normal1linespace"/>
              <w:jc w:val="left"/>
            </w:pPr>
          </w:p>
        </w:tc>
        <w:tc>
          <w:tcPr>
            <w:tcW w:w="5954" w:type="dxa"/>
            <w:gridSpan w:val="2"/>
            <w:shd w:val="clear" w:color="auto" w:fill="auto"/>
          </w:tcPr>
          <w:p w:rsidR="00340CE9" w:rsidRDefault="00340CE9" w:rsidP="009B52E6">
            <w:pPr>
              <w:pStyle w:val="Normal1linespace"/>
              <w:jc w:val="left"/>
            </w:pPr>
          </w:p>
        </w:tc>
      </w:tr>
      <w:tr w:rsidR="00340CE9" w:rsidRPr="001D7816" w:rsidTr="00AE2EAE">
        <w:tblPrEx>
          <w:tblCellSpacing w:w="8" w:type="dxa"/>
        </w:tblPrEx>
        <w:trPr>
          <w:tblCellSpacing w:w="8" w:type="dxa"/>
        </w:trPr>
        <w:tc>
          <w:tcPr>
            <w:tcW w:w="3062" w:type="dxa"/>
            <w:shd w:val="clear" w:color="auto" w:fill="auto"/>
          </w:tcPr>
          <w:p w:rsidR="00340CE9" w:rsidRDefault="00340CE9" w:rsidP="009B52E6">
            <w:pPr>
              <w:pStyle w:val="Normal1linespace"/>
              <w:jc w:val="left"/>
            </w:pPr>
            <w:r>
              <w:lastRenderedPageBreak/>
              <w:t>Solicitor for the District Council of Ceduna:</w:t>
            </w:r>
          </w:p>
        </w:tc>
        <w:tc>
          <w:tcPr>
            <w:tcW w:w="5954" w:type="dxa"/>
            <w:gridSpan w:val="2"/>
            <w:shd w:val="clear" w:color="auto" w:fill="auto"/>
          </w:tcPr>
          <w:p w:rsidR="00340CE9" w:rsidRDefault="00340CE9" w:rsidP="009B52E6">
            <w:pPr>
              <w:pStyle w:val="Normal1linespace"/>
              <w:jc w:val="left"/>
            </w:pPr>
            <w:r>
              <w:t>Rosemary H Craddock</w:t>
            </w:r>
          </w:p>
        </w:tc>
      </w:tr>
      <w:bookmarkEnd w:id="9"/>
    </w:tbl>
    <w:p w:rsidR="005271CD" w:rsidRDefault="005271CD">
      <w:pPr>
        <w:pStyle w:val="Normal1linespace"/>
      </w:pPr>
    </w:p>
    <w:p w:rsidR="005271CD" w:rsidRDefault="005271CD" w:rsidP="00E8791E">
      <w:pPr>
        <w:pStyle w:val="Normal1linespace"/>
        <w:sectPr w:rsidR="005271CD">
          <w:headerReference w:type="defaul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c>
          <w:tcPr>
            <w:tcW w:w="6771" w:type="dxa"/>
          </w:tcPr>
          <w:p w:rsidR="005271CD" w:rsidRPr="00B76E4F" w:rsidRDefault="005271CD">
            <w:pPr>
              <w:pStyle w:val="NormalHeadings"/>
              <w:spacing w:after="120"/>
              <w:jc w:val="left"/>
              <w:rPr>
                <w:caps/>
                <w:szCs w:val="24"/>
              </w:rPr>
            </w:pPr>
            <w:r w:rsidRPr="00B76E4F">
              <w:rPr>
                <w:caps/>
                <w:szCs w:val="24"/>
              </w:rPr>
              <w:lastRenderedPageBreak/>
              <w:t>IN THE FEDERAL COURT OF AUSTRALIA</w:t>
            </w:r>
          </w:p>
        </w:tc>
        <w:tc>
          <w:tcPr>
            <w:tcW w:w="2471" w:type="dxa"/>
          </w:tcPr>
          <w:p w:rsidR="005271CD" w:rsidRPr="00B76E4F" w:rsidRDefault="005271CD">
            <w:pPr>
              <w:pStyle w:val="NormalHeadings"/>
              <w:jc w:val="left"/>
              <w:rPr>
                <w:caps/>
                <w:szCs w:val="24"/>
              </w:rPr>
            </w:pPr>
          </w:p>
        </w:tc>
      </w:tr>
      <w:tr w:rsidR="005271CD">
        <w:tc>
          <w:tcPr>
            <w:tcW w:w="6771" w:type="dxa"/>
          </w:tcPr>
          <w:p w:rsidR="005271CD" w:rsidRPr="00B76E4F" w:rsidRDefault="00EB66DD">
            <w:pPr>
              <w:pStyle w:val="NormalHeadings"/>
              <w:spacing w:after="120"/>
              <w:jc w:val="left"/>
              <w:rPr>
                <w:caps/>
                <w:szCs w:val="24"/>
              </w:rPr>
            </w:pPr>
            <w:bookmarkStart w:id="11" w:name="State"/>
            <w:r>
              <w:rPr>
                <w:caps/>
                <w:szCs w:val="24"/>
              </w:rPr>
              <w:t>SOUTH AUSTRALIA</w:t>
            </w:r>
            <w:bookmarkEnd w:id="11"/>
            <w:r w:rsidR="00EC74B1">
              <w:rPr>
                <w:caps/>
                <w:szCs w:val="24"/>
              </w:rPr>
              <w:t xml:space="preserve"> </w:t>
            </w:r>
            <w:r w:rsidR="005271CD" w:rsidRPr="00B76E4F">
              <w:rPr>
                <w:caps/>
                <w:szCs w:val="24"/>
              </w:rPr>
              <w:t>DISTRICT REGISTRY</w:t>
            </w:r>
          </w:p>
        </w:tc>
        <w:tc>
          <w:tcPr>
            <w:tcW w:w="2471" w:type="dxa"/>
          </w:tcPr>
          <w:p w:rsidR="005271CD" w:rsidRPr="00145F70" w:rsidRDefault="005271CD">
            <w:pPr>
              <w:pStyle w:val="NormalHeadings"/>
              <w:tabs>
                <w:tab w:val="right" w:pos="3609"/>
              </w:tabs>
              <w:jc w:val="right"/>
              <w:rPr>
                <w:szCs w:val="24"/>
              </w:rPr>
            </w:pPr>
          </w:p>
        </w:tc>
      </w:tr>
      <w:tr w:rsidR="000E43D1">
        <w:tc>
          <w:tcPr>
            <w:tcW w:w="6771" w:type="dxa"/>
          </w:tcPr>
          <w:p w:rsidR="000E43D1" w:rsidRDefault="00EB66DD">
            <w:pPr>
              <w:pStyle w:val="NormalHeadings"/>
              <w:spacing w:after="120"/>
              <w:jc w:val="left"/>
              <w:rPr>
                <w:caps/>
                <w:szCs w:val="24"/>
              </w:rPr>
            </w:pPr>
            <w:bookmarkStart w:id="12" w:name="Division"/>
            <w:r>
              <w:rPr>
                <w:caps/>
                <w:szCs w:val="24"/>
              </w:rPr>
              <w:t>GENERAL DIVISION</w:t>
            </w:r>
            <w:bookmarkEnd w:id="12"/>
          </w:p>
        </w:tc>
        <w:tc>
          <w:tcPr>
            <w:tcW w:w="2471" w:type="dxa"/>
          </w:tcPr>
          <w:p w:rsidR="001932FA" w:rsidRPr="00145F70" w:rsidRDefault="00EB66DD" w:rsidP="00EE76E8">
            <w:pPr>
              <w:pStyle w:val="NormalHeadings"/>
              <w:tabs>
                <w:tab w:val="right" w:pos="3609"/>
              </w:tabs>
              <w:jc w:val="right"/>
              <w:rPr>
                <w:szCs w:val="24"/>
              </w:rPr>
            </w:pPr>
            <w:bookmarkStart w:id="13" w:name="Num"/>
            <w:r>
              <w:rPr>
                <w:szCs w:val="24"/>
              </w:rPr>
              <w:t>SAD 6008 of 1998</w:t>
            </w:r>
            <w:bookmarkEnd w:id="13"/>
          </w:p>
        </w:tc>
      </w:tr>
    </w:tbl>
    <w:p w:rsidR="00EA7506" w:rsidRPr="00EB66DD" w:rsidRDefault="00D97E3B" w:rsidP="00867153">
      <w:pPr>
        <w:pStyle w:val="AppealTable"/>
        <w:rPr>
          <w:sz w:val="24"/>
        </w:rPr>
      </w:pPr>
      <w:bookmarkStart w:id="14" w:name="AppealTable"/>
      <w:r w:rsidRPr="00EB66DD">
        <w:rPr>
          <w:sz w:val="24"/>
        </w:rPr>
        <w:t xml:space="preserve"> </w:t>
      </w:r>
      <w:bookmarkEnd w:id="14"/>
    </w:p>
    <w:tbl>
      <w:tblPr>
        <w:tblW w:w="0" w:type="auto"/>
        <w:tblLayout w:type="fixed"/>
        <w:tblLook w:val="0000" w:firstRow="0" w:lastRow="0" w:firstColumn="0" w:lastColumn="0" w:noHBand="0" w:noVBand="0"/>
      </w:tblPr>
      <w:tblGrid>
        <w:gridCol w:w="2376"/>
        <w:gridCol w:w="6866"/>
      </w:tblGrid>
      <w:tr w:rsidR="00C741C6">
        <w:trPr>
          <w:trHeight w:val="386"/>
        </w:trPr>
        <w:tc>
          <w:tcPr>
            <w:tcW w:w="2376" w:type="dxa"/>
          </w:tcPr>
          <w:p w:rsidR="00EE405D" w:rsidRPr="00B76E4F" w:rsidRDefault="00C741C6" w:rsidP="00EE405D">
            <w:pPr>
              <w:pStyle w:val="NormalHeadings"/>
              <w:jc w:val="left"/>
              <w:rPr>
                <w:caps/>
                <w:szCs w:val="24"/>
              </w:rPr>
            </w:pPr>
            <w:bookmarkStart w:id="15" w:name="Parties"/>
            <w:r w:rsidRPr="00B76E4F">
              <w:rPr>
                <w:caps/>
                <w:szCs w:val="24"/>
              </w:rPr>
              <w:t>BETWEEN:</w:t>
            </w:r>
          </w:p>
        </w:tc>
        <w:tc>
          <w:tcPr>
            <w:tcW w:w="6866" w:type="dxa"/>
          </w:tcPr>
          <w:p w:rsidR="00595BFF" w:rsidRDefault="00595BFF" w:rsidP="00EC74B1">
            <w:pPr>
              <w:pStyle w:val="NormalHeadings"/>
              <w:jc w:val="left"/>
              <w:rPr>
                <w:szCs w:val="24"/>
              </w:rPr>
            </w:pPr>
            <w:bookmarkStart w:id="16" w:name="Applicant"/>
            <w:r>
              <w:rPr>
                <w:szCs w:val="24"/>
              </w:rPr>
              <w:t>FAR WEST COAST NATIVE TITLE CLAIM</w:t>
            </w:r>
          </w:p>
          <w:p w:rsidR="00EB66DD" w:rsidRDefault="00EB66DD" w:rsidP="00EC74B1">
            <w:pPr>
              <w:pStyle w:val="NormalHeadings"/>
              <w:jc w:val="left"/>
              <w:rPr>
                <w:szCs w:val="24"/>
              </w:rPr>
            </w:pPr>
            <w:r>
              <w:rPr>
                <w:szCs w:val="24"/>
              </w:rPr>
              <w:t>KENNETH GORDON ROBERTS</w:t>
            </w:r>
            <w:r w:rsidR="00595BFF">
              <w:rPr>
                <w:szCs w:val="24"/>
              </w:rPr>
              <w:t xml:space="preserve"> &amp; OTHERS</w:t>
            </w:r>
          </w:p>
          <w:p w:rsidR="00EB66DD" w:rsidRDefault="00EB66DD" w:rsidP="00EC74B1">
            <w:pPr>
              <w:pStyle w:val="NormalHeadings"/>
              <w:jc w:val="left"/>
              <w:rPr>
                <w:szCs w:val="24"/>
              </w:rPr>
            </w:pPr>
            <w:r>
              <w:rPr>
                <w:szCs w:val="24"/>
              </w:rPr>
              <w:t>Applicant</w:t>
            </w:r>
          </w:p>
          <w:bookmarkEnd w:id="16"/>
          <w:p w:rsidR="002C3D81" w:rsidRDefault="002C3D81" w:rsidP="002C3D81">
            <w:pPr>
              <w:pStyle w:val="NormalHeadings"/>
              <w:jc w:val="left"/>
              <w:rPr>
                <w:b w:val="0"/>
              </w:rPr>
            </w:pPr>
          </w:p>
          <w:p w:rsidR="00C741C6" w:rsidRDefault="002C3D81" w:rsidP="002C3D81">
            <w:pPr>
              <w:pStyle w:val="NormalHeadings"/>
              <w:jc w:val="left"/>
              <w:rPr>
                <w:b w:val="0"/>
              </w:rPr>
            </w:pPr>
            <w:r w:rsidRPr="002C3D81">
              <w:rPr>
                <w:b w:val="0"/>
                <w:sz w:val="22"/>
              </w:rPr>
              <w:t>[Refer to Schedule</w:t>
            </w:r>
            <w:r w:rsidR="00DF6F0B">
              <w:rPr>
                <w:b w:val="0"/>
                <w:sz w:val="22"/>
              </w:rPr>
              <w:t xml:space="preserve"> 12 for Full List of Applicants</w:t>
            </w:r>
            <w:r w:rsidRPr="002C3D81">
              <w:rPr>
                <w:b w:val="0"/>
              </w:rPr>
              <w:t>]</w:t>
            </w:r>
          </w:p>
          <w:p w:rsidR="00DF6F0B" w:rsidRPr="00DF6F0B" w:rsidRDefault="00DF6F0B" w:rsidP="002C3D81">
            <w:pPr>
              <w:pStyle w:val="NormalHeadings"/>
              <w:jc w:val="left"/>
              <w:rPr>
                <w:b w:val="0"/>
                <w:sz w:val="22"/>
              </w:rPr>
            </w:pPr>
          </w:p>
        </w:tc>
      </w:tr>
      <w:tr w:rsidR="00C741C6">
        <w:trPr>
          <w:trHeight w:val="386"/>
        </w:trPr>
        <w:tc>
          <w:tcPr>
            <w:tcW w:w="2376" w:type="dxa"/>
          </w:tcPr>
          <w:p w:rsidR="00C741C6" w:rsidRPr="00B76E4F" w:rsidRDefault="00C741C6" w:rsidP="00EE405D">
            <w:pPr>
              <w:pStyle w:val="NormalHeadings"/>
              <w:jc w:val="left"/>
              <w:rPr>
                <w:caps/>
                <w:szCs w:val="24"/>
              </w:rPr>
            </w:pPr>
            <w:r w:rsidRPr="00B76E4F">
              <w:rPr>
                <w:caps/>
                <w:szCs w:val="24"/>
              </w:rPr>
              <w:t>AND:</w:t>
            </w:r>
          </w:p>
        </w:tc>
        <w:tc>
          <w:tcPr>
            <w:tcW w:w="6866" w:type="dxa"/>
          </w:tcPr>
          <w:p w:rsidR="00EB66DD" w:rsidRDefault="00EB66DD" w:rsidP="00000427">
            <w:pPr>
              <w:pStyle w:val="NormalHeadings"/>
              <w:jc w:val="left"/>
              <w:rPr>
                <w:szCs w:val="24"/>
              </w:rPr>
            </w:pPr>
            <w:bookmarkStart w:id="17" w:name="Respondent"/>
            <w:r>
              <w:rPr>
                <w:szCs w:val="24"/>
              </w:rPr>
              <w:t>STATE OF SOUTH AUSTRALIA</w:t>
            </w:r>
            <w:r w:rsidR="00595BFF">
              <w:rPr>
                <w:szCs w:val="24"/>
              </w:rPr>
              <w:t xml:space="preserve"> &amp; OTHERS</w:t>
            </w:r>
          </w:p>
          <w:p w:rsidR="00EB66DD" w:rsidRDefault="00EB66DD" w:rsidP="00000427">
            <w:pPr>
              <w:pStyle w:val="NormalHeadings"/>
              <w:jc w:val="left"/>
              <w:rPr>
                <w:szCs w:val="24"/>
              </w:rPr>
            </w:pPr>
            <w:r>
              <w:rPr>
                <w:szCs w:val="24"/>
              </w:rPr>
              <w:t>Respondent</w:t>
            </w:r>
          </w:p>
          <w:bookmarkEnd w:id="17"/>
          <w:p w:rsidR="002C3D81" w:rsidRDefault="002C3D81" w:rsidP="002C3D81">
            <w:pPr>
              <w:pStyle w:val="NormalHeadings"/>
              <w:jc w:val="left"/>
              <w:rPr>
                <w:b w:val="0"/>
              </w:rPr>
            </w:pPr>
          </w:p>
          <w:p w:rsidR="00C741C6" w:rsidRPr="002C3D81" w:rsidRDefault="002C3D81" w:rsidP="002C3D81">
            <w:pPr>
              <w:pStyle w:val="NormalHeadings"/>
              <w:jc w:val="left"/>
              <w:rPr>
                <w:b w:val="0"/>
                <w:szCs w:val="24"/>
              </w:rPr>
            </w:pPr>
            <w:r w:rsidRPr="002C3D81">
              <w:rPr>
                <w:b w:val="0"/>
                <w:sz w:val="22"/>
              </w:rPr>
              <w:t>[Refer to Schedule 12 for Full List of Respondents]</w:t>
            </w:r>
          </w:p>
        </w:tc>
      </w:tr>
      <w:bookmarkEnd w:id="15"/>
    </w:tbl>
    <w:p w:rsidR="00C741C6" w:rsidRDefault="00C741C6">
      <w:pPr>
        <w:pStyle w:val="NormalHeadings"/>
      </w:pPr>
    </w:p>
    <w:tbl>
      <w:tblPr>
        <w:tblW w:w="0" w:type="auto"/>
        <w:tblLayout w:type="fixed"/>
        <w:tblLook w:val="0000" w:firstRow="0" w:lastRow="0" w:firstColumn="0" w:lastColumn="0" w:noHBand="0" w:noVBand="0"/>
      </w:tblPr>
      <w:tblGrid>
        <w:gridCol w:w="2376"/>
        <w:gridCol w:w="6866"/>
      </w:tblGrid>
      <w:tr w:rsidR="005271CD">
        <w:tc>
          <w:tcPr>
            <w:tcW w:w="2376" w:type="dxa"/>
          </w:tcPr>
          <w:p w:rsidR="005271CD" w:rsidRPr="00B76E4F" w:rsidRDefault="00EB66DD" w:rsidP="008E1FE0">
            <w:pPr>
              <w:pStyle w:val="NormalHeadings"/>
              <w:spacing w:after="120"/>
              <w:jc w:val="left"/>
              <w:rPr>
                <w:caps/>
                <w:szCs w:val="24"/>
              </w:rPr>
            </w:pPr>
            <w:bookmarkStart w:id="18" w:name="JudgeText"/>
            <w:r>
              <w:rPr>
                <w:caps/>
                <w:szCs w:val="24"/>
              </w:rPr>
              <w:t>JUDGE</w:t>
            </w:r>
            <w:bookmarkEnd w:id="18"/>
            <w:r w:rsidR="005271CD" w:rsidRPr="00B76E4F">
              <w:rPr>
                <w:caps/>
                <w:szCs w:val="24"/>
              </w:rPr>
              <w:t>:</w:t>
            </w:r>
          </w:p>
        </w:tc>
        <w:tc>
          <w:tcPr>
            <w:tcW w:w="6866" w:type="dxa"/>
          </w:tcPr>
          <w:p w:rsidR="005271CD" w:rsidRPr="00B76E4F" w:rsidRDefault="009B52E6" w:rsidP="008E1FE0">
            <w:pPr>
              <w:pStyle w:val="NormalHeadings"/>
              <w:jc w:val="left"/>
              <w:rPr>
                <w:caps/>
                <w:szCs w:val="24"/>
              </w:rPr>
            </w:pPr>
            <w:bookmarkStart w:id="19" w:name="Judge"/>
            <w:r>
              <w:rPr>
                <w:caps/>
                <w:szCs w:val="24"/>
              </w:rPr>
              <w:t>MANSFIELD J</w:t>
            </w:r>
            <w:bookmarkEnd w:id="19"/>
          </w:p>
        </w:tc>
      </w:tr>
      <w:tr w:rsidR="005271CD">
        <w:tc>
          <w:tcPr>
            <w:tcW w:w="2376" w:type="dxa"/>
          </w:tcPr>
          <w:p w:rsidR="005271CD" w:rsidRPr="00B76E4F" w:rsidRDefault="005271CD">
            <w:pPr>
              <w:pStyle w:val="NormalHeadings"/>
              <w:spacing w:after="120"/>
              <w:jc w:val="left"/>
              <w:rPr>
                <w:caps/>
                <w:szCs w:val="24"/>
              </w:rPr>
            </w:pPr>
            <w:r w:rsidRPr="00B76E4F">
              <w:rPr>
                <w:caps/>
                <w:szCs w:val="24"/>
              </w:rPr>
              <w:t>DATE OF ORDER:</w:t>
            </w:r>
          </w:p>
        </w:tc>
        <w:tc>
          <w:tcPr>
            <w:tcW w:w="6866" w:type="dxa"/>
          </w:tcPr>
          <w:p w:rsidR="005271CD" w:rsidRPr="00B76E4F" w:rsidRDefault="00EB66DD">
            <w:pPr>
              <w:pStyle w:val="NormalHeadings"/>
              <w:jc w:val="left"/>
              <w:rPr>
                <w:caps/>
                <w:szCs w:val="24"/>
              </w:rPr>
            </w:pPr>
            <w:bookmarkStart w:id="20" w:name="Judgment_Dated"/>
            <w:r>
              <w:rPr>
                <w:caps/>
                <w:szCs w:val="24"/>
              </w:rPr>
              <w:t>5 DECEMBER 2013</w:t>
            </w:r>
            <w:bookmarkEnd w:id="20"/>
          </w:p>
        </w:tc>
      </w:tr>
      <w:tr w:rsidR="005271CD">
        <w:tc>
          <w:tcPr>
            <w:tcW w:w="2376" w:type="dxa"/>
          </w:tcPr>
          <w:p w:rsidR="005271CD" w:rsidRPr="00B76E4F" w:rsidRDefault="005271CD">
            <w:pPr>
              <w:pStyle w:val="NormalHeadings"/>
              <w:spacing w:after="120"/>
              <w:jc w:val="left"/>
              <w:rPr>
                <w:caps/>
                <w:szCs w:val="24"/>
              </w:rPr>
            </w:pPr>
            <w:r w:rsidRPr="00B76E4F">
              <w:rPr>
                <w:caps/>
                <w:szCs w:val="24"/>
              </w:rPr>
              <w:t>WHERE MADE:</w:t>
            </w:r>
          </w:p>
        </w:tc>
        <w:tc>
          <w:tcPr>
            <w:tcW w:w="6866" w:type="dxa"/>
          </w:tcPr>
          <w:p w:rsidR="005271CD" w:rsidRPr="00012E32" w:rsidRDefault="007C3C76">
            <w:pPr>
              <w:pStyle w:val="NormalHeadings"/>
              <w:jc w:val="left"/>
              <w:rPr>
                <w:caps/>
                <w:szCs w:val="24"/>
              </w:rPr>
            </w:pPr>
            <w:r>
              <w:rPr>
                <w:caps/>
                <w:szCs w:val="24"/>
              </w:rPr>
              <w:t>LAKE pidinga</w:t>
            </w:r>
          </w:p>
        </w:tc>
      </w:tr>
    </w:tbl>
    <w:p w:rsidR="005271CD" w:rsidRDefault="005271CD">
      <w:pPr>
        <w:pStyle w:val="NormalHeadings"/>
        <w:rPr>
          <w:b w:val="0"/>
        </w:rPr>
      </w:pPr>
    </w:p>
    <w:p w:rsidR="00EB66DD" w:rsidRDefault="00EB66DD">
      <w:pPr>
        <w:pStyle w:val="NormalHeadings"/>
      </w:pPr>
      <w:r>
        <w:t>PREAMBLE</w:t>
      </w:r>
    </w:p>
    <w:p w:rsidR="00EB66DD" w:rsidRDefault="00EB66DD">
      <w:pPr>
        <w:pStyle w:val="NormalHeadings"/>
      </w:pPr>
    </w:p>
    <w:p w:rsidR="00766AAA" w:rsidRDefault="00595BFF" w:rsidP="00766AAA">
      <w:pPr>
        <w:numPr>
          <w:ilvl w:val="0"/>
          <w:numId w:val="2"/>
        </w:numPr>
        <w:spacing w:before="60" w:after="60"/>
      </w:pPr>
      <w:bookmarkStart w:id="21" w:name="Order_Start_Text"/>
      <w:r>
        <w:t>Native title determination a</w:t>
      </w:r>
      <w:r w:rsidR="00766AAA">
        <w:t>pplication No. SAD 6008 of 1998 (the Application) was first lodged with the National Native Title Tribunal on 28 February 1996, and was referred to the Federal Court of Austra</w:t>
      </w:r>
      <w:r>
        <w:t>lia on 30 September 1998.  The a</w:t>
      </w:r>
      <w:r w:rsidR="00766AAA">
        <w:t>pplication was subsequen</w:t>
      </w:r>
      <w:r>
        <w:t>tly amended to combine it with native title Determination applications SG 6</w:t>
      </w:r>
      <w:r w:rsidR="00766AAA">
        <w:t xml:space="preserve">009/98, SG 6018/98 and WAG 6016/1998.  </w:t>
      </w:r>
    </w:p>
    <w:p w:rsidR="00766AAA" w:rsidRDefault="00766AAA" w:rsidP="00766AAA">
      <w:pPr>
        <w:numPr>
          <w:ilvl w:val="0"/>
          <w:numId w:val="2"/>
        </w:numPr>
        <w:spacing w:before="60" w:after="60"/>
      </w:pPr>
      <w:r>
        <w:t xml:space="preserve">The Applicant, the State of South Australia and the other respondents have reached an agreement as to the terms of a determination of native title to be made in relation to the land and waters covered by the Application.  They have filed an agreement in writing to seek the making of consent orders for a determination with this Court pursuant to </w:t>
      </w:r>
      <w:r w:rsidR="004E6DCF">
        <w:t xml:space="preserve">s 87 of the </w:t>
      </w:r>
      <w:r w:rsidR="004E6DCF" w:rsidRPr="00766AAA">
        <w:rPr>
          <w:i/>
        </w:rPr>
        <w:t>Native Title Act 1993</w:t>
      </w:r>
      <w:r w:rsidR="004E6DCF">
        <w:t xml:space="preserve"> (Cth) </w:t>
      </w:r>
      <w:r>
        <w:t>(the Native Title Act).</w:t>
      </w:r>
    </w:p>
    <w:p w:rsidR="00766AAA" w:rsidRDefault="00766AAA" w:rsidP="00766AAA">
      <w:pPr>
        <w:numPr>
          <w:ilvl w:val="0"/>
          <w:numId w:val="2"/>
        </w:numPr>
        <w:spacing w:before="60" w:after="60"/>
      </w:pPr>
      <w:r>
        <w:t xml:space="preserve">The State of South Australia asserts that the vesting of adjacent and subjacent land in the Minister under s 15(1)(a) of the </w:t>
      </w:r>
      <w:r w:rsidR="004E6DCF" w:rsidRPr="00766AAA">
        <w:rPr>
          <w:i/>
        </w:rPr>
        <w:t>Harbors and Navigation Act 1993</w:t>
      </w:r>
      <w:r w:rsidR="004E6DCF">
        <w:t xml:space="preserve"> (SA) </w:t>
      </w:r>
      <w:r>
        <w:t xml:space="preserve">is, for the purpose of the Native Title Act, a category A intermediate period act the effect of which is, pursuant to s 36B of the </w:t>
      </w:r>
      <w:r w:rsidR="004E6DCF" w:rsidRPr="00766AAA">
        <w:rPr>
          <w:i/>
        </w:rPr>
        <w:t>Native Title (South Australia) Act 1994</w:t>
      </w:r>
      <w:r w:rsidR="004E6DCF">
        <w:t xml:space="preserve"> (SA)</w:t>
      </w:r>
      <w:r>
        <w:t xml:space="preserve">, to extinguish all native title in the land concerned.  The Applicant and the State of South Australia have agreed to enter into an Indigenous Land Use Agreement, the Far West Coast Native Title Claim Settlement ILUA, which agrees pursuant to s 24EBA of the </w:t>
      </w:r>
      <w:r>
        <w:lastRenderedPageBreak/>
        <w:t>Native Title Act to change the effect on native title of that intermediate period act on Adjacent land</w:t>
      </w:r>
      <w:r w:rsidR="00EB66DD">
        <w:t xml:space="preserve"> (as defined in these orders)</w:t>
      </w:r>
      <w:r>
        <w:t xml:space="preserve">.  The effect of registration of that ILUA will be that the extinguishing effect of the vesting will be changed and the non-extinguishment principle will apply to the vesting of Adjacent land.  </w:t>
      </w:r>
    </w:p>
    <w:p w:rsidR="00766AAA" w:rsidRDefault="00595BFF" w:rsidP="00766AAA">
      <w:pPr>
        <w:numPr>
          <w:ilvl w:val="0"/>
          <w:numId w:val="2"/>
        </w:numPr>
        <w:spacing w:before="60" w:after="60"/>
      </w:pPr>
      <w:r>
        <w:t>The p</w:t>
      </w:r>
      <w:r w:rsidR="00766AAA">
        <w:t xml:space="preserve">arties agree that native title is extinguished over those parcels set out in Schedule 11 to these Orders.  The Applicant asserts (and the State disputes) that s 47A of the Native Title Act is capable of applying to those parcels so that prior extinguishment is to be disregarded.  The State and the Applicant acknowledge that they may be assisted in resolving this dispute by a decision of the Court in the matter of </w:t>
      </w:r>
      <w:r w:rsidR="004E6DCF" w:rsidRPr="00F60B6E">
        <w:rPr>
          <w:i/>
        </w:rPr>
        <w:t>Adnyamathanha People Native Title Claim #3 v South Australia</w:t>
      </w:r>
      <w:r w:rsidR="004E6DCF">
        <w:t xml:space="preserve"> [SAD 69 of 2010]</w:t>
      </w:r>
      <w:r>
        <w:t>.  The p</w:t>
      </w:r>
      <w:r w:rsidR="00766AAA">
        <w:t>arties have agreed that there be liberty to apply in relation to the parcels set out in Schedule 11 for the purpose of determining, subject to the provision of evidence, the application of s 47A to them in light of the final decision in that matter.</w:t>
      </w:r>
    </w:p>
    <w:p w:rsidR="00766AAA" w:rsidRDefault="00595BFF" w:rsidP="00766AAA">
      <w:pPr>
        <w:numPr>
          <w:ilvl w:val="0"/>
          <w:numId w:val="2"/>
        </w:numPr>
        <w:spacing w:before="60" w:after="60"/>
      </w:pPr>
      <w:r>
        <w:t>The p</w:t>
      </w:r>
      <w:r w:rsidR="00766AAA">
        <w:t>arties acknowledge that the effect of the making of the determination will be that the members of the native title claim group, in accordance with the traditional laws acknowledged and the traditional customs observed by them, will be recognised as the native title holders for the Native Title Land as defined at paragraphs 4 to 6 of this Order.</w:t>
      </w:r>
    </w:p>
    <w:p w:rsidR="00766AAA" w:rsidRDefault="00595BFF" w:rsidP="00766AAA">
      <w:pPr>
        <w:numPr>
          <w:ilvl w:val="0"/>
          <w:numId w:val="2"/>
        </w:numPr>
        <w:spacing w:before="60" w:after="60"/>
      </w:pPr>
      <w:r>
        <w:t>The p</w:t>
      </w:r>
      <w:r w:rsidR="00766AAA">
        <w:t xml:space="preserve">arties have requested that the Court determine the proceedings without a trial. </w:t>
      </w:r>
    </w:p>
    <w:p w:rsidR="007C3CAC" w:rsidRDefault="00EB66DD" w:rsidP="00766AAA">
      <w:pPr>
        <w:pStyle w:val="NoNum"/>
      </w:pPr>
      <w:r>
        <w:rPr>
          <w:b/>
        </w:rPr>
        <w:t xml:space="preserve">THE COURT BEING SATISFIED </w:t>
      </w:r>
      <w:r w:rsidR="00766AAA">
        <w:t>that a determinat</w:t>
      </w:r>
      <w:r w:rsidR="00595BFF">
        <w:t>ion in the terms sought by the p</w:t>
      </w:r>
      <w:r w:rsidR="00766AAA">
        <w:t>arties would be within the power of the Court and it appearing to the Court appropriate to do so and by the consent of the Parties</w:t>
      </w:r>
      <w:r>
        <w:t>:</w:t>
      </w:r>
    </w:p>
    <w:p w:rsidR="00766AAA" w:rsidRDefault="00766AAA" w:rsidP="007C3CAC">
      <w:pPr>
        <w:pStyle w:val="Heading1"/>
        <w:spacing w:before="120" w:after="240"/>
      </w:pPr>
      <w:r w:rsidRPr="007C3CAC">
        <w:t>THE COURT ORDERS, DECLARES AND DETERMINES BY CONSENT THAT:</w:t>
      </w:r>
    </w:p>
    <w:p w:rsidR="00766AAA" w:rsidRDefault="00766AAA" w:rsidP="007C3CAC">
      <w:pPr>
        <w:pStyle w:val="Heading2"/>
        <w:spacing w:after="240"/>
      </w:pPr>
      <w:r>
        <w:t>Interpretation &amp; Declaration</w:t>
      </w:r>
    </w:p>
    <w:p w:rsidR="00766AAA" w:rsidRDefault="00766AAA" w:rsidP="00254FB5">
      <w:pPr>
        <w:pStyle w:val="ListNo"/>
        <w:numPr>
          <w:ilvl w:val="0"/>
          <w:numId w:val="14"/>
        </w:numPr>
        <w:tabs>
          <w:tab w:val="clear" w:pos="720"/>
        </w:tabs>
      </w:pPr>
      <w:r>
        <w:t>In this determin</w:t>
      </w:r>
      <w:r w:rsidR="007C3CAC">
        <w:t>ation, including its schedules:</w:t>
      </w:r>
    </w:p>
    <w:p w:rsidR="00766AAA" w:rsidRDefault="00766AAA" w:rsidP="00254FB5">
      <w:pPr>
        <w:pStyle w:val="ListNo"/>
        <w:numPr>
          <w:ilvl w:val="0"/>
          <w:numId w:val="19"/>
        </w:numPr>
        <w:tabs>
          <w:tab w:val="clear" w:pos="1440"/>
        </w:tabs>
      </w:pPr>
      <w:r>
        <w:t xml:space="preserve">unless the contrary intention appears, the words and expressions used have the same meaning as they are given in Part 15 of the Native Title Act; </w:t>
      </w:r>
    </w:p>
    <w:p w:rsidR="00766AAA" w:rsidRDefault="00766AAA" w:rsidP="00254FB5">
      <w:pPr>
        <w:pStyle w:val="ListNo"/>
        <w:numPr>
          <w:ilvl w:val="0"/>
          <w:numId w:val="19"/>
        </w:numPr>
        <w:tabs>
          <w:tab w:val="clear" w:pos="1440"/>
        </w:tabs>
      </w:pPr>
      <w:r>
        <w:t xml:space="preserve">"Adjacent land" has the meaning given to it in the </w:t>
      </w:r>
      <w:r w:rsidRPr="007C3CAC">
        <w:rPr>
          <w:i/>
        </w:rPr>
        <w:t>Harbors and Navigation Act 1993</w:t>
      </w:r>
      <w:r>
        <w:t xml:space="preserve"> (SA);</w:t>
      </w:r>
    </w:p>
    <w:p w:rsidR="00766AAA" w:rsidRDefault="00766AAA" w:rsidP="00254FB5">
      <w:pPr>
        <w:pStyle w:val="ListNo"/>
        <w:numPr>
          <w:ilvl w:val="0"/>
          <w:numId w:val="19"/>
        </w:numPr>
        <w:tabs>
          <w:tab w:val="clear" w:pos="1440"/>
        </w:tabs>
      </w:pPr>
      <w:r>
        <w:t>"Low Water Mark" means  the lowest astronomical tide;</w:t>
      </w:r>
    </w:p>
    <w:p w:rsidR="00766AAA" w:rsidRDefault="00766AAA" w:rsidP="00254FB5">
      <w:pPr>
        <w:pStyle w:val="ListNo"/>
        <w:numPr>
          <w:ilvl w:val="0"/>
          <w:numId w:val="19"/>
        </w:numPr>
        <w:tabs>
          <w:tab w:val="clear" w:pos="1440"/>
        </w:tabs>
      </w:pPr>
      <w:r>
        <w:lastRenderedPageBreak/>
        <w:t xml:space="preserve">"Reserves" means a reserve as defined in the </w:t>
      </w:r>
      <w:r w:rsidRPr="00595BFF">
        <w:rPr>
          <w:i/>
        </w:rPr>
        <w:t>National Parks and Wildlife Act 1972</w:t>
      </w:r>
      <w:r w:rsidR="00595BFF">
        <w:t xml:space="preserve"> (SA) and a wilderness protection area or wilderness protection z</w:t>
      </w:r>
      <w:r>
        <w:t xml:space="preserve">one under the </w:t>
      </w:r>
      <w:r w:rsidRPr="00595BFF">
        <w:rPr>
          <w:i/>
        </w:rPr>
        <w:t>Wilderness Protection Act 1992</w:t>
      </w:r>
      <w:r>
        <w:t xml:space="preserve"> (SA); and</w:t>
      </w:r>
    </w:p>
    <w:p w:rsidR="00766AAA" w:rsidRDefault="00766AAA" w:rsidP="00254FB5">
      <w:pPr>
        <w:pStyle w:val="ListNo"/>
        <w:numPr>
          <w:ilvl w:val="0"/>
          <w:numId w:val="19"/>
        </w:numPr>
        <w:tabs>
          <w:tab w:val="clear" w:pos="1440"/>
        </w:tabs>
      </w:pPr>
      <w:r>
        <w:t>in the event of an inconsistency between a description of an area in a schedule and the depiction of that area on the map in Schedule 2, the written description shall prevail.</w:t>
      </w:r>
    </w:p>
    <w:p w:rsidR="00766AAA" w:rsidRDefault="00766AAA" w:rsidP="007C3CAC">
      <w:pPr>
        <w:pStyle w:val="Heading2"/>
        <w:spacing w:after="120"/>
      </w:pPr>
      <w:r>
        <w:t>Determination Area</w:t>
      </w:r>
    </w:p>
    <w:p w:rsidR="00766AAA" w:rsidRDefault="00766AAA" w:rsidP="00254FB5">
      <w:pPr>
        <w:pStyle w:val="ListNo"/>
        <w:numPr>
          <w:ilvl w:val="0"/>
          <w:numId w:val="14"/>
        </w:numPr>
        <w:tabs>
          <w:tab w:val="clear" w:pos="720"/>
        </w:tabs>
      </w:pPr>
      <w:r>
        <w:t xml:space="preserve">Schedule 1 describes </w:t>
      </w:r>
      <w:r w:rsidR="00595BFF">
        <w:t>the external boundaries of the determination a</w:t>
      </w:r>
      <w:r w:rsidR="002F07EB">
        <w:t>rea (the Determination Area</w:t>
      </w:r>
      <w:r>
        <w:t>).</w:t>
      </w:r>
    </w:p>
    <w:p w:rsidR="00766AAA" w:rsidRDefault="00766AAA" w:rsidP="00254FB5">
      <w:pPr>
        <w:pStyle w:val="ListNo"/>
        <w:numPr>
          <w:ilvl w:val="0"/>
          <w:numId w:val="14"/>
        </w:numPr>
        <w:tabs>
          <w:tab w:val="clear" w:pos="720"/>
        </w:tabs>
      </w:pPr>
      <w:r>
        <w:t>To the extent that the area covered by the Application extends beyond the Determination Area, it is dismissed.</w:t>
      </w:r>
    </w:p>
    <w:p w:rsidR="00766AAA" w:rsidRDefault="00766AAA" w:rsidP="007C3CAC">
      <w:pPr>
        <w:pStyle w:val="Heading3"/>
        <w:spacing w:after="120"/>
      </w:pPr>
      <w:r>
        <w:t>Areas within Determination Area where native title exists (Native Title Land)</w:t>
      </w:r>
    </w:p>
    <w:p w:rsidR="00766AAA" w:rsidRDefault="00766AAA" w:rsidP="00254FB5">
      <w:pPr>
        <w:pStyle w:val="ListNo"/>
        <w:numPr>
          <w:ilvl w:val="0"/>
          <w:numId w:val="14"/>
        </w:numPr>
        <w:tabs>
          <w:tab w:val="clear" w:pos="720"/>
        </w:tabs>
      </w:pPr>
      <w:r>
        <w:t xml:space="preserve">Subject to items 1, 3, 4, 5 and 6 of Schedule 7, native title exists in the lands and waters described in Schedule 3.  </w:t>
      </w:r>
    </w:p>
    <w:p w:rsidR="00766AAA" w:rsidRDefault="00766AAA" w:rsidP="00254FB5">
      <w:pPr>
        <w:pStyle w:val="ListNo"/>
        <w:numPr>
          <w:ilvl w:val="0"/>
          <w:numId w:val="14"/>
        </w:numPr>
        <w:tabs>
          <w:tab w:val="clear" w:pos="720"/>
        </w:tabs>
      </w:pPr>
      <w:r>
        <w:t xml:space="preserve">Section 47A and </w:t>
      </w:r>
      <w:r w:rsidR="00F60B6E">
        <w:t>s</w:t>
      </w:r>
      <w:r>
        <w:t xml:space="preserve"> 47B of the Native Title Act apply to those parcels or parts of parcels described in Schedule 4 and Schedule 5.  Subject to items 3 and 4 of Schedule 7, all extinguishment of native title rights and interests over those areas is disregarded and native title exists in those parcels or parts of parcels.</w:t>
      </w:r>
    </w:p>
    <w:p w:rsidR="00766AAA" w:rsidRDefault="00766AAA" w:rsidP="00254FB5">
      <w:pPr>
        <w:pStyle w:val="ListNo"/>
        <w:numPr>
          <w:ilvl w:val="0"/>
          <w:numId w:val="14"/>
        </w:numPr>
        <w:tabs>
          <w:tab w:val="clear" w:pos="720"/>
        </w:tabs>
      </w:pPr>
      <w:r>
        <w:t xml:space="preserve">The Court notes that the State and the Applicant have agreed to execute an </w:t>
      </w:r>
      <w:r w:rsidR="00595BFF">
        <w:t>Indigenous Land Use Agreement (t</w:t>
      </w:r>
      <w:r>
        <w:t>he Far West Coast Native Title Claim Settlement ILU</w:t>
      </w:r>
      <w:r w:rsidR="00595BFF">
        <w:t>A) contemporaneously with this d</w:t>
      </w:r>
      <w:r>
        <w:t>etermination the effect of which will be, upon it being registered on the Register of Indigenous Land Use Agreements, that subject to items 3 and 4 of Schedule 7</w:t>
      </w:r>
      <w:r w:rsidR="00595BFF">
        <w:t>,</w:t>
      </w:r>
      <w:r>
        <w:t xml:space="preserve"> native title exists in Adjacent land vested in the Minister under </w:t>
      </w:r>
      <w:r w:rsidR="00595BFF">
        <w:t>s </w:t>
      </w:r>
      <w:r>
        <w:t xml:space="preserve">15(1)(a) of the </w:t>
      </w:r>
      <w:r w:rsidRPr="00595BFF">
        <w:rPr>
          <w:i/>
        </w:rPr>
        <w:t>Harbors and Navigation Act 1993</w:t>
      </w:r>
      <w:r>
        <w:t xml:space="preserve"> (SA) as identified on the maps at Schedule 2 and described in Schedule 6.</w:t>
      </w:r>
    </w:p>
    <w:p w:rsidR="00766AAA" w:rsidRDefault="00766AAA" w:rsidP="007C3CAC">
      <w:pPr>
        <w:pStyle w:val="Heading3"/>
        <w:spacing w:after="120"/>
      </w:pPr>
      <w:r>
        <w:t>Areas within Determination Area where native title is extinguished.</w:t>
      </w:r>
    </w:p>
    <w:p w:rsidR="00766AAA" w:rsidRDefault="00766AAA" w:rsidP="00254FB5">
      <w:pPr>
        <w:pStyle w:val="ListNo"/>
        <w:numPr>
          <w:ilvl w:val="0"/>
          <w:numId w:val="14"/>
        </w:numPr>
        <w:tabs>
          <w:tab w:val="clear" w:pos="720"/>
        </w:tabs>
      </w:pPr>
      <w:r>
        <w:t>Native title has been extinguished in those areas described in Schedule 7 and, subject to the liberty to apply, those areas described in Schedule 11.</w:t>
      </w:r>
    </w:p>
    <w:p w:rsidR="00766AAA" w:rsidRDefault="00766AAA" w:rsidP="00254FB5">
      <w:pPr>
        <w:pStyle w:val="ListNo"/>
        <w:numPr>
          <w:ilvl w:val="0"/>
          <w:numId w:val="14"/>
        </w:numPr>
        <w:tabs>
          <w:tab w:val="clear" w:pos="720"/>
        </w:tabs>
      </w:pPr>
      <w:r>
        <w:t>Upon the Far West Coast Native Title Claim Settlement ILUA being registered on the Register of Indigenous Land Use Agreements, native title is extinguished over those areas described in Schedule 8.</w:t>
      </w:r>
    </w:p>
    <w:p w:rsidR="00766AAA" w:rsidRDefault="00766AAA" w:rsidP="007C3CAC">
      <w:pPr>
        <w:pStyle w:val="Heading2"/>
        <w:spacing w:after="120"/>
      </w:pPr>
      <w:r>
        <w:lastRenderedPageBreak/>
        <w:t>Native Title Holders</w:t>
      </w:r>
    </w:p>
    <w:p w:rsidR="00766AAA" w:rsidRDefault="00766AAA" w:rsidP="00254FB5">
      <w:pPr>
        <w:pStyle w:val="ListNo"/>
        <w:numPr>
          <w:ilvl w:val="0"/>
          <w:numId w:val="14"/>
        </w:numPr>
        <w:tabs>
          <w:tab w:val="clear" w:pos="720"/>
        </w:tabs>
      </w:pPr>
      <w:r>
        <w:t>Under the relevant traditional laws and customs of the Kokatha, Mirning and Wirangu who comprise the Far West Coast People</w:t>
      </w:r>
      <w:r w:rsidR="00595BFF">
        <w:t>,</w:t>
      </w:r>
      <w:r>
        <w:t xml:space="preserve"> the native title holders are those living Aboriginal people who:</w:t>
      </w:r>
    </w:p>
    <w:p w:rsidR="00766AAA" w:rsidRDefault="00766AAA" w:rsidP="00254FB5">
      <w:pPr>
        <w:pStyle w:val="ListNo"/>
        <w:numPr>
          <w:ilvl w:val="0"/>
          <w:numId w:val="20"/>
        </w:numPr>
        <w:tabs>
          <w:tab w:val="clear" w:pos="720"/>
        </w:tabs>
        <w:ind w:left="2160" w:hanging="1462"/>
      </w:pPr>
      <w:r>
        <w:t>(i)</w:t>
      </w:r>
      <w:r>
        <w:tab/>
        <w:t>are descendant, either through birth or adoption, from one or more of the following Kokatha, Mirning and Wirangu antecedents: Bingi; Eliza Ellen (Ware); Maggie, mother of Jimmy Scott; Yari Wagon Billy; Koigidi and Anbing; Kulbala; Eva and Pompey; Jinnie (Dunnett); Yabi Dinah; Siblings Nellie Gray, Dhubalgurda Frank Gray and Kwana Teddy Gray; Bobby Wandrooka; Wirangu mother of Jimmy and Arthur Richards; Wirangu mother of Ada Beagle; Tjabilja (Lawrie); Sally Broome; Mark Mirka Kelly; Tommy Munia; Peter and Nellie Tjubedie; Binilya and Kaltyna; Topsy (Miller); Harry Yari Miller, son of Maggie Burilya; Maggie Inyalonga (Miller); Billy Danba (Dunbar) and Topsy; Billy Benbolt and Fanny; Judy (Struthers); Nellie (Betts); Emma (Bilney); Jimmy Blueskin; Jack McCarthy; Eva Nudicurra (Modikari); Marangali Jim Young and Lucy Mundy; Betsy (affinal links to Tjuna family); Siblings, Milaga (affinal links to Tjuna family) and Munjinya; and Toby Ngampija Roberts, son of Moonlight Lightning; or</w:t>
      </w:r>
    </w:p>
    <w:p w:rsidR="00766AAA" w:rsidRDefault="007C3CAC" w:rsidP="007C3CAC">
      <w:pPr>
        <w:pStyle w:val="NoNum"/>
        <w:ind w:left="2160" w:hanging="720"/>
      </w:pPr>
      <w:r>
        <w:t>(ii)</w:t>
      </w:r>
      <w:r>
        <w:tab/>
      </w:r>
      <w:r w:rsidR="00766AAA">
        <w:t xml:space="preserve">are descendant, either through birth or adoption, from any other person acknowledged by the native title holders as a Kokatha, Mirning or Wirangu antecedent where the antecedent was born on or near the Determination Area at or around the time of sovereignty; </w:t>
      </w:r>
    </w:p>
    <w:p w:rsidR="00766AAA" w:rsidRDefault="00766AAA" w:rsidP="007C3CAC">
      <w:pPr>
        <w:pStyle w:val="NoNum"/>
        <w:ind w:left="720"/>
      </w:pPr>
      <w:r>
        <w:t xml:space="preserve">AND who are recognised by other native title holders under the relevant traditional laws and customs of the Far West Coast Peoples as having realised their rights through knowledge, association and familiarity with the Determination Area gained in accordance with the laws and customs of the native title holders, and therefore as holding native title rights and interests in the Native Title Land; or </w:t>
      </w:r>
    </w:p>
    <w:p w:rsidR="00766AAA" w:rsidRDefault="00766AAA" w:rsidP="007C3CAC">
      <w:pPr>
        <w:pStyle w:val="NoNum"/>
        <w:ind w:left="1440" w:hanging="720"/>
      </w:pPr>
      <w:r>
        <w:t>B</w:t>
      </w:r>
      <w:r w:rsidR="007C3CAC">
        <w:t>.</w:t>
      </w:r>
      <w:r>
        <w:tab/>
        <w:t xml:space="preserve">were born within the Determination Area and have gained knowledge of the land and waters of the Determination </w:t>
      </w:r>
      <w:r w:rsidR="00595BFF">
        <w:t>A</w:t>
      </w:r>
      <w:r>
        <w:t xml:space="preserve">rea in accordance with the traditional laws and customs of the native title holders, and are recognised by other native </w:t>
      </w:r>
      <w:r>
        <w:lastRenderedPageBreak/>
        <w:t>title holders under their relevant traditional laws and customs as having native title rights and interests in the Native Title Land; or</w:t>
      </w:r>
    </w:p>
    <w:p w:rsidR="00766AAA" w:rsidRDefault="00766AAA" w:rsidP="007C3CAC">
      <w:pPr>
        <w:pStyle w:val="NoNum"/>
        <w:ind w:left="1440" w:hanging="720"/>
      </w:pPr>
      <w:r>
        <w:t>C</w:t>
      </w:r>
      <w:r>
        <w:tab/>
        <w:t>have mythical or ritual knowledge and experience of the Determination Area and have responsibility for the sites and strings of sites within the Determination Area tha</w:t>
      </w:r>
      <w:r w:rsidR="00595BFF">
        <w:t>t are associated with the T</w:t>
      </w:r>
      <w:r>
        <w:t>jukurpa (Dreaming) and are recognised by other native title holders under their relevant traditional laws and customs as having native title rights and interests in the Native Title Land.</w:t>
      </w:r>
    </w:p>
    <w:p w:rsidR="00766AAA" w:rsidRDefault="004E6DCF" w:rsidP="006649D8">
      <w:pPr>
        <w:pStyle w:val="Heading2"/>
        <w:spacing w:after="120"/>
      </w:pPr>
      <w:r>
        <w:t>Rights a</w:t>
      </w:r>
      <w:r w:rsidR="00766AAA">
        <w:t>nd Interests</w:t>
      </w:r>
    </w:p>
    <w:p w:rsidR="00766AAA" w:rsidRDefault="00766AAA" w:rsidP="00254FB5">
      <w:pPr>
        <w:pStyle w:val="ListNo"/>
        <w:numPr>
          <w:ilvl w:val="0"/>
          <w:numId w:val="14"/>
        </w:numPr>
        <w:tabs>
          <w:tab w:val="clear" w:pos="720"/>
        </w:tabs>
      </w:pPr>
      <w:r>
        <w:t>Subject to paragraphs 11, 12, 13 and 14 the nature and extent of the native title rights and interests in the Native Title Land are non-exclusive rights to use and enjoy, in accordance with the native title holders' traditional laws and customs, the land and waters, being:</w:t>
      </w:r>
    </w:p>
    <w:p w:rsidR="00766AAA" w:rsidRDefault="00766AAA" w:rsidP="00254FB5">
      <w:pPr>
        <w:pStyle w:val="NoNum"/>
        <w:numPr>
          <w:ilvl w:val="3"/>
          <w:numId w:val="14"/>
        </w:numPr>
        <w:tabs>
          <w:tab w:val="clear" w:pos="2880"/>
          <w:tab w:val="num" w:pos="1418"/>
        </w:tabs>
        <w:ind w:left="1418" w:hanging="709"/>
      </w:pPr>
      <w:r>
        <w:t>the right to access and move about the Native Title Land;</w:t>
      </w:r>
    </w:p>
    <w:p w:rsidR="00766AAA" w:rsidRDefault="006649D8" w:rsidP="00254FB5">
      <w:pPr>
        <w:pStyle w:val="NoNum"/>
        <w:numPr>
          <w:ilvl w:val="3"/>
          <w:numId w:val="14"/>
        </w:numPr>
        <w:tabs>
          <w:tab w:val="clear" w:pos="2880"/>
          <w:tab w:val="num" w:pos="1418"/>
        </w:tabs>
        <w:ind w:left="1418" w:hanging="709"/>
      </w:pPr>
      <w:r>
        <w:t xml:space="preserve">the </w:t>
      </w:r>
      <w:r w:rsidR="00766AAA">
        <w:t>right to live, to camp and, for the purpose of exercising the native title rights and interests, to erect shelters and other structures on the Native Title Land;</w:t>
      </w:r>
    </w:p>
    <w:p w:rsidR="00766AAA" w:rsidRDefault="006649D8" w:rsidP="00254FB5">
      <w:pPr>
        <w:pStyle w:val="NoNum"/>
        <w:numPr>
          <w:ilvl w:val="3"/>
          <w:numId w:val="14"/>
        </w:numPr>
        <w:tabs>
          <w:tab w:val="clear" w:pos="2880"/>
          <w:tab w:val="num" w:pos="1418"/>
        </w:tabs>
        <w:ind w:left="1418" w:hanging="709"/>
      </w:pPr>
      <w:r>
        <w:t xml:space="preserve">the </w:t>
      </w:r>
      <w:r w:rsidR="00766AAA">
        <w:t>right to hunt on the Native Title Land;</w:t>
      </w:r>
    </w:p>
    <w:p w:rsidR="00766AAA" w:rsidRDefault="006649D8" w:rsidP="00254FB5">
      <w:pPr>
        <w:pStyle w:val="NoNum"/>
        <w:numPr>
          <w:ilvl w:val="3"/>
          <w:numId w:val="14"/>
        </w:numPr>
        <w:tabs>
          <w:tab w:val="clear" w:pos="2880"/>
          <w:tab w:val="num" w:pos="1418"/>
        </w:tabs>
        <w:ind w:left="1418" w:hanging="709"/>
      </w:pPr>
      <w:r>
        <w:t xml:space="preserve">the </w:t>
      </w:r>
      <w:r w:rsidR="00766AAA">
        <w:t>right to fish on the Native Title Land;</w:t>
      </w:r>
    </w:p>
    <w:p w:rsidR="00766AAA" w:rsidRDefault="006649D8" w:rsidP="00254FB5">
      <w:pPr>
        <w:pStyle w:val="NoNum"/>
        <w:numPr>
          <w:ilvl w:val="3"/>
          <w:numId w:val="14"/>
        </w:numPr>
        <w:tabs>
          <w:tab w:val="clear" w:pos="2880"/>
          <w:tab w:val="num" w:pos="1418"/>
        </w:tabs>
        <w:ind w:left="1418" w:hanging="709"/>
      </w:pPr>
      <w:r>
        <w:t xml:space="preserve">the </w:t>
      </w:r>
      <w:r w:rsidR="00766AAA">
        <w:t>right to gather and use the natural resources of the Native Title Land such as food, medicinal plants, wild tobacco, timber, resin, ochre and feathers;</w:t>
      </w:r>
    </w:p>
    <w:p w:rsidR="00766AAA" w:rsidRDefault="006649D8" w:rsidP="00254FB5">
      <w:pPr>
        <w:pStyle w:val="ListNo"/>
        <w:numPr>
          <w:ilvl w:val="3"/>
          <w:numId w:val="14"/>
        </w:numPr>
        <w:tabs>
          <w:tab w:val="clear" w:pos="2880"/>
          <w:tab w:val="num" w:pos="1418"/>
        </w:tabs>
        <w:ind w:left="1418" w:hanging="709"/>
      </w:pPr>
      <w:r>
        <w:t>the ri</w:t>
      </w:r>
      <w:r w:rsidR="00766AAA">
        <w:t>ght to share and exchange the subsistence and other traditional resources of the Native Title Land;</w:t>
      </w:r>
    </w:p>
    <w:p w:rsidR="006649D8" w:rsidRDefault="006649D8" w:rsidP="00254FB5">
      <w:pPr>
        <w:pStyle w:val="ListNo"/>
        <w:numPr>
          <w:ilvl w:val="3"/>
          <w:numId w:val="14"/>
        </w:numPr>
        <w:tabs>
          <w:tab w:val="clear" w:pos="2880"/>
          <w:tab w:val="num" w:pos="1418"/>
        </w:tabs>
        <w:ind w:left="1418" w:hanging="709"/>
      </w:pPr>
      <w:r>
        <w:t>the right to use the natural water resources of the Native Title Land;</w:t>
      </w:r>
    </w:p>
    <w:p w:rsidR="006649D8" w:rsidRDefault="006649D8" w:rsidP="00254FB5">
      <w:pPr>
        <w:pStyle w:val="ListNo"/>
        <w:numPr>
          <w:ilvl w:val="3"/>
          <w:numId w:val="14"/>
        </w:numPr>
        <w:tabs>
          <w:tab w:val="clear" w:pos="2880"/>
          <w:tab w:val="num" w:pos="1418"/>
        </w:tabs>
        <w:ind w:left="1418" w:hanging="709"/>
      </w:pPr>
      <w:r>
        <w:t>the right to cook on the Native Title Land and to light fires for domestic purposes but not for the clearance of vegetation;</w:t>
      </w:r>
    </w:p>
    <w:p w:rsidR="006649D8" w:rsidRDefault="006649D8" w:rsidP="00254FB5">
      <w:pPr>
        <w:pStyle w:val="ListNo"/>
        <w:numPr>
          <w:ilvl w:val="3"/>
          <w:numId w:val="14"/>
        </w:numPr>
        <w:tabs>
          <w:tab w:val="clear" w:pos="2880"/>
          <w:tab w:val="num" w:pos="1418"/>
        </w:tabs>
        <w:ind w:left="1418" w:hanging="709"/>
      </w:pPr>
      <w:r>
        <w:t>the right to engage and participate in cultural activities on the Native Title Land including those relating to births and deaths;</w:t>
      </w:r>
    </w:p>
    <w:p w:rsidR="006649D8" w:rsidRDefault="006649D8" w:rsidP="00254FB5">
      <w:pPr>
        <w:pStyle w:val="ListNo"/>
        <w:numPr>
          <w:ilvl w:val="3"/>
          <w:numId w:val="14"/>
        </w:numPr>
        <w:tabs>
          <w:tab w:val="clear" w:pos="2880"/>
          <w:tab w:val="num" w:pos="1418"/>
        </w:tabs>
        <w:ind w:left="1418" w:hanging="709"/>
      </w:pPr>
      <w:r>
        <w:t>the right to conduct ceremonies and hold meetings on the Native Title Land;</w:t>
      </w:r>
    </w:p>
    <w:p w:rsidR="006649D8" w:rsidRDefault="006649D8" w:rsidP="00254FB5">
      <w:pPr>
        <w:pStyle w:val="ListNo"/>
        <w:numPr>
          <w:ilvl w:val="3"/>
          <w:numId w:val="14"/>
        </w:numPr>
        <w:tabs>
          <w:tab w:val="clear" w:pos="2880"/>
          <w:tab w:val="num" w:pos="1418"/>
        </w:tabs>
        <w:ind w:left="1418" w:hanging="709"/>
      </w:pPr>
      <w:r>
        <w:lastRenderedPageBreak/>
        <w:t>the right to teach on the Native Title Land the physical and spiritual attributes of locations and sites within the Determination Area;</w:t>
      </w:r>
    </w:p>
    <w:p w:rsidR="006649D8" w:rsidRDefault="006649D8" w:rsidP="00254FB5">
      <w:pPr>
        <w:pStyle w:val="ListNo"/>
        <w:numPr>
          <w:ilvl w:val="3"/>
          <w:numId w:val="14"/>
        </w:numPr>
        <w:tabs>
          <w:tab w:val="clear" w:pos="2880"/>
          <w:tab w:val="num" w:pos="1418"/>
        </w:tabs>
        <w:ind w:left="1418" w:hanging="709"/>
      </w:pPr>
      <w:r>
        <w:t>the right to visit, maintain and protect sites and places of cultural and religious significance to native title holders under their traditional laws and customs on the Native Title Land;</w:t>
      </w:r>
    </w:p>
    <w:p w:rsidR="006649D8" w:rsidRDefault="006649D8" w:rsidP="00254FB5">
      <w:pPr>
        <w:pStyle w:val="ListNo"/>
        <w:numPr>
          <w:ilvl w:val="3"/>
          <w:numId w:val="14"/>
        </w:numPr>
        <w:tabs>
          <w:tab w:val="clear" w:pos="2880"/>
          <w:tab w:val="num" w:pos="1418"/>
        </w:tabs>
        <w:ind w:left="1418" w:hanging="709"/>
      </w:pPr>
      <w:r>
        <w:t>the right to be accompanied on to the Native Title Land by those people who, though not native title holders, are:</w:t>
      </w:r>
    </w:p>
    <w:p w:rsidR="00766AAA" w:rsidRDefault="00766AAA" w:rsidP="00254FB5">
      <w:pPr>
        <w:pStyle w:val="ListNo"/>
        <w:numPr>
          <w:ilvl w:val="0"/>
          <w:numId w:val="21"/>
        </w:numPr>
        <w:tabs>
          <w:tab w:val="clear" w:pos="3600"/>
          <w:tab w:val="num" w:pos="1418"/>
        </w:tabs>
        <w:ind w:left="2127"/>
      </w:pPr>
      <w:r>
        <w:t>spouses of native title holders; or</w:t>
      </w:r>
    </w:p>
    <w:p w:rsidR="00766AAA" w:rsidRDefault="00766AAA" w:rsidP="00254FB5">
      <w:pPr>
        <w:pStyle w:val="ListNo"/>
        <w:numPr>
          <w:ilvl w:val="0"/>
          <w:numId w:val="21"/>
        </w:numPr>
        <w:tabs>
          <w:tab w:val="clear" w:pos="3600"/>
          <w:tab w:val="num" w:pos="1418"/>
        </w:tabs>
        <w:ind w:left="2127"/>
      </w:pPr>
      <w:r>
        <w:t>people required by traditional law and custom for the performance of ceremonies or cultural activities on the Native Title Land; or</w:t>
      </w:r>
    </w:p>
    <w:p w:rsidR="00766AAA" w:rsidRDefault="00766AAA" w:rsidP="00254FB5">
      <w:pPr>
        <w:pStyle w:val="ListNo"/>
        <w:numPr>
          <w:ilvl w:val="0"/>
          <w:numId w:val="21"/>
        </w:numPr>
        <w:tabs>
          <w:tab w:val="clear" w:pos="3600"/>
          <w:tab w:val="num" w:pos="1418"/>
        </w:tabs>
        <w:ind w:left="2127"/>
      </w:pPr>
      <w:r>
        <w:t>people who have rights in relation to the Native Title Land according to the traditional laws and customs acknowledged by the native title holders.</w:t>
      </w:r>
    </w:p>
    <w:p w:rsidR="00766AAA" w:rsidRDefault="00766AAA" w:rsidP="00A31D51">
      <w:pPr>
        <w:pStyle w:val="Heading2"/>
        <w:spacing w:after="120"/>
      </w:pPr>
      <w:r>
        <w:t xml:space="preserve">General Limitations </w:t>
      </w:r>
    </w:p>
    <w:p w:rsidR="00766AAA" w:rsidRDefault="00766AAA" w:rsidP="00254FB5">
      <w:pPr>
        <w:pStyle w:val="ListNo"/>
        <w:numPr>
          <w:ilvl w:val="0"/>
          <w:numId w:val="14"/>
        </w:numPr>
        <w:tabs>
          <w:tab w:val="clear" w:pos="720"/>
        </w:tabs>
      </w:pPr>
      <w:r>
        <w:t xml:space="preserve">The native title rights and interests are for personal, domestic and communal use. </w:t>
      </w:r>
    </w:p>
    <w:p w:rsidR="00766AAA" w:rsidRDefault="00766AAA" w:rsidP="00254FB5">
      <w:pPr>
        <w:pStyle w:val="ListNo"/>
        <w:numPr>
          <w:ilvl w:val="0"/>
          <w:numId w:val="14"/>
        </w:numPr>
        <w:tabs>
          <w:tab w:val="clear" w:pos="720"/>
        </w:tabs>
      </w:pPr>
      <w:r>
        <w:t>Subject to paragraph 13, the native title rights and interests described in paragraph 10 do not confer possession, occupation, use and enjoyment of the Native Title Land on the native title holders to the exclusion of others.</w:t>
      </w:r>
    </w:p>
    <w:p w:rsidR="00766AAA" w:rsidRDefault="00766AAA" w:rsidP="00254FB5">
      <w:pPr>
        <w:pStyle w:val="ListNo"/>
        <w:numPr>
          <w:ilvl w:val="0"/>
          <w:numId w:val="14"/>
        </w:numPr>
        <w:tabs>
          <w:tab w:val="clear" w:pos="720"/>
        </w:tabs>
      </w:pPr>
      <w:r>
        <w:t xml:space="preserve">The nature and extent of native title rights and interests in relation to each part of the Native Title Land referred to in Schedule 4 (being areas where extinguishment of native title rights and interests over the areas therein prior to 18 January 2006 is to be disregarded in accordance with </w:t>
      </w:r>
      <w:r w:rsidR="00305318">
        <w:t>s</w:t>
      </w:r>
      <w:r>
        <w:t xml:space="preserve"> 47A of the </w:t>
      </w:r>
      <w:r w:rsidR="00595BFF">
        <w:t>Native Title Act</w:t>
      </w:r>
      <w:r>
        <w:t>) are, subject to paragraph 16 of this Order, an entitlement to possession, occupation, use and enjoyment of the land and waters of that part to the exclusion of all others.</w:t>
      </w:r>
    </w:p>
    <w:p w:rsidR="00766AAA" w:rsidRDefault="00766AAA" w:rsidP="00254FB5">
      <w:pPr>
        <w:pStyle w:val="ListNo"/>
        <w:numPr>
          <w:ilvl w:val="0"/>
          <w:numId w:val="14"/>
        </w:numPr>
        <w:tabs>
          <w:tab w:val="clear" w:pos="720"/>
        </w:tabs>
      </w:pPr>
      <w:r>
        <w:t>Native title rights and interests are subject to and exercisable in accordance with:</w:t>
      </w:r>
    </w:p>
    <w:p w:rsidR="00766AAA" w:rsidRDefault="00766AAA" w:rsidP="00254FB5">
      <w:pPr>
        <w:pStyle w:val="ListNo"/>
        <w:numPr>
          <w:ilvl w:val="0"/>
          <w:numId w:val="22"/>
        </w:numPr>
        <w:tabs>
          <w:tab w:val="clear" w:pos="1440"/>
        </w:tabs>
      </w:pPr>
      <w:r>
        <w:t>the traditional laws and customs of the native title holders; and</w:t>
      </w:r>
    </w:p>
    <w:p w:rsidR="00766AAA" w:rsidRDefault="00766AAA" w:rsidP="00254FB5">
      <w:pPr>
        <w:pStyle w:val="ListNo"/>
        <w:numPr>
          <w:ilvl w:val="0"/>
          <w:numId w:val="22"/>
        </w:numPr>
        <w:tabs>
          <w:tab w:val="clear" w:pos="1440"/>
        </w:tabs>
      </w:pPr>
      <w:r>
        <w:t>the valid laws of the State and Commonwealth, including the common law.</w:t>
      </w:r>
    </w:p>
    <w:p w:rsidR="00766AAA" w:rsidRDefault="00766AAA" w:rsidP="00305318">
      <w:pPr>
        <w:pStyle w:val="NoNum"/>
        <w:ind w:left="720"/>
      </w:pPr>
      <w:r>
        <w:t xml:space="preserve">For the avoidance of doubt, the native title interest expressed in paragraph 10(g) (the right to use natural water resources) is subject to the </w:t>
      </w:r>
      <w:r w:rsidR="004E6DCF" w:rsidRPr="00305318">
        <w:rPr>
          <w:i/>
        </w:rPr>
        <w:t>Natural Resources Management Act 2004</w:t>
      </w:r>
      <w:r w:rsidR="004E6DCF">
        <w:t xml:space="preserve"> (SA)</w:t>
      </w:r>
      <w:r>
        <w:t>.</w:t>
      </w:r>
    </w:p>
    <w:p w:rsidR="00766AAA" w:rsidRDefault="00766AAA" w:rsidP="00305318">
      <w:pPr>
        <w:pStyle w:val="Heading2"/>
        <w:spacing w:after="120"/>
      </w:pPr>
      <w:r>
        <w:lastRenderedPageBreak/>
        <w:t>Other Interests &amp; Relationship with Native Title</w:t>
      </w:r>
    </w:p>
    <w:p w:rsidR="00766AAA" w:rsidRDefault="00766AAA" w:rsidP="00254FB5">
      <w:pPr>
        <w:pStyle w:val="ListNo"/>
        <w:numPr>
          <w:ilvl w:val="0"/>
          <w:numId w:val="14"/>
        </w:numPr>
        <w:tabs>
          <w:tab w:val="clear" w:pos="720"/>
        </w:tabs>
      </w:pPr>
      <w:r>
        <w:t>The nature and extent of other interests in the Native Title Land are:</w:t>
      </w:r>
    </w:p>
    <w:p w:rsidR="00766AAA" w:rsidRDefault="00766AAA" w:rsidP="00305318">
      <w:pPr>
        <w:pStyle w:val="ListNo"/>
        <w:numPr>
          <w:ilvl w:val="3"/>
          <w:numId w:val="2"/>
        </w:numPr>
        <w:tabs>
          <w:tab w:val="clear" w:pos="2880"/>
        </w:tabs>
        <w:ind w:hanging="2171"/>
      </w:pPr>
      <w:r>
        <w:t>the interests created by the following pastoral leases: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052"/>
        <w:gridCol w:w="3420"/>
      </w:tblGrid>
      <w:tr w:rsidR="00EB66DD" w:rsidRPr="001F0511" w:rsidTr="00EB66DD">
        <w:trPr>
          <w:trHeight w:val="340"/>
          <w:tblHeader/>
        </w:trPr>
        <w:tc>
          <w:tcPr>
            <w:tcW w:w="2736" w:type="dxa"/>
            <w:shd w:val="clear" w:color="auto" w:fill="E0E0E0"/>
            <w:vAlign w:val="center"/>
          </w:tcPr>
          <w:p w:rsidR="00EB66DD" w:rsidRPr="001F0511" w:rsidRDefault="00EB66DD" w:rsidP="00EB66DD">
            <w:pPr>
              <w:rPr>
                <w:b/>
                <w:sz w:val="22"/>
                <w:szCs w:val="22"/>
              </w:rPr>
            </w:pPr>
            <w:r w:rsidRPr="001F0511">
              <w:rPr>
                <w:b/>
                <w:sz w:val="22"/>
                <w:szCs w:val="22"/>
              </w:rPr>
              <w:t>Lease name</w:t>
            </w:r>
          </w:p>
        </w:tc>
        <w:tc>
          <w:tcPr>
            <w:tcW w:w="2052" w:type="dxa"/>
            <w:shd w:val="clear" w:color="auto" w:fill="E0E0E0"/>
            <w:vAlign w:val="center"/>
          </w:tcPr>
          <w:p w:rsidR="00EB66DD" w:rsidRPr="001F0511" w:rsidRDefault="00EB66DD" w:rsidP="00EB66DD">
            <w:pPr>
              <w:rPr>
                <w:b/>
                <w:sz w:val="22"/>
                <w:szCs w:val="22"/>
              </w:rPr>
            </w:pPr>
            <w:r w:rsidRPr="001F0511">
              <w:rPr>
                <w:b/>
                <w:sz w:val="22"/>
                <w:szCs w:val="22"/>
              </w:rPr>
              <w:t>Pastoral Lease No</w:t>
            </w:r>
          </w:p>
        </w:tc>
        <w:tc>
          <w:tcPr>
            <w:tcW w:w="3420" w:type="dxa"/>
            <w:shd w:val="clear" w:color="auto" w:fill="E0E0E0"/>
            <w:vAlign w:val="center"/>
          </w:tcPr>
          <w:p w:rsidR="00EB66DD" w:rsidRPr="001F0511" w:rsidRDefault="00EB66DD" w:rsidP="00EB66DD">
            <w:pPr>
              <w:rPr>
                <w:b/>
                <w:sz w:val="22"/>
                <w:szCs w:val="22"/>
              </w:rPr>
            </w:pPr>
            <w:r w:rsidRPr="001F0511">
              <w:rPr>
                <w:b/>
                <w:sz w:val="22"/>
                <w:szCs w:val="22"/>
              </w:rPr>
              <w:t>Crown Lease</w:t>
            </w:r>
          </w:p>
        </w:tc>
      </w:tr>
      <w:tr w:rsidR="00EB66DD" w:rsidRPr="001F0511" w:rsidTr="00EB66DD">
        <w:trPr>
          <w:trHeight w:val="340"/>
        </w:trPr>
        <w:tc>
          <w:tcPr>
            <w:tcW w:w="2736" w:type="dxa"/>
            <w:vAlign w:val="center"/>
          </w:tcPr>
          <w:p w:rsidR="00EB66DD" w:rsidRPr="001F0511" w:rsidRDefault="00EB66DD" w:rsidP="00EB66DD">
            <w:pPr>
              <w:rPr>
                <w:rFonts w:cs="Arial"/>
                <w:sz w:val="22"/>
                <w:szCs w:val="22"/>
              </w:rPr>
            </w:pPr>
            <w:r w:rsidRPr="001F0511">
              <w:rPr>
                <w:rFonts w:cs="Arial"/>
                <w:sz w:val="22"/>
                <w:szCs w:val="22"/>
              </w:rPr>
              <w:t>Chundaria</w:t>
            </w:r>
          </w:p>
        </w:tc>
        <w:tc>
          <w:tcPr>
            <w:tcW w:w="2052" w:type="dxa"/>
            <w:vAlign w:val="center"/>
          </w:tcPr>
          <w:p w:rsidR="00EB66DD" w:rsidRPr="001F0511" w:rsidRDefault="00EB66DD" w:rsidP="00EB66DD">
            <w:pPr>
              <w:rPr>
                <w:rFonts w:cs="Arial"/>
                <w:sz w:val="22"/>
                <w:szCs w:val="22"/>
              </w:rPr>
            </w:pPr>
            <w:r w:rsidRPr="001F0511">
              <w:rPr>
                <w:rFonts w:cs="Arial"/>
                <w:sz w:val="22"/>
                <w:szCs w:val="22"/>
              </w:rPr>
              <w:t>2163</w:t>
            </w:r>
          </w:p>
        </w:tc>
        <w:tc>
          <w:tcPr>
            <w:tcW w:w="3420" w:type="dxa"/>
            <w:vAlign w:val="center"/>
          </w:tcPr>
          <w:p w:rsidR="00EB66DD" w:rsidRPr="001F0511" w:rsidRDefault="00EB66DD" w:rsidP="00EB66DD">
            <w:pPr>
              <w:rPr>
                <w:rFonts w:cs="Arial"/>
                <w:sz w:val="22"/>
                <w:szCs w:val="22"/>
              </w:rPr>
            </w:pPr>
            <w:r w:rsidRPr="001F0511">
              <w:rPr>
                <w:rFonts w:cs="Arial"/>
                <w:sz w:val="22"/>
                <w:szCs w:val="22"/>
              </w:rPr>
              <w:t>CL1184/9</w:t>
            </w:r>
          </w:p>
        </w:tc>
      </w:tr>
      <w:tr w:rsidR="00EB66DD" w:rsidRPr="001F0511" w:rsidTr="00EB66DD">
        <w:trPr>
          <w:trHeight w:val="340"/>
        </w:trPr>
        <w:tc>
          <w:tcPr>
            <w:tcW w:w="2736" w:type="dxa"/>
            <w:vAlign w:val="center"/>
          </w:tcPr>
          <w:p w:rsidR="00EB66DD" w:rsidRPr="001F0511" w:rsidRDefault="00EB66DD" w:rsidP="00EB66DD">
            <w:pPr>
              <w:rPr>
                <w:sz w:val="22"/>
                <w:szCs w:val="22"/>
              </w:rPr>
            </w:pPr>
            <w:r w:rsidRPr="001F0511">
              <w:rPr>
                <w:sz w:val="22"/>
                <w:szCs w:val="22"/>
              </w:rPr>
              <w:t>Kychering</w:t>
            </w:r>
          </w:p>
        </w:tc>
        <w:tc>
          <w:tcPr>
            <w:tcW w:w="2052" w:type="dxa"/>
            <w:vAlign w:val="center"/>
          </w:tcPr>
          <w:p w:rsidR="00EB66DD" w:rsidRPr="001F0511" w:rsidRDefault="00EB66DD" w:rsidP="00EB66DD">
            <w:pPr>
              <w:rPr>
                <w:sz w:val="22"/>
                <w:szCs w:val="22"/>
              </w:rPr>
            </w:pPr>
            <w:r w:rsidRPr="001F0511">
              <w:rPr>
                <w:sz w:val="22"/>
                <w:szCs w:val="22"/>
              </w:rPr>
              <w:t>2507</w:t>
            </w:r>
          </w:p>
        </w:tc>
        <w:tc>
          <w:tcPr>
            <w:tcW w:w="3420" w:type="dxa"/>
            <w:vAlign w:val="center"/>
          </w:tcPr>
          <w:p w:rsidR="00EB66DD" w:rsidRPr="001F0511" w:rsidRDefault="00EB66DD" w:rsidP="00EB66DD">
            <w:pPr>
              <w:rPr>
                <w:sz w:val="22"/>
                <w:szCs w:val="22"/>
              </w:rPr>
            </w:pPr>
            <w:r w:rsidRPr="001F0511">
              <w:rPr>
                <w:sz w:val="22"/>
                <w:szCs w:val="22"/>
              </w:rPr>
              <w:t>CL1605/67</w:t>
            </w:r>
          </w:p>
        </w:tc>
      </w:tr>
      <w:tr w:rsidR="00EB66DD" w:rsidRPr="001F0511" w:rsidTr="00EB66DD">
        <w:trPr>
          <w:trHeight w:val="340"/>
        </w:trPr>
        <w:tc>
          <w:tcPr>
            <w:tcW w:w="2736" w:type="dxa"/>
            <w:vAlign w:val="center"/>
          </w:tcPr>
          <w:p w:rsidR="00EB66DD" w:rsidRPr="001F0511" w:rsidRDefault="00EB66DD" w:rsidP="00EB66DD">
            <w:pPr>
              <w:rPr>
                <w:sz w:val="22"/>
                <w:szCs w:val="22"/>
              </w:rPr>
            </w:pPr>
            <w:r w:rsidRPr="001F0511">
              <w:rPr>
                <w:sz w:val="22"/>
                <w:szCs w:val="22"/>
              </w:rPr>
              <w:t>Malbooma</w:t>
            </w:r>
          </w:p>
        </w:tc>
        <w:tc>
          <w:tcPr>
            <w:tcW w:w="2052" w:type="dxa"/>
            <w:vAlign w:val="center"/>
          </w:tcPr>
          <w:p w:rsidR="00EB66DD" w:rsidRPr="001F0511" w:rsidRDefault="00EB66DD" w:rsidP="00EB66DD">
            <w:pPr>
              <w:rPr>
                <w:sz w:val="22"/>
                <w:szCs w:val="22"/>
              </w:rPr>
            </w:pPr>
            <w:r w:rsidRPr="001F0511">
              <w:rPr>
                <w:sz w:val="22"/>
                <w:szCs w:val="22"/>
              </w:rPr>
              <w:t>2246</w:t>
            </w:r>
          </w:p>
        </w:tc>
        <w:tc>
          <w:tcPr>
            <w:tcW w:w="3420" w:type="dxa"/>
            <w:vAlign w:val="center"/>
          </w:tcPr>
          <w:p w:rsidR="00EB66DD" w:rsidRPr="001F0511" w:rsidRDefault="00EB66DD" w:rsidP="00EB66DD">
            <w:pPr>
              <w:rPr>
                <w:sz w:val="22"/>
                <w:szCs w:val="22"/>
              </w:rPr>
            </w:pPr>
            <w:r w:rsidRPr="001F0511">
              <w:rPr>
                <w:sz w:val="22"/>
                <w:szCs w:val="22"/>
              </w:rPr>
              <w:t>CL1281/46</w:t>
            </w:r>
          </w:p>
        </w:tc>
      </w:tr>
    </w:tbl>
    <w:p w:rsidR="00766AAA" w:rsidRDefault="00766AAA" w:rsidP="00305318">
      <w:pPr>
        <w:pStyle w:val="ListNo"/>
        <w:numPr>
          <w:ilvl w:val="3"/>
          <w:numId w:val="2"/>
        </w:numPr>
        <w:tabs>
          <w:tab w:val="clear" w:pos="2880"/>
        </w:tabs>
        <w:ind w:left="1418" w:hanging="709"/>
      </w:pPr>
      <w:r>
        <w:t>the interests of the Crown in right of the State of South Australia;</w:t>
      </w:r>
    </w:p>
    <w:p w:rsidR="00305318" w:rsidRDefault="00305318" w:rsidP="00305318">
      <w:pPr>
        <w:pStyle w:val="ListNo"/>
        <w:numPr>
          <w:ilvl w:val="3"/>
          <w:numId w:val="2"/>
        </w:numPr>
        <w:tabs>
          <w:tab w:val="clear" w:pos="2880"/>
        </w:tabs>
        <w:ind w:left="1418" w:hanging="709"/>
      </w:pPr>
      <w:r>
        <w:t>in relation to those Reserves included within Schedule 3:</w:t>
      </w:r>
    </w:p>
    <w:p w:rsidR="00766AAA" w:rsidRDefault="00766AAA" w:rsidP="00254FB5">
      <w:pPr>
        <w:pStyle w:val="ListNo"/>
        <w:numPr>
          <w:ilvl w:val="0"/>
          <w:numId w:val="23"/>
        </w:numPr>
        <w:tabs>
          <w:tab w:val="clear" w:pos="720"/>
        </w:tabs>
        <w:ind w:left="2127"/>
      </w:pPr>
      <w:r>
        <w:t xml:space="preserve">the rights and interests of the Crown of South Australia pursuant to the </w:t>
      </w:r>
      <w:r w:rsidRPr="00595BFF">
        <w:rPr>
          <w:i/>
        </w:rPr>
        <w:t>National Parks and Wildlife Act 1972</w:t>
      </w:r>
      <w:r>
        <w:t xml:space="preserve"> (SA) and the </w:t>
      </w:r>
      <w:r w:rsidRPr="00595BFF">
        <w:rPr>
          <w:i/>
        </w:rPr>
        <w:t xml:space="preserve">Wilderness Protection Act 1992 </w:t>
      </w:r>
      <w:r>
        <w:t>(SA); and</w:t>
      </w:r>
    </w:p>
    <w:p w:rsidR="00766AAA" w:rsidRDefault="00766AAA" w:rsidP="00254FB5">
      <w:pPr>
        <w:pStyle w:val="ListNo"/>
        <w:numPr>
          <w:ilvl w:val="0"/>
          <w:numId w:val="23"/>
        </w:numPr>
        <w:tabs>
          <w:tab w:val="clear" w:pos="720"/>
        </w:tabs>
        <w:ind w:left="2127"/>
      </w:pPr>
      <w:r>
        <w:t xml:space="preserve">the rights and interests of the public to use and enjoy those Reserves consistent with the </w:t>
      </w:r>
      <w:r w:rsidRPr="00595BFF">
        <w:rPr>
          <w:i/>
        </w:rPr>
        <w:t>National Parks and Wildlife Act 1972</w:t>
      </w:r>
      <w:r>
        <w:t xml:space="preserve"> (SA) and the </w:t>
      </w:r>
      <w:r w:rsidRPr="00595BFF">
        <w:rPr>
          <w:i/>
        </w:rPr>
        <w:t xml:space="preserve">Wilderness Protection Act 1992 </w:t>
      </w:r>
      <w:r>
        <w:t xml:space="preserve">(SA); </w:t>
      </w:r>
    </w:p>
    <w:p w:rsidR="00766AAA" w:rsidRDefault="0007496D" w:rsidP="0007496D">
      <w:pPr>
        <w:pStyle w:val="ListNo"/>
        <w:ind w:left="1418" w:hanging="720"/>
      </w:pPr>
      <w:r>
        <w:t>(d)</w:t>
      </w:r>
      <w:r>
        <w:tab/>
      </w:r>
      <w:r w:rsidR="00766AAA">
        <w:t xml:space="preserve">the interests of the Aboriginal Lands Trust in the lands set out in Schedule 4 pursuant to the </w:t>
      </w:r>
      <w:r w:rsidR="00766AAA" w:rsidRPr="00595BFF">
        <w:rPr>
          <w:i/>
        </w:rPr>
        <w:t>Aboriginal Lands Trust Act 1966</w:t>
      </w:r>
      <w:r w:rsidR="00766AAA">
        <w:t xml:space="preserve"> (SA);</w:t>
      </w:r>
    </w:p>
    <w:p w:rsidR="00766AAA" w:rsidRDefault="0007496D" w:rsidP="0007496D">
      <w:pPr>
        <w:pStyle w:val="ListNo"/>
        <w:ind w:left="1418" w:hanging="720"/>
      </w:pPr>
      <w:r>
        <w:t>(e)</w:t>
      </w:r>
      <w:r>
        <w:tab/>
        <w:t xml:space="preserve">the </w:t>
      </w:r>
      <w:r w:rsidR="00766AAA">
        <w:t xml:space="preserve">interests of persons to whom valid or validated rights and interests have been granted or recognised by the Crown in right of the State of South Australia or by the Commonwealth of Australia pursuant to statute or otherwise in the exercise of executive power including, but not limited to, rights and interests granted or recognised pursuant to the </w:t>
      </w:r>
      <w:r w:rsidR="00766AAA" w:rsidRPr="00595BFF">
        <w:rPr>
          <w:i/>
        </w:rPr>
        <w:t>Crown Land Management Act 2009</w:t>
      </w:r>
      <w:r w:rsidR="00766AAA">
        <w:t xml:space="preserve"> (SA), </w:t>
      </w:r>
      <w:r w:rsidR="00766AAA" w:rsidRPr="00595BFF">
        <w:rPr>
          <w:i/>
        </w:rPr>
        <w:t>Crown Lands Act 1929</w:t>
      </w:r>
      <w:r w:rsidR="00766AAA">
        <w:t xml:space="preserve"> (SA), </w:t>
      </w:r>
      <w:r w:rsidR="00766AAA" w:rsidRPr="00595BFF">
        <w:rPr>
          <w:i/>
        </w:rPr>
        <w:t>Mining Act 1971</w:t>
      </w:r>
      <w:r w:rsidR="00766AAA">
        <w:t xml:space="preserve"> (SA), </w:t>
      </w:r>
      <w:r w:rsidR="00766AAA" w:rsidRPr="00595BFF">
        <w:rPr>
          <w:i/>
        </w:rPr>
        <w:t>Petroleum and Geothermal Energy Act 2000</w:t>
      </w:r>
      <w:r w:rsidR="00766AAA">
        <w:t xml:space="preserve"> (SA) and </w:t>
      </w:r>
      <w:r w:rsidR="00766AAA" w:rsidRPr="00595BFF">
        <w:rPr>
          <w:i/>
        </w:rPr>
        <w:t>Opal Mining Act 1995</w:t>
      </w:r>
      <w:r w:rsidR="00766AAA">
        <w:t xml:space="preserve"> (SA), all as amended from time to time;</w:t>
      </w:r>
    </w:p>
    <w:p w:rsidR="00766AAA" w:rsidRDefault="0007496D" w:rsidP="0007496D">
      <w:pPr>
        <w:pStyle w:val="ListNo"/>
        <w:ind w:left="1418" w:hanging="720"/>
      </w:pPr>
      <w:r>
        <w:t>(f)</w:t>
      </w:r>
      <w:r>
        <w:tab/>
      </w:r>
      <w:r w:rsidR="00766AAA">
        <w:t>rights or interests held by reason of the force and operation of the laws of the State or of the Commonwealth;</w:t>
      </w:r>
    </w:p>
    <w:p w:rsidR="003D74F2" w:rsidRDefault="0007496D" w:rsidP="003D74F2">
      <w:pPr>
        <w:pStyle w:val="ListNo"/>
        <w:ind w:left="1418" w:hanging="720"/>
      </w:pPr>
      <w:r>
        <w:t>(g)</w:t>
      </w:r>
      <w:r>
        <w:tab/>
        <w:t xml:space="preserve">the </w:t>
      </w:r>
      <w:r w:rsidR="00766AAA">
        <w:t>rights to access land by an employee or agent or instrumentality of the State, Commonwealth or other statutory authority as required in the performance of his or her statutory or common law duties where such access would</w:t>
      </w:r>
      <w:r w:rsidR="003D74F2">
        <w:t xml:space="preserve"> be permitted to private land; </w:t>
      </w:r>
    </w:p>
    <w:p w:rsidR="00766AAA" w:rsidRDefault="0007496D" w:rsidP="003D74F2">
      <w:pPr>
        <w:pStyle w:val="ListNo"/>
        <w:ind w:left="1418" w:hanging="720"/>
      </w:pPr>
      <w:r>
        <w:lastRenderedPageBreak/>
        <w:t>(h)</w:t>
      </w:r>
      <w:r>
        <w:tab/>
        <w:t xml:space="preserve">the </w:t>
      </w:r>
      <w:r w:rsidR="00766AAA">
        <w:t>rights and interests of all parties to the Indigenous Land Use Agreements listed in Schedule 9 arising by reason of those agreements;</w:t>
      </w:r>
    </w:p>
    <w:p w:rsidR="00766AAA" w:rsidRDefault="0007496D" w:rsidP="003D74F2">
      <w:pPr>
        <w:pStyle w:val="ListNo"/>
        <w:ind w:left="1440" w:hanging="742"/>
      </w:pPr>
      <w:r>
        <w:t>(i)</w:t>
      </w:r>
      <w:r>
        <w:tab/>
        <w:t xml:space="preserve">the </w:t>
      </w:r>
      <w:r w:rsidR="00766AAA">
        <w:t>rights and interests of Telstra Corporation Limited (or its corporate successor):</w:t>
      </w:r>
    </w:p>
    <w:p w:rsidR="00766AAA" w:rsidRDefault="00766AAA" w:rsidP="00254FB5">
      <w:pPr>
        <w:pStyle w:val="ListNo"/>
        <w:numPr>
          <w:ilvl w:val="0"/>
          <w:numId w:val="24"/>
        </w:numPr>
        <w:tabs>
          <w:tab w:val="clear" w:pos="2160"/>
        </w:tabs>
      </w:pPr>
      <w:r>
        <w:t>as the owner or operator of telecommunications facilities on the Native Title Land; and</w:t>
      </w:r>
    </w:p>
    <w:p w:rsidR="00766AAA" w:rsidRDefault="00766AAA" w:rsidP="00254FB5">
      <w:pPr>
        <w:pStyle w:val="ListNo"/>
        <w:numPr>
          <w:ilvl w:val="0"/>
          <w:numId w:val="24"/>
        </w:numPr>
        <w:tabs>
          <w:tab w:val="clear" w:pos="2160"/>
        </w:tabs>
      </w:pPr>
      <w:r>
        <w:t xml:space="preserve">created pursuant to the </w:t>
      </w:r>
      <w:r w:rsidR="004E6DCF" w:rsidRPr="003D74F2">
        <w:rPr>
          <w:i/>
        </w:rPr>
        <w:t>Post and Telegraph Act 1901</w:t>
      </w:r>
      <w:r w:rsidR="004E6DCF">
        <w:t xml:space="preserve"> (Cth), the </w:t>
      </w:r>
      <w:r w:rsidR="004E6DCF" w:rsidRPr="003D74F2">
        <w:rPr>
          <w:i/>
        </w:rPr>
        <w:t>Telecommunications Act 1975</w:t>
      </w:r>
      <w:r w:rsidR="004E6DCF">
        <w:t xml:space="preserve"> (Cth), the </w:t>
      </w:r>
      <w:r w:rsidR="004E6DCF" w:rsidRPr="003D74F2">
        <w:rPr>
          <w:i/>
        </w:rPr>
        <w:t>Australian Telecommunications Corporation Act 1989</w:t>
      </w:r>
      <w:r w:rsidR="004E6DCF">
        <w:t xml:space="preserve"> (Cth), the </w:t>
      </w:r>
      <w:r w:rsidR="004E6DCF" w:rsidRPr="003D74F2">
        <w:rPr>
          <w:i/>
        </w:rPr>
        <w:t>Telecommunications Act 1991</w:t>
      </w:r>
      <w:r w:rsidR="004E6DCF">
        <w:t xml:space="preserve"> (Cth), and the </w:t>
      </w:r>
      <w:r w:rsidR="004E6DCF" w:rsidRPr="003D74F2">
        <w:rPr>
          <w:i/>
        </w:rPr>
        <w:t xml:space="preserve">Telecommunications Act 1997 </w:t>
      </w:r>
      <w:r w:rsidR="004E6DCF">
        <w:t>(Cth)</w:t>
      </w:r>
      <w:r w:rsidR="00595BFF">
        <w:t>,</w:t>
      </w:r>
      <w:r>
        <w:t xml:space="preserve"> including rights: </w:t>
      </w:r>
    </w:p>
    <w:p w:rsidR="00766AAA" w:rsidRDefault="00766AAA" w:rsidP="00254FB5">
      <w:pPr>
        <w:pStyle w:val="ListNo"/>
        <w:numPr>
          <w:ilvl w:val="0"/>
          <w:numId w:val="25"/>
        </w:numPr>
        <w:tabs>
          <w:tab w:val="clear" w:pos="2880"/>
        </w:tabs>
      </w:pPr>
      <w:r>
        <w:t>to inspect land;</w:t>
      </w:r>
    </w:p>
    <w:p w:rsidR="00766AAA" w:rsidRDefault="00766AAA" w:rsidP="00254FB5">
      <w:pPr>
        <w:pStyle w:val="ListNo"/>
        <w:numPr>
          <w:ilvl w:val="0"/>
          <w:numId w:val="25"/>
        </w:numPr>
        <w:tabs>
          <w:tab w:val="clear" w:pos="2880"/>
        </w:tabs>
      </w:pPr>
      <w:r>
        <w:t>to install and operate existing and new telecommunications facilities;</w:t>
      </w:r>
    </w:p>
    <w:p w:rsidR="00766AAA" w:rsidRDefault="00766AAA" w:rsidP="00254FB5">
      <w:pPr>
        <w:pStyle w:val="ListNo"/>
        <w:numPr>
          <w:ilvl w:val="0"/>
          <w:numId w:val="25"/>
        </w:numPr>
        <w:tabs>
          <w:tab w:val="clear" w:pos="2880"/>
        </w:tabs>
      </w:pPr>
      <w:r>
        <w:t>to alter, remove, replace, maintain, repair and ensure the proper functioning of its telecommunications facilities; and</w:t>
      </w:r>
    </w:p>
    <w:p w:rsidR="00766AAA" w:rsidRDefault="00766AAA" w:rsidP="00254FB5">
      <w:pPr>
        <w:pStyle w:val="ListNo"/>
        <w:numPr>
          <w:ilvl w:val="0"/>
          <w:numId w:val="25"/>
        </w:numPr>
        <w:tabs>
          <w:tab w:val="clear" w:pos="2880"/>
        </w:tabs>
      </w:pPr>
      <w:r>
        <w:t>for its employees, agents or contractors to access its telecommunications facilities in and in the vicinity of the Native Title Land in performance of their duties;</w:t>
      </w:r>
    </w:p>
    <w:p w:rsidR="00766AAA" w:rsidRDefault="00766AAA" w:rsidP="00254FB5">
      <w:pPr>
        <w:pStyle w:val="ListNo"/>
        <w:numPr>
          <w:ilvl w:val="0"/>
          <w:numId w:val="24"/>
        </w:numPr>
        <w:tabs>
          <w:tab w:val="clear" w:pos="2160"/>
        </w:tabs>
      </w:pPr>
      <w:r>
        <w:t xml:space="preserve">under any lease, licence, access agreement or easement relating to its telecommunications facilities on the Native Title Land; </w:t>
      </w:r>
    </w:p>
    <w:p w:rsidR="00766AAA" w:rsidRDefault="00766AAA" w:rsidP="00254FB5">
      <w:pPr>
        <w:pStyle w:val="ListNo"/>
        <w:numPr>
          <w:ilvl w:val="0"/>
          <w:numId w:val="26"/>
        </w:numPr>
        <w:ind w:left="1418" w:hanging="709"/>
      </w:pPr>
      <w:r>
        <w:t>the rights, interests and entitlements of SA Power Networks (a partnership of Spark Infrastructure SA (No.1) Pty Ltd, Spark Infrastructure SA (No.2) Pty Ltd, Spark Infrastructure SA (No.3) Pty Ltd, CKI Utilities Development Limited and PAI Utilities Development Limited) and its related and successor entities, including its rights, interests and entitlements:</w:t>
      </w:r>
    </w:p>
    <w:p w:rsidR="00766AAA" w:rsidRDefault="00766AAA" w:rsidP="00254FB5">
      <w:pPr>
        <w:pStyle w:val="ListNo"/>
        <w:numPr>
          <w:ilvl w:val="0"/>
          <w:numId w:val="27"/>
        </w:numPr>
        <w:tabs>
          <w:tab w:val="clear" w:pos="2138"/>
        </w:tabs>
      </w:pPr>
      <w:r>
        <w:t>to exercise its entitlements and discharge its obligations as the owner and/or operator of electricity infrastructure (as defined in t</w:t>
      </w:r>
      <w:r w:rsidR="004E6DCF">
        <w:t xml:space="preserve">he </w:t>
      </w:r>
      <w:r w:rsidR="004E6DCF" w:rsidRPr="00595BFF">
        <w:rPr>
          <w:i/>
        </w:rPr>
        <w:t>Electricity Act 1996</w:t>
      </w:r>
      <w:r w:rsidR="00595BFF">
        <w:t xml:space="preserve"> (SA)</w:t>
      </w:r>
      <w:r w:rsidR="004E6DCF">
        <w:t xml:space="preserve"> (Electricity Act</w:t>
      </w:r>
      <w:r>
        <w:t>)</w:t>
      </w:r>
      <w:r w:rsidR="00595BFF">
        <w:t>)</w:t>
      </w:r>
      <w:r>
        <w:t xml:space="preserve"> and telecommunications facilities and infrastructure on the Native Title Land including but not limited to the electricity infrastructu</w:t>
      </w:r>
      <w:r w:rsidR="004E6DCF">
        <w:t>re identified in Schedule 10 (Existing Infrastructure</w:t>
      </w:r>
      <w:r>
        <w:t>);</w:t>
      </w:r>
    </w:p>
    <w:p w:rsidR="00766AAA" w:rsidRDefault="00766AAA" w:rsidP="00254FB5">
      <w:pPr>
        <w:pStyle w:val="ListNo"/>
        <w:numPr>
          <w:ilvl w:val="0"/>
          <w:numId w:val="27"/>
        </w:numPr>
        <w:tabs>
          <w:tab w:val="clear" w:pos="2138"/>
        </w:tabs>
      </w:pPr>
      <w:r>
        <w:lastRenderedPageBreak/>
        <w:t>to exercise its entitlements and discharge its obligations as the holder of a licence under the Electricity Act and/or as an electricity entity under the Electricity Act;</w:t>
      </w:r>
    </w:p>
    <w:p w:rsidR="00766AAA" w:rsidRDefault="00766AAA" w:rsidP="00254FB5">
      <w:pPr>
        <w:pStyle w:val="ListNo"/>
        <w:numPr>
          <w:ilvl w:val="0"/>
          <w:numId w:val="27"/>
        </w:numPr>
        <w:tabs>
          <w:tab w:val="clear" w:pos="2138"/>
        </w:tabs>
      </w:pPr>
      <w:r>
        <w:t xml:space="preserve">to exercise its entitlements and discharge its obligations as the holder of a carrier licence under the </w:t>
      </w:r>
      <w:r w:rsidRPr="00595BFF">
        <w:rPr>
          <w:i/>
        </w:rPr>
        <w:t>Telecommunications Act 1997</w:t>
      </w:r>
      <w:r>
        <w:t xml:space="preserve"> (Cth);</w:t>
      </w:r>
    </w:p>
    <w:p w:rsidR="00766AAA" w:rsidRDefault="00766AAA" w:rsidP="00254FB5">
      <w:pPr>
        <w:pStyle w:val="ListNo"/>
        <w:numPr>
          <w:ilvl w:val="0"/>
          <w:numId w:val="27"/>
        </w:numPr>
        <w:tabs>
          <w:tab w:val="clear" w:pos="2138"/>
        </w:tabs>
      </w:pPr>
      <w:r>
        <w:t>to install new electricity and telecommunications infrastruc</w:t>
      </w:r>
      <w:r w:rsidR="004E6DCF">
        <w:t>ture on the Native Title Land (New Infrastructure</w:t>
      </w:r>
      <w:r>
        <w:t>) and modify, maintain and repair Existing Infrastructure;</w:t>
      </w:r>
    </w:p>
    <w:p w:rsidR="00766AAA" w:rsidRDefault="00766AAA" w:rsidP="00254FB5">
      <w:pPr>
        <w:pStyle w:val="ListNo"/>
        <w:numPr>
          <w:ilvl w:val="0"/>
          <w:numId w:val="27"/>
        </w:numPr>
        <w:tabs>
          <w:tab w:val="clear" w:pos="2138"/>
        </w:tabs>
      </w:pPr>
      <w:r>
        <w:t>under easements, leases or licences (whether registered, unregistered, statutory or otherwise) relating to Existing Infrastructure or New Infrastruc</w:t>
      </w:r>
      <w:r w:rsidR="004E6DCF">
        <w:t>ture on the Native Title Land (Easements</w:t>
      </w:r>
      <w:r>
        <w:t>);</w:t>
      </w:r>
    </w:p>
    <w:p w:rsidR="00766AAA" w:rsidRDefault="00766AAA" w:rsidP="00254FB5">
      <w:pPr>
        <w:pStyle w:val="ListNo"/>
        <w:numPr>
          <w:ilvl w:val="0"/>
          <w:numId w:val="27"/>
        </w:numPr>
        <w:tabs>
          <w:tab w:val="clear" w:pos="2138"/>
        </w:tabs>
      </w:pPr>
      <w:r>
        <w:t>to provide its employees, agents or contractors with access to Existing Infrastructure, New Infrastructure and the Easements on the Native Title Land; and</w:t>
      </w:r>
    </w:p>
    <w:p w:rsidR="00766AAA" w:rsidRDefault="00766AAA" w:rsidP="003D74F2">
      <w:pPr>
        <w:pStyle w:val="ListNo"/>
        <w:numPr>
          <w:ilvl w:val="0"/>
          <w:numId w:val="27"/>
        </w:numPr>
        <w:tabs>
          <w:tab w:val="clear" w:pos="2138"/>
        </w:tabs>
        <w:ind w:left="1418"/>
      </w:pPr>
      <w:r>
        <w:t xml:space="preserve">to the extent permitted by law, to restrain any person from performing any act, or </w:t>
      </w:r>
      <w:r w:rsidR="00595BFF">
        <w:t xml:space="preserve">to </w:t>
      </w:r>
      <w:r>
        <w:t>compel any person to perform any act, for the purposes of ensuring that SA Power Networks complies with its obligations under any law, including, but not limited to, excluding any person from entering an area containing Existing Infrastructure or New Infrastructure for the purposes of maintaining the safety of any person and the security and protection of such infrastructure;</w:t>
      </w:r>
      <w:r w:rsidR="00595BFF">
        <w:t xml:space="preserve"> </w:t>
      </w:r>
      <w:r>
        <w:t>and</w:t>
      </w:r>
    </w:p>
    <w:p w:rsidR="00766AAA" w:rsidRDefault="00766AAA" w:rsidP="00254FB5">
      <w:pPr>
        <w:pStyle w:val="ListNo"/>
        <w:numPr>
          <w:ilvl w:val="0"/>
          <w:numId w:val="26"/>
        </w:numPr>
        <w:ind w:left="1418" w:hanging="709"/>
      </w:pPr>
      <w:r>
        <w:t>the rights and interests of the District Council of Ceduna:</w:t>
      </w:r>
    </w:p>
    <w:p w:rsidR="00766AAA" w:rsidRDefault="00766AAA" w:rsidP="00254FB5">
      <w:pPr>
        <w:pStyle w:val="ListNo"/>
        <w:numPr>
          <w:ilvl w:val="0"/>
          <w:numId w:val="28"/>
        </w:numPr>
        <w:tabs>
          <w:tab w:val="clear" w:pos="2138"/>
        </w:tabs>
      </w:pPr>
      <w:r>
        <w:t xml:space="preserve">under the </w:t>
      </w:r>
      <w:r w:rsidR="004E6DCF" w:rsidRPr="004E6DCF">
        <w:rPr>
          <w:i/>
        </w:rPr>
        <w:t>Local Government Act 1934</w:t>
      </w:r>
      <w:r w:rsidR="004E6DCF">
        <w:t xml:space="preserve"> (SA) and the </w:t>
      </w:r>
      <w:r w:rsidR="004E6DCF" w:rsidRPr="004E6DCF">
        <w:rPr>
          <w:i/>
        </w:rPr>
        <w:t xml:space="preserve">Local Government Act 1999 </w:t>
      </w:r>
      <w:r w:rsidR="004E6DCF" w:rsidRPr="00595BFF">
        <w:t>(SA);</w:t>
      </w:r>
    </w:p>
    <w:p w:rsidR="00766AAA" w:rsidRDefault="00766AAA" w:rsidP="00254FB5">
      <w:pPr>
        <w:pStyle w:val="ListNo"/>
        <w:numPr>
          <w:ilvl w:val="0"/>
          <w:numId w:val="28"/>
        </w:numPr>
        <w:tabs>
          <w:tab w:val="clear" w:pos="2138"/>
        </w:tabs>
      </w:pPr>
      <w:r>
        <w:t>as an entity exercising statutory powers in respect of land and waters within the Determination Area; and</w:t>
      </w:r>
    </w:p>
    <w:p w:rsidR="00766AAA" w:rsidRDefault="00766AAA" w:rsidP="00254FB5">
      <w:pPr>
        <w:pStyle w:val="ListNo"/>
        <w:numPr>
          <w:ilvl w:val="0"/>
          <w:numId w:val="28"/>
        </w:numPr>
        <w:tabs>
          <w:tab w:val="clear" w:pos="2138"/>
        </w:tabs>
      </w:pPr>
      <w:r>
        <w:t xml:space="preserve">in relation to dedicated land placed under its care, control and management pursuant to the </w:t>
      </w:r>
      <w:r w:rsidR="004E6DCF" w:rsidRPr="004E6DCF">
        <w:rPr>
          <w:i/>
        </w:rPr>
        <w:t>Crown Land</w:t>
      </w:r>
      <w:r w:rsidR="00595BFF">
        <w:rPr>
          <w:i/>
        </w:rPr>
        <w:t>s</w:t>
      </w:r>
      <w:r w:rsidR="004E6DCF" w:rsidRPr="004E6DCF">
        <w:rPr>
          <w:i/>
        </w:rPr>
        <w:t xml:space="preserve"> Act 1929</w:t>
      </w:r>
      <w:r w:rsidR="004E6DCF">
        <w:t xml:space="preserve"> (SA) or the </w:t>
      </w:r>
      <w:r w:rsidR="004E6DCF" w:rsidRPr="003D74F2">
        <w:rPr>
          <w:i/>
        </w:rPr>
        <w:t>Crown Land Management Act 2009</w:t>
      </w:r>
      <w:r w:rsidR="004E6DCF">
        <w:t xml:space="preserve"> (SA).</w:t>
      </w:r>
    </w:p>
    <w:p w:rsidR="00766AAA" w:rsidRDefault="00766AAA" w:rsidP="00254FB5">
      <w:pPr>
        <w:pStyle w:val="ListNo"/>
        <w:numPr>
          <w:ilvl w:val="0"/>
          <w:numId w:val="14"/>
        </w:numPr>
        <w:tabs>
          <w:tab w:val="clear" w:pos="720"/>
        </w:tabs>
      </w:pPr>
      <w:r>
        <w:t xml:space="preserve">The relationship between the native title rights and interests in the Native Title Land that are described in paragraph 10 and the other rights and interests that </w:t>
      </w:r>
      <w:r w:rsidR="004E6DCF">
        <w:t>are described in paragraph 15 (the Other Interests</w:t>
      </w:r>
      <w:r>
        <w:t>) is that:</w:t>
      </w:r>
    </w:p>
    <w:p w:rsidR="00766AAA" w:rsidRDefault="00766AAA" w:rsidP="00254FB5">
      <w:pPr>
        <w:pStyle w:val="ListNo"/>
        <w:numPr>
          <w:ilvl w:val="0"/>
          <w:numId w:val="29"/>
        </w:numPr>
        <w:tabs>
          <w:tab w:val="clear" w:pos="1440"/>
        </w:tabs>
      </w:pPr>
      <w:r>
        <w:lastRenderedPageBreak/>
        <w:t>to the extent that any of the Other Interests are inconsistent with the continued existence, enjoyment or exercise of the native title rights and interests, the native title rights and interests continue to exist in their entirety, but the native title rights and interests have no effect in relation to the Other Interests to the extent of the inconsistency during the currency of the Other Interests; and otherwise</w:t>
      </w:r>
    </w:p>
    <w:p w:rsidR="00766AAA" w:rsidRDefault="00766AAA" w:rsidP="00254FB5">
      <w:pPr>
        <w:pStyle w:val="ListNo"/>
        <w:numPr>
          <w:ilvl w:val="0"/>
          <w:numId w:val="29"/>
        </w:numPr>
        <w:tabs>
          <w:tab w:val="clear" w:pos="1440"/>
        </w:tabs>
      </w:pPr>
      <w:r>
        <w:t xml:space="preserve">the existence and exercise of the native title rights and interests do not prevent the doing of any activity required or permitted to be done by or under the Other Interests, and the Other Interests, and the doing of any activity required or permitted to be done by or under the Other Interests, prevail over the native title rights and interests and any exercise of the native title rights and interests, but, subject to any application of </w:t>
      </w:r>
      <w:r w:rsidR="004E6DCF">
        <w:t>s</w:t>
      </w:r>
      <w:r>
        <w:t xml:space="preserve"> 24IB or </w:t>
      </w:r>
      <w:r w:rsidR="004E6DCF">
        <w:t>s</w:t>
      </w:r>
      <w:r>
        <w:t xml:space="preserve"> 24JA of the Native Title Act, do not extinguish them;</w:t>
      </w:r>
    </w:p>
    <w:p w:rsidR="00766AAA" w:rsidRDefault="00766AAA" w:rsidP="00254FB5">
      <w:pPr>
        <w:pStyle w:val="ListNo"/>
        <w:numPr>
          <w:ilvl w:val="0"/>
          <w:numId w:val="29"/>
        </w:numPr>
        <w:tabs>
          <w:tab w:val="clear" w:pos="1440"/>
        </w:tabs>
      </w:pPr>
      <w:r>
        <w:t>in relation to the land and waters set out in Schedule 4</w:t>
      </w:r>
      <w:r w:rsidR="00595BFF">
        <w:t>,</w:t>
      </w:r>
      <w:r>
        <w:t xml:space="preserve"> the non-extinguishment principle applies in relation to the grant or vesting of the land, or the creation of any other prior interest in the land;</w:t>
      </w:r>
    </w:p>
    <w:p w:rsidR="00766AAA" w:rsidRDefault="00766AAA" w:rsidP="00254FB5">
      <w:pPr>
        <w:pStyle w:val="ListNo"/>
        <w:numPr>
          <w:ilvl w:val="0"/>
          <w:numId w:val="29"/>
        </w:numPr>
        <w:tabs>
          <w:tab w:val="clear" w:pos="1440"/>
        </w:tabs>
      </w:pPr>
      <w:r>
        <w:t>the native title rights and interests are subject to extinguishment by:</w:t>
      </w:r>
    </w:p>
    <w:p w:rsidR="00766AAA" w:rsidRDefault="00766AAA" w:rsidP="00254FB5">
      <w:pPr>
        <w:pStyle w:val="ListNo"/>
        <w:numPr>
          <w:ilvl w:val="0"/>
          <w:numId w:val="30"/>
        </w:numPr>
        <w:tabs>
          <w:tab w:val="clear" w:pos="2160"/>
        </w:tabs>
      </w:pPr>
      <w:r>
        <w:t>the lawful powers of the Commonwealth and of the State of South Australia; and/or</w:t>
      </w:r>
    </w:p>
    <w:p w:rsidR="00766AAA" w:rsidRDefault="00766AAA" w:rsidP="00254FB5">
      <w:pPr>
        <w:pStyle w:val="ListNo"/>
        <w:numPr>
          <w:ilvl w:val="0"/>
          <w:numId w:val="30"/>
        </w:numPr>
        <w:tabs>
          <w:tab w:val="clear" w:pos="2160"/>
        </w:tabs>
      </w:pPr>
      <w:r>
        <w:t>the lawful grant or creation of interests pursuant to the laws of the Commonwealth and the State of South Australia.</w:t>
      </w:r>
    </w:p>
    <w:p w:rsidR="00766AAA" w:rsidRDefault="00766AAA" w:rsidP="00675E68">
      <w:pPr>
        <w:pStyle w:val="NoNum"/>
      </w:pPr>
    </w:p>
    <w:p w:rsidR="00766AAA" w:rsidRDefault="00766AAA" w:rsidP="00675E68">
      <w:pPr>
        <w:pStyle w:val="Heading1"/>
        <w:spacing w:after="240"/>
      </w:pPr>
      <w:r>
        <w:t>AND THE COURT MAKES THE FOLLOWING FURTHER ORDERS:</w:t>
      </w:r>
    </w:p>
    <w:p w:rsidR="00766AAA" w:rsidRDefault="00766AAA" w:rsidP="00254FB5">
      <w:pPr>
        <w:pStyle w:val="ListNo"/>
        <w:numPr>
          <w:ilvl w:val="0"/>
          <w:numId w:val="14"/>
        </w:numPr>
        <w:tabs>
          <w:tab w:val="clear" w:pos="720"/>
        </w:tabs>
      </w:pPr>
      <w:r>
        <w:t>The native title is not to be held in trust.</w:t>
      </w:r>
    </w:p>
    <w:p w:rsidR="00766AAA" w:rsidRDefault="00766AAA" w:rsidP="00254FB5">
      <w:pPr>
        <w:pStyle w:val="ListNo"/>
        <w:numPr>
          <w:ilvl w:val="0"/>
          <w:numId w:val="14"/>
        </w:numPr>
        <w:tabs>
          <w:tab w:val="clear" w:pos="720"/>
        </w:tabs>
      </w:pPr>
      <w:r>
        <w:t>The Far West Coast Aboriginal Corporation is to:</w:t>
      </w:r>
    </w:p>
    <w:p w:rsidR="00766AAA" w:rsidRDefault="00766AAA" w:rsidP="00254FB5">
      <w:pPr>
        <w:pStyle w:val="ListNo"/>
        <w:numPr>
          <w:ilvl w:val="0"/>
          <w:numId w:val="31"/>
        </w:numPr>
        <w:tabs>
          <w:tab w:val="clear" w:pos="1440"/>
        </w:tabs>
      </w:pPr>
      <w:r>
        <w:t xml:space="preserve">be the prescribed body corporate for the purposes of s 57(2) of the </w:t>
      </w:r>
      <w:r w:rsidR="00595BFF">
        <w:t>Native Title Act</w:t>
      </w:r>
      <w:r>
        <w:t>; and</w:t>
      </w:r>
    </w:p>
    <w:p w:rsidR="00766AAA" w:rsidRDefault="00766AAA" w:rsidP="00254FB5">
      <w:pPr>
        <w:pStyle w:val="ListNo"/>
        <w:numPr>
          <w:ilvl w:val="0"/>
          <w:numId w:val="31"/>
        </w:numPr>
        <w:tabs>
          <w:tab w:val="clear" w:pos="1440"/>
        </w:tabs>
      </w:pPr>
      <w:r>
        <w:t xml:space="preserve">perform the functions mentioned in s 57(3) of the </w:t>
      </w:r>
      <w:r w:rsidR="00595BFF">
        <w:t>Native Title Act</w:t>
      </w:r>
      <w:r>
        <w:t xml:space="preserve"> after becoming a registered native title body corporate.</w:t>
      </w:r>
    </w:p>
    <w:p w:rsidR="00766AAA" w:rsidRDefault="00766AAA" w:rsidP="00254FB5">
      <w:pPr>
        <w:pStyle w:val="ListNo"/>
        <w:numPr>
          <w:ilvl w:val="0"/>
          <w:numId w:val="14"/>
        </w:numPr>
        <w:tabs>
          <w:tab w:val="clear" w:pos="720"/>
        </w:tabs>
      </w:pPr>
      <w:r>
        <w:lastRenderedPageBreak/>
        <w:t xml:space="preserve">The Applicant (through the prescribed body corporate), the State or any other respondent have liberty to apply on 14 </w:t>
      </w:r>
      <w:r w:rsidR="006D4338">
        <w:t>days’ notice</w:t>
      </w:r>
      <w:r>
        <w:t xml:space="preserve"> to a single judge of the Court for the following purposes:</w:t>
      </w:r>
    </w:p>
    <w:p w:rsidR="00766AAA" w:rsidRDefault="00766AAA" w:rsidP="00254FB5">
      <w:pPr>
        <w:pStyle w:val="ListNo"/>
        <w:numPr>
          <w:ilvl w:val="0"/>
          <w:numId w:val="32"/>
        </w:numPr>
        <w:tabs>
          <w:tab w:val="clear" w:pos="1440"/>
        </w:tabs>
      </w:pPr>
      <w:r>
        <w:t xml:space="preserve">to determine the status of the land set out in paragraphs 6 and 8 of this Order in the event that the Far West Coast Claim Settlement ILUA is not registered within twelve months of the </w:t>
      </w:r>
      <w:r w:rsidR="00595BFF">
        <w:t>date of this Determination</w:t>
      </w:r>
      <w:r>
        <w:t>;</w:t>
      </w:r>
    </w:p>
    <w:p w:rsidR="00766AAA" w:rsidRDefault="00766AAA" w:rsidP="00254FB5">
      <w:pPr>
        <w:pStyle w:val="ListNo"/>
        <w:numPr>
          <w:ilvl w:val="0"/>
          <w:numId w:val="32"/>
        </w:numPr>
        <w:tabs>
          <w:tab w:val="clear" w:pos="1440"/>
        </w:tabs>
      </w:pPr>
      <w:r>
        <w:t xml:space="preserve">to establish through the provision of evidence, if appropriate in light of a final decision in the matter of </w:t>
      </w:r>
      <w:r w:rsidRPr="004E6DCF">
        <w:rPr>
          <w:i/>
        </w:rPr>
        <w:t>Adnyamatha</w:t>
      </w:r>
      <w:r w:rsidR="004E6DCF" w:rsidRPr="004E6DCF">
        <w:rPr>
          <w:i/>
        </w:rPr>
        <w:t>nha People Native Title Claim #</w:t>
      </w:r>
      <w:r w:rsidRPr="004E6DCF">
        <w:rPr>
          <w:i/>
        </w:rPr>
        <w:t>3 v South Australia</w:t>
      </w:r>
      <w:r w:rsidR="00595BFF">
        <w:t xml:space="preserve"> (SAD 69 of 2010)</w:t>
      </w:r>
      <w:r>
        <w:t xml:space="preserve"> the application of </w:t>
      </w:r>
      <w:r w:rsidR="004E6DCF">
        <w:t>s</w:t>
      </w:r>
      <w:r>
        <w:t xml:space="preserve"> 47A </w:t>
      </w:r>
      <w:r w:rsidR="004E6DCF">
        <w:t xml:space="preserve">of the </w:t>
      </w:r>
      <w:r>
        <w:t>Native Title Act to any of the parcels set out in Schedule 11 to these Orders and  to make any consequential amendments to Schedule 11 and Schedule 4;</w:t>
      </w:r>
    </w:p>
    <w:p w:rsidR="00766AAA" w:rsidRDefault="00766AAA" w:rsidP="00254FB5">
      <w:pPr>
        <w:pStyle w:val="ListNo"/>
        <w:numPr>
          <w:ilvl w:val="0"/>
          <w:numId w:val="32"/>
        </w:numPr>
        <w:tabs>
          <w:tab w:val="clear" w:pos="1440"/>
        </w:tabs>
      </w:pPr>
      <w:r>
        <w:t xml:space="preserve">to establish the precise location and boundaries of any public works and adjacent land and waters referred to in items 4 or 5 of Schedule 7; </w:t>
      </w:r>
    </w:p>
    <w:p w:rsidR="00766AAA" w:rsidRDefault="00766AAA" w:rsidP="00254FB5">
      <w:pPr>
        <w:pStyle w:val="ListNo"/>
        <w:numPr>
          <w:ilvl w:val="0"/>
          <w:numId w:val="32"/>
        </w:numPr>
        <w:tabs>
          <w:tab w:val="clear" w:pos="1440"/>
        </w:tabs>
      </w:pPr>
      <w:r>
        <w:t>to determine the effect on native title rights and interests of any public works as referred to in item 5 of Schedule 7; and</w:t>
      </w:r>
    </w:p>
    <w:p w:rsidR="00766AAA" w:rsidRDefault="00766AAA" w:rsidP="00254FB5">
      <w:pPr>
        <w:pStyle w:val="ListNo"/>
        <w:numPr>
          <w:ilvl w:val="0"/>
          <w:numId w:val="32"/>
        </w:numPr>
        <w:tabs>
          <w:tab w:val="clear" w:pos="1440"/>
        </w:tabs>
      </w:pPr>
      <w:r>
        <w:t>to determine whether a particular area is included in the description in item 1 of Schedule 7.</w:t>
      </w:r>
    </w:p>
    <w:p w:rsidR="00675E68" w:rsidRDefault="00675E68" w:rsidP="00675E68">
      <w:pPr>
        <w:pStyle w:val="NoNum"/>
      </w:pPr>
      <w:r>
        <w:br w:type="page"/>
      </w:r>
    </w:p>
    <w:p w:rsidR="00766AAA" w:rsidRPr="00675E68" w:rsidRDefault="00766AAA" w:rsidP="00675E68">
      <w:pPr>
        <w:pStyle w:val="NoNum"/>
        <w:jc w:val="center"/>
        <w:rPr>
          <w:b/>
        </w:rPr>
      </w:pPr>
      <w:r w:rsidRPr="00675E68">
        <w:rPr>
          <w:b/>
        </w:rPr>
        <w:t>Schedules</w:t>
      </w:r>
    </w:p>
    <w:p w:rsidR="00766AAA" w:rsidRDefault="00595BFF" w:rsidP="00675E68">
      <w:pPr>
        <w:pStyle w:val="Heading2"/>
        <w:spacing w:after="240"/>
      </w:pPr>
      <w:r>
        <w:t>SCHEDULE</w:t>
      </w:r>
      <w:r w:rsidR="00766AAA">
        <w:t xml:space="preserve"> 1 - Location of and areas comprising the Determination Area </w:t>
      </w:r>
    </w:p>
    <w:p w:rsidR="00766AAA" w:rsidRDefault="00766AAA" w:rsidP="00254FB5">
      <w:pPr>
        <w:pStyle w:val="ListNo"/>
        <w:numPr>
          <w:ilvl w:val="0"/>
          <w:numId w:val="33"/>
        </w:numPr>
        <w:tabs>
          <w:tab w:val="clear" w:pos="720"/>
        </w:tabs>
      </w:pPr>
      <w:r>
        <w:t xml:space="preserve">The Determination Area is located wholly within and, subject to item 2 of this Schedule 1, comprises all land and waters bounded by the following line: </w:t>
      </w:r>
    </w:p>
    <w:p w:rsidR="00766AAA" w:rsidRDefault="00766AAA" w:rsidP="00675E68">
      <w:pPr>
        <w:pStyle w:val="NoNum"/>
        <w:ind w:left="720"/>
      </w:pPr>
      <w:r>
        <w:t>Commencing at a point being the intersect</w:t>
      </w:r>
      <w:r w:rsidR="00595BFF">
        <w:t>ion of the State b</w:t>
      </w:r>
      <w:r>
        <w:t>order of South Australia/Western Australia with the north-western corner of Allotment 20 in Deposited Plan 89720 (being the south-western c</w:t>
      </w:r>
      <w:r w:rsidR="00595BFF">
        <w:t xml:space="preserve">orner of Section 219, OH(Cook) (the </w:t>
      </w:r>
      <w:r>
        <w:t>Trans Australian Railway</w:t>
      </w:r>
      <w:r w:rsidR="00595BFF">
        <w:t>)</w:t>
      </w:r>
      <w:r>
        <w:t xml:space="preserve">.  </w:t>
      </w:r>
    </w:p>
    <w:p w:rsidR="00766AAA" w:rsidRDefault="00766AAA" w:rsidP="00675E68">
      <w:pPr>
        <w:pStyle w:val="NoNum"/>
        <w:ind w:left="720"/>
      </w:pPr>
      <w:r>
        <w:t>Thence generally easterly along the northern boundary of the said Allotment 20 in Deposited Plan 89720, the northern-most boundaries of Allotments 100 and 101 in Deposited Plan 67929, the northern boundaries of Block 1237, OH(Tarcoola), the northern boundaries of the southern portion of Block 1117, OH(Tarcoola)  and the northern boundaries of Section 1218, OH(Tarcoola), being the southern boundaries of the Trans Australian Railway land, to the north-eastern corner of the said Section 1218.</w:t>
      </w:r>
    </w:p>
    <w:p w:rsidR="00766AAA" w:rsidRDefault="00766AAA" w:rsidP="00675E68">
      <w:pPr>
        <w:pStyle w:val="NoNum"/>
        <w:ind w:left="720"/>
      </w:pPr>
      <w:r>
        <w:t>Thence generally southerly along the eastern boundaries of the said Section 1218, the said Block 1117; the said Allotment 100 in Deposited Plan 67929 (Yellabinna Regional Reserve) and Allotment 400 in Deposited Plan 25122 (portion of Pureba Conservation Park), then generally south-westerly along the south-eastern boundaries of the said Allotment 400 in Deposited Plan 25122 and Allotment 100 in Deposited Plan 34367 (portion of Pureba Conservation Park) to the south-eastern corner of the said Allotment 100 in Deposited Plan 34367.  Thence south-westerly in a straight line through the following latitude and longitude values -</w:t>
      </w:r>
    </w:p>
    <w:p w:rsidR="00766AAA" w:rsidRDefault="00766AAA" w:rsidP="00675E68">
      <w:pPr>
        <w:pStyle w:val="NoNum"/>
        <w:ind w:left="720"/>
      </w:pPr>
      <w:r>
        <w:t>134.477244 East, 32.247802 South;</w:t>
      </w:r>
    </w:p>
    <w:p w:rsidR="00766AAA" w:rsidRDefault="00766AAA" w:rsidP="00675E68">
      <w:pPr>
        <w:pStyle w:val="NoNum"/>
        <w:ind w:left="720"/>
      </w:pPr>
      <w:r>
        <w:t>134.459361 East, 32.260575 South;</w:t>
      </w:r>
    </w:p>
    <w:p w:rsidR="00766AAA" w:rsidRDefault="00766AAA" w:rsidP="00675E68">
      <w:pPr>
        <w:pStyle w:val="NoNum"/>
        <w:ind w:left="720"/>
      </w:pPr>
      <w:r>
        <w:t>134.417465 East, 32.293306 South;</w:t>
      </w:r>
    </w:p>
    <w:p w:rsidR="00766AAA" w:rsidRDefault="00766AAA" w:rsidP="00675E68">
      <w:pPr>
        <w:pStyle w:val="NoNum"/>
        <w:ind w:left="720"/>
      </w:pPr>
      <w:r>
        <w:t>and production of the latter line</w:t>
      </w:r>
      <w:r w:rsidR="00675E68">
        <w:t xml:space="preserve"> to it</w:t>
      </w:r>
      <w:r>
        <w:t>s intersection with the south-western boundary of Section 36, Hundred of Petina (Railway &amp; Tod River Pipeline).</w:t>
      </w:r>
    </w:p>
    <w:p w:rsidR="00766AAA" w:rsidRDefault="00766AAA" w:rsidP="00675E68">
      <w:pPr>
        <w:pStyle w:val="NoNum"/>
        <w:ind w:left="720"/>
      </w:pPr>
      <w:r>
        <w:lastRenderedPageBreak/>
        <w:t>Thence generally south-easterly along the south-western boundaries of the said Section 36; Section 34; production across the road*; Piece 3, Allotment 4, and Piece 2 in Deposited Plan 83365; Sections 40, 41; production across the road; and Section 45 all within the Hundred of Petina (being portion of Railway &amp; Tod River Pipeline land) to the south-western corner of the said Section 45 (being a point on the southern boundary of the Hundred of Petina).</w:t>
      </w:r>
    </w:p>
    <w:p w:rsidR="00766AAA" w:rsidRDefault="00766AAA" w:rsidP="00675E68">
      <w:pPr>
        <w:pStyle w:val="NoNum"/>
        <w:ind w:left="720"/>
      </w:pPr>
      <w:r>
        <w:t xml:space="preserve">Thence westerly along the said southern boundary of the Hundred of Petina and along the southern boundary of the Hundred of Carawa to the north-eastern corner of the Hundred of Wallanippie.  Thence south along the eastern boundary of the Hundred of Wallanippie to its south-eastern corner (being a point at Low Water Mark). </w:t>
      </w:r>
    </w:p>
    <w:p w:rsidR="00766AAA" w:rsidRDefault="00766AAA" w:rsidP="00675E68">
      <w:pPr>
        <w:pStyle w:val="NoNum"/>
        <w:ind w:left="720"/>
      </w:pPr>
      <w:r>
        <w:t>Thence generally westerly along Low Water Mark to the State border of South Australia/Western Australia then north along the said State border to the point of commencement.</w:t>
      </w:r>
    </w:p>
    <w:p w:rsidR="00766AAA" w:rsidRDefault="00766AAA" w:rsidP="00254FB5">
      <w:pPr>
        <w:pStyle w:val="ListNo"/>
        <w:numPr>
          <w:ilvl w:val="0"/>
          <w:numId w:val="33"/>
        </w:numPr>
        <w:tabs>
          <w:tab w:val="clear" w:pos="720"/>
        </w:tabs>
      </w:pPr>
      <w:r>
        <w:t>Section 1 in the Hundred of Bartlett (H660100S1) is excluded from the Determination Area.</w:t>
      </w:r>
    </w:p>
    <w:p w:rsidR="00766AAA" w:rsidRDefault="00766AAA" w:rsidP="00675E68">
      <w:pPr>
        <w:pStyle w:val="NoNum"/>
      </w:pPr>
      <w:r>
        <w:t xml:space="preserve">Reference datum: </w:t>
      </w:r>
    </w:p>
    <w:p w:rsidR="00766AAA" w:rsidRDefault="00766AAA" w:rsidP="00675E68">
      <w:pPr>
        <w:pStyle w:val="NoNum"/>
      </w:pPr>
      <w:r>
        <w:t>Geographical coordinates are referenced to the Geocentric Datum of Australia 1994 (GDA94), in decimal degrees.</w:t>
      </w:r>
    </w:p>
    <w:p w:rsidR="00766AAA" w:rsidRDefault="00766AAA" w:rsidP="00675E68">
      <w:pPr>
        <w:pStyle w:val="NoNum"/>
      </w:pPr>
    </w:p>
    <w:p w:rsidR="00766AAA" w:rsidRDefault="00766AAA" w:rsidP="00675E68">
      <w:pPr>
        <w:pStyle w:val="NoNum"/>
      </w:pPr>
      <w:r>
        <w:t>*'Production across the road' means produce (or draw) a line, following the same direction as the previous line, across the road to connect the two parcel boundaries separated by the road.</w:t>
      </w:r>
    </w:p>
    <w:p w:rsidR="00766AAA" w:rsidRDefault="00766AAA" w:rsidP="00675E68">
      <w:pPr>
        <w:pStyle w:val="NoNum"/>
      </w:pPr>
    </w:p>
    <w:p w:rsidR="00766AAA" w:rsidRDefault="00675E68" w:rsidP="00675E68">
      <w:pPr>
        <w:pStyle w:val="Heading2"/>
        <w:spacing w:after="240"/>
      </w:pPr>
      <w:r>
        <w:br w:type="page"/>
      </w:r>
      <w:r w:rsidR="00766AAA">
        <w:lastRenderedPageBreak/>
        <w:t xml:space="preserve">SCHEDULE 2 - Map of the Determination Area </w:t>
      </w:r>
    </w:p>
    <w:p w:rsidR="00675E68" w:rsidRDefault="00766AAA" w:rsidP="00675E68">
      <w:pPr>
        <w:pStyle w:val="NoNum"/>
      </w:pPr>
      <w:r>
        <w:t xml:space="preserve">Please see separate bound document. </w:t>
      </w:r>
    </w:p>
    <w:p w:rsidR="00675E68" w:rsidRDefault="00675E68" w:rsidP="00675E68">
      <w:pPr>
        <w:pStyle w:val="NoNum"/>
      </w:pPr>
    </w:p>
    <w:p w:rsidR="00765D52" w:rsidRPr="00952A4E" w:rsidRDefault="00675E68" w:rsidP="00765D52">
      <w:pPr>
        <w:rPr>
          <w:bCs/>
          <w:sz w:val="22"/>
          <w:szCs w:val="22"/>
          <w:u w:val="single"/>
        </w:rPr>
      </w:pPr>
      <w:r>
        <w:br w:type="page"/>
      </w:r>
    </w:p>
    <w:p w:rsidR="00765D52" w:rsidRPr="00645D77" w:rsidRDefault="00765D52" w:rsidP="00765D52">
      <w:pPr>
        <w:spacing w:after="240"/>
        <w:rPr>
          <w:b/>
          <w:bCs/>
          <w:sz w:val="22"/>
          <w:szCs w:val="22"/>
        </w:rPr>
      </w:pPr>
      <w:r w:rsidRPr="00BC62C4">
        <w:rPr>
          <w:b/>
          <w:bCs/>
          <w:sz w:val="22"/>
          <w:szCs w:val="22"/>
        </w:rPr>
        <w:t>SCHEDULE 3</w:t>
      </w:r>
      <w:r w:rsidRPr="00645D77">
        <w:rPr>
          <w:b/>
          <w:bCs/>
          <w:sz w:val="22"/>
          <w:szCs w:val="22"/>
        </w:rPr>
        <w:t xml:space="preserve"> – </w:t>
      </w:r>
      <w:r w:rsidR="00BC62C4">
        <w:rPr>
          <w:b/>
          <w:bCs/>
          <w:sz w:val="22"/>
          <w:szCs w:val="22"/>
        </w:rPr>
        <w:t>L</w:t>
      </w:r>
      <w:r>
        <w:rPr>
          <w:b/>
          <w:bCs/>
          <w:sz w:val="22"/>
          <w:szCs w:val="22"/>
        </w:rPr>
        <w:t>and and waters</w:t>
      </w:r>
      <w:r w:rsidRPr="00645D77">
        <w:rPr>
          <w:b/>
          <w:bCs/>
          <w:sz w:val="22"/>
          <w:szCs w:val="22"/>
        </w:rPr>
        <w:t xml:space="preserve"> where native title exists (Native Title Land)</w:t>
      </w:r>
    </w:p>
    <w:p w:rsidR="00765D52" w:rsidRDefault="00765D52" w:rsidP="00765D52">
      <w:pPr>
        <w:rPr>
          <w:sz w:val="22"/>
          <w:szCs w:val="22"/>
        </w:rPr>
      </w:pPr>
      <w:r>
        <w:rPr>
          <w:sz w:val="22"/>
          <w:szCs w:val="22"/>
        </w:rPr>
        <w:t>Note: Please refer to Schedule 2 (separate bound document) for further detail where a portion of a parcel is indicated</w:t>
      </w:r>
      <w:r w:rsidR="00BC62C4">
        <w:rPr>
          <w:sz w:val="22"/>
          <w:szCs w:val="22"/>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0"/>
        <w:gridCol w:w="1540"/>
        <w:gridCol w:w="3873"/>
      </w:tblGrid>
      <w:tr w:rsidR="00765D52" w:rsidRPr="00FE0328" w:rsidTr="00000E57">
        <w:trPr>
          <w:trHeight w:val="402"/>
          <w:tblHeader/>
        </w:trPr>
        <w:tc>
          <w:tcPr>
            <w:tcW w:w="2340" w:type="dxa"/>
            <w:shd w:val="clear" w:color="auto" w:fill="F2F2F2"/>
            <w:noWrap/>
            <w:vAlign w:val="center"/>
            <w:hideMark/>
          </w:tcPr>
          <w:p w:rsidR="00765D52" w:rsidRPr="00FE0328" w:rsidRDefault="00765D52" w:rsidP="00000E57">
            <w:pPr>
              <w:rPr>
                <w:rFonts w:ascii="Calibri" w:hAnsi="Calibri"/>
                <w:b/>
                <w:bCs/>
                <w:color w:val="000000"/>
                <w:sz w:val="22"/>
                <w:szCs w:val="22"/>
              </w:rPr>
            </w:pPr>
            <w:r w:rsidRPr="00FE0328">
              <w:rPr>
                <w:rFonts w:ascii="Calibri" w:hAnsi="Calibri"/>
                <w:b/>
                <w:bCs/>
                <w:color w:val="000000"/>
                <w:sz w:val="22"/>
                <w:szCs w:val="22"/>
              </w:rPr>
              <w:t>DCDBID</w:t>
            </w:r>
          </w:p>
        </w:tc>
        <w:tc>
          <w:tcPr>
            <w:tcW w:w="1760" w:type="dxa"/>
            <w:shd w:val="clear" w:color="auto" w:fill="F2F2F2"/>
            <w:noWrap/>
            <w:vAlign w:val="center"/>
            <w:hideMark/>
          </w:tcPr>
          <w:p w:rsidR="00765D52" w:rsidRPr="00FE0328" w:rsidRDefault="00765D52" w:rsidP="00000E57">
            <w:pPr>
              <w:rPr>
                <w:rFonts w:ascii="Calibri" w:hAnsi="Calibri"/>
                <w:b/>
                <w:bCs/>
                <w:color w:val="000000"/>
                <w:sz w:val="22"/>
                <w:szCs w:val="22"/>
              </w:rPr>
            </w:pPr>
            <w:r w:rsidRPr="00FE0328">
              <w:rPr>
                <w:rFonts w:ascii="Calibri" w:hAnsi="Calibri"/>
                <w:b/>
                <w:bCs/>
                <w:color w:val="000000"/>
                <w:sz w:val="22"/>
                <w:szCs w:val="22"/>
              </w:rPr>
              <w:t>Hundred</w:t>
            </w:r>
          </w:p>
        </w:tc>
        <w:tc>
          <w:tcPr>
            <w:tcW w:w="1540" w:type="dxa"/>
            <w:shd w:val="clear" w:color="auto" w:fill="F2F2F2"/>
            <w:noWrap/>
            <w:vAlign w:val="center"/>
            <w:hideMark/>
          </w:tcPr>
          <w:p w:rsidR="00765D52" w:rsidRPr="00FE0328" w:rsidRDefault="00765D52" w:rsidP="00000E57">
            <w:pPr>
              <w:rPr>
                <w:rFonts w:ascii="Calibri" w:hAnsi="Calibri"/>
                <w:b/>
                <w:bCs/>
                <w:color w:val="000000"/>
                <w:sz w:val="22"/>
                <w:szCs w:val="22"/>
              </w:rPr>
            </w:pPr>
            <w:r w:rsidRPr="00FE0328">
              <w:rPr>
                <w:rFonts w:ascii="Calibri" w:hAnsi="Calibri"/>
                <w:b/>
                <w:bCs/>
                <w:color w:val="000000"/>
                <w:sz w:val="22"/>
                <w:szCs w:val="22"/>
              </w:rPr>
              <w:t>Title Reference</w:t>
            </w:r>
          </w:p>
        </w:tc>
        <w:tc>
          <w:tcPr>
            <w:tcW w:w="3873" w:type="dxa"/>
            <w:shd w:val="clear" w:color="auto" w:fill="F2F2F2"/>
            <w:noWrap/>
            <w:vAlign w:val="center"/>
            <w:hideMark/>
          </w:tcPr>
          <w:p w:rsidR="00765D52" w:rsidRPr="00FE0328" w:rsidRDefault="00765D52" w:rsidP="00000E57">
            <w:pPr>
              <w:rPr>
                <w:rFonts w:ascii="Calibri" w:hAnsi="Calibri"/>
                <w:b/>
                <w:bCs/>
                <w:color w:val="000000"/>
                <w:sz w:val="22"/>
                <w:szCs w:val="22"/>
              </w:rPr>
            </w:pPr>
            <w:r w:rsidRPr="00FE0328">
              <w:rPr>
                <w:rFonts w:ascii="Calibri" w:hAnsi="Calibri"/>
                <w:b/>
                <w:bCs/>
                <w:color w:val="000000"/>
                <w:sz w:val="22"/>
                <w:szCs w:val="22"/>
              </w:rPr>
              <w:t>Park Name</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H630100S37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BAGSTER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H660100S46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5771/291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H660100S47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5771/292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H660100S48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5746/509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H660100S49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5771/293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H660100S50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5771/294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H660100S51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5759/779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H660100S52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5607/881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H660100S54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5759/769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H660100S55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5759/693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H660100S58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5746/510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H660100S59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BARTLETT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5746/511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H620100S30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5763/208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H660200S46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BLACKER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5772/898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Laura Bay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H660200S47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BLACKER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5772/898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Laura Bay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H660200S48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BLACKER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5772/461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Laura Bay Conservation Reserve (Laura Bay Conservation Park (proposed))</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H660200S49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BLACKER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5772/461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Laura Bay Conservation Reserve (Laura Bay Conservation Park (proposed))</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H660200S53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BLACKER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5771/297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H660200S55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BLACKER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5772/898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Laura Bay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D26423A55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5748/115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D28107A8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5763/732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D28107A9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5763/732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D28108A11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5752/741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D28798A12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5748/145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D31612A1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5772/899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Wittelbee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D36322A436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5752/749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D63816A4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5928/29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H660300S175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5772/899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Wittelbee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H660300S192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5611/741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H660300S222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5754/561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H660300S257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5763/348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H660300S258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H660300S259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5763/350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H660300S261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5763/352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H660300S262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5749/666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H660300S263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5768/866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H660300S264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5768/867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H660300S265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5768/868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Pr>
                <w:rFonts w:ascii="Calibri" w:hAnsi="Calibri"/>
                <w:color w:val="000000"/>
                <w:sz w:val="22"/>
                <w:szCs w:val="22"/>
              </w:rPr>
              <w:t>note: re-parcellated as Allotments 101 and 102 in DP 71664 (lodged 01/10/13)</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H660300S266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5768/869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H660300S267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5768/870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H660300S274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5746/513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H660300S278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5768/871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H660300S279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5746/514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H660300S280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5768/872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H660300S282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5768/873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H660300S44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5754/556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H630200S100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H630200S101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H630200S102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H630200S103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H630200S104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H630200S105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5759/688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H630200S76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5759/687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H630200S86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5869/976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H630200S87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5869/976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H630200S88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5869/976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H630200S89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BURGOYNE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5869/976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D35363A62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5772/806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Fowlers Bay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D35363A64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Fowlers Bay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D35535A101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5772/806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Fowlers Bay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D78000A14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6047/861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H620200S45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5763/209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H620200S56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H620200S57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H620200S58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H610100S48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CARAWA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5749/648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H610100S53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CARAWA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5763/187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H610100S54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CARAWA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5763/188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H610100S59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CARAWA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5763/189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D30308A1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CATT</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5752/743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H660500S50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CHILLUNDIE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H660500S51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CHILLUNDIE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H660500S52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CHILLUNDIE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H660500S55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CHILLUNDIE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H660500S56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CHILLUNDIE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H630300S36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COHEN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H630300S38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COHEN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5746/476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H630300S39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COHEN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H630300S41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COHEN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D34576A2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GILES</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5772/456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Chadinga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H630400S24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GILES</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5763/239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H630400S28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GILES</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5767/636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H660700S45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GUTHRIE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H660700S46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GUTHRIE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H660700S47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GUTHRIE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H660700S48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GUTHRIE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H610200S38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HAGUE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5763/190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H610200S39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HAGUE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5763/191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D51676A11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HORN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5717/175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H660800S141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HORN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5768/912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H660800S142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HORN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5763/379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H660800S143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HORN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H660800S144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HORN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H660800S270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HORN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5768/913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H660800S271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HORN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5768/914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D38294A100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KEITH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5772/810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Point Bell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D38294A101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KEITH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5763/793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H630500S34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KEITH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H630500S35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KEITH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H630500S36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KEITH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5968/987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H630500S40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KEITH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5968/988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H630500S41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KEITH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D34575A10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KEVIN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5772/456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Chadinga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H630600S36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KEVIN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5746/480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H630600S40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KEVIN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5746/481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H620300S31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H620300S32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H620300S33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H620300S34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H620300S35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D58198A203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5931/614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D68007A54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5965/579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H630700S79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H630700S80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5759/691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H630700S81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5759/691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H630700S82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H630700S85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H630700S87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H630700S88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H630700S89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H630700S90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H630700S91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T630701A18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T630701A21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T630701A25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T630701A26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5763/250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T630701A27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T630701A28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T630701A29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5767/669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T630701A39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5763/251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5763/252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T630701A42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5767/679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T630701A49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T630701A50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T630701A51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T630701A52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T630701A53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T630701A7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MAGAREY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5767/655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D61858A159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MILLER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5898/849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H620500S34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MILLER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H620500S35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MILLER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5763/219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H620500S41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MILLER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H620500S42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MILLER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H620500S43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MILLER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H620500S44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MILLER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D30878A2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5748/164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D56805Q81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5905/417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D56805Q82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5905/417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F30012A102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5752/737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H660900S100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5768/922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H660900S58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5768/917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H660900S61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5754/573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H660900S62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5768/918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H660900S63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5754/574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H660900S68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H660900S69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H660900S72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5768/921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H660900S73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5746/517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H660900S74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MOULE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5779/749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D78000A13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NASH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6047/860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H630800S14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NASH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5746/482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H630800S18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NASH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5763/253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H630800S19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NASH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5763/254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H630800S22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NASH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5767/689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D34367A100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NUNNYAH</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5772/476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Pureba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D67929A100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OH(BARTON)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5957/384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Yellabinna Regional Reserve</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D67929A101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OH(BARTON)</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5952/891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Yellabinna Wilderness Protection Area</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D24908A200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OH(CHILDARA)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5361/437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Yumbarra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D89720A20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OH(COOK)</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6098/965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Nullarbor Regional Reserve</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D89720A21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OH(COOMPANA)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6098/966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Nullarbor Wilderness Protection Area</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D89720A22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OH(COOMPANA)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6098/967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Nullarbor Wilderness Protection Area</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D89720A23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OH(COOMPANA)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6098/968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Nullarbor National Park (Nullarbor Re</w:t>
            </w:r>
            <w:r>
              <w:rPr>
                <w:rFonts w:ascii="Calibri" w:hAnsi="Calibri"/>
                <w:color w:val="000000"/>
                <w:sz w:val="22"/>
                <w:szCs w:val="22"/>
              </w:rPr>
              <w:t>gional</w:t>
            </w:r>
            <w:r w:rsidRPr="00FE0328">
              <w:rPr>
                <w:rFonts w:ascii="Calibri" w:hAnsi="Calibri"/>
                <w:color w:val="000000"/>
                <w:sz w:val="22"/>
                <w:szCs w:val="22"/>
              </w:rPr>
              <w:t xml:space="preserve"> Reserve (proposed))</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H834300B1006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OH(FOWLER)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CL 1184/9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H834300S1559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OH(FOWLER)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5361/437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Yumbarra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H834300S79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OH(FOWLER)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5977/154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Boondina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D31597A10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6090/50</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Nullarbor National Park (Nullarbor Wilderness Protection Area (proposed))</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D57297A10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5963/415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Wahgunyah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H834200S993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5759/722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H834200S995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5764/592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H834200S996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5764/593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H834200S997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5764/594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H834200S998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5759/723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D25122A400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OH(STREAKY BAY)</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5772/921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Pureba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 xml:space="preserve">H833600B1117 </w:t>
            </w:r>
            <w:r w:rsidRPr="00FE0328">
              <w:rPr>
                <w:rFonts w:ascii="Calibri" w:hAnsi="Calibri"/>
                <w:color w:val="000000"/>
                <w:sz w:val="22"/>
                <w:szCs w:val="22"/>
              </w:rPr>
              <w:lastRenderedPageBreak/>
              <w:t>(portion)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OH(TARCOOLA)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CL 1281/46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H833600B1237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OH(TARCOOLA)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CL 1605/67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H833600S1218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OH(TARCOOLA)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5764/541</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sz w:val="22"/>
                <w:szCs w:val="22"/>
              </w:rPr>
            </w:pPr>
            <w:r w:rsidRPr="00FE0328">
              <w:rPr>
                <w:rFonts w:ascii="Calibri" w:hAnsi="Calibri"/>
                <w:sz w:val="22"/>
                <w:szCs w:val="22"/>
              </w:rPr>
              <w:t>D24908A100 (portion)</w:t>
            </w:r>
          </w:p>
        </w:tc>
        <w:tc>
          <w:tcPr>
            <w:tcW w:w="1760" w:type="dxa"/>
            <w:shd w:val="clear" w:color="auto" w:fill="auto"/>
            <w:noWrap/>
            <w:vAlign w:val="center"/>
            <w:hideMark/>
          </w:tcPr>
          <w:p w:rsidR="00765D52" w:rsidRPr="00FE0328" w:rsidRDefault="00765D52" w:rsidP="00000E57">
            <w:pPr>
              <w:rPr>
                <w:rFonts w:ascii="Calibri" w:hAnsi="Calibri"/>
                <w:sz w:val="22"/>
                <w:szCs w:val="22"/>
              </w:rPr>
            </w:pPr>
            <w:r w:rsidRPr="00FE0328">
              <w:rPr>
                <w:rFonts w:ascii="Calibri" w:hAnsi="Calibri"/>
                <w:sz w:val="22"/>
                <w:szCs w:val="22"/>
              </w:rPr>
              <w:t>PETHICK</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5772/921</w:t>
            </w:r>
          </w:p>
        </w:tc>
        <w:tc>
          <w:tcPr>
            <w:tcW w:w="3873" w:type="dxa"/>
            <w:shd w:val="clear" w:color="auto" w:fill="auto"/>
            <w:noWrap/>
            <w:vAlign w:val="center"/>
            <w:hideMark/>
          </w:tcPr>
          <w:p w:rsidR="00765D52" w:rsidRPr="00FE0328" w:rsidRDefault="00765D52" w:rsidP="00000E57">
            <w:pPr>
              <w:rPr>
                <w:rFonts w:ascii="Calibri" w:hAnsi="Calibri"/>
                <w:sz w:val="22"/>
                <w:szCs w:val="22"/>
              </w:rPr>
            </w:pPr>
            <w:r w:rsidRPr="00FE0328">
              <w:rPr>
                <w:rFonts w:ascii="Calibri" w:hAnsi="Calibri"/>
                <w:sz w:val="22"/>
                <w:szCs w:val="22"/>
              </w:rPr>
              <w:t>Pureba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D34566A1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PETHICK</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5778/24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Pureba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H610700S100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PETINA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5763/197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H610700S97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PETINA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5754/555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H610700S98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PETINA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5763/195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H610700S99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PETINA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5763/196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sz w:val="22"/>
                <w:szCs w:val="22"/>
              </w:rPr>
            </w:pPr>
            <w:r w:rsidRPr="00FE0328">
              <w:rPr>
                <w:rFonts w:ascii="Calibri" w:hAnsi="Calibri"/>
                <w:sz w:val="22"/>
                <w:szCs w:val="22"/>
              </w:rPr>
              <w:t>D24907A300 (portion)</w:t>
            </w:r>
          </w:p>
        </w:tc>
        <w:tc>
          <w:tcPr>
            <w:tcW w:w="1760" w:type="dxa"/>
            <w:shd w:val="clear" w:color="auto" w:fill="auto"/>
            <w:noWrap/>
            <w:vAlign w:val="center"/>
            <w:hideMark/>
          </w:tcPr>
          <w:p w:rsidR="00765D52" w:rsidRPr="00FE0328" w:rsidRDefault="00765D52" w:rsidP="00000E57">
            <w:pPr>
              <w:rPr>
                <w:rFonts w:ascii="Calibri" w:hAnsi="Calibri"/>
                <w:sz w:val="22"/>
                <w:szCs w:val="22"/>
              </w:rPr>
            </w:pPr>
            <w:r w:rsidRPr="00FE0328">
              <w:rPr>
                <w:rFonts w:ascii="Calibri" w:hAnsi="Calibri"/>
                <w:sz w:val="22"/>
                <w:szCs w:val="22"/>
              </w:rPr>
              <w:t>PUREBA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5772/921</w:t>
            </w:r>
          </w:p>
        </w:tc>
        <w:tc>
          <w:tcPr>
            <w:tcW w:w="3873" w:type="dxa"/>
            <w:shd w:val="clear" w:color="auto" w:fill="auto"/>
            <w:noWrap/>
            <w:vAlign w:val="center"/>
            <w:hideMark/>
          </w:tcPr>
          <w:p w:rsidR="00765D52" w:rsidRPr="00FE0328" w:rsidRDefault="00765D52" w:rsidP="00000E57">
            <w:pPr>
              <w:rPr>
                <w:rFonts w:ascii="Calibri" w:hAnsi="Calibri"/>
                <w:sz w:val="22"/>
                <w:szCs w:val="22"/>
              </w:rPr>
            </w:pPr>
            <w:r w:rsidRPr="00FE0328">
              <w:rPr>
                <w:rFonts w:ascii="Calibri" w:hAnsi="Calibri"/>
                <w:sz w:val="22"/>
                <w:szCs w:val="22"/>
              </w:rPr>
              <w:t>Pureba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F39356A10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5547/338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H620700S36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H620700S37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H620700S38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H620700S39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H620700S44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5768/773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H620700S45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5768/774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H620700S50</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5763/228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D30252A11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5772/925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Acraman Creek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D33284A100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5556/602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D54497A2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5795/127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D79514A601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6041/959</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D80464A101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D80464A103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D80464A106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D80464A109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D80464A70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D80464A71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D80464A81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D80464A83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D80464A85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D80464A90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D80464A99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6057/28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H661200S101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5749/675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H661200S110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H661200S114</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H661200S116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H661200S121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5556/603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H661200S123</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H661200S85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H661200S86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H661200S87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H661200S95</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5749/673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H661200S99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5768/933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T661201A82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WALLANIPPIE</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5772/92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D26008Q1</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WANDANA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5750/476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D26008Q2</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WANDANA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5750/476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H661300S95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WANDANA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H661300S96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WANDANA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5763/388</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H661300S97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WANDANA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5768/944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H661300S98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WANDANA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5768/945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H661300S99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WANDANA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5768/946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D38861A5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5963/417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Wahgunyah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D67302A57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5974/295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D86605Q21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6095/142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D86605Q23 (portion)</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6095/143</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H620900S69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5767/622</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Wahgunyah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H620900S86</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5767/624</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Wahgunyah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H620900S87</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5767/625</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Wahgunyah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H620900S88</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5767/626</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Wahgunyah Conservation Park</w:t>
            </w:r>
          </w:p>
        </w:tc>
      </w:tr>
      <w:tr w:rsidR="00765D52" w:rsidRPr="00FE0328" w:rsidTr="00000E57">
        <w:trPr>
          <w:trHeight w:val="402"/>
        </w:trPr>
        <w:tc>
          <w:tcPr>
            <w:tcW w:w="23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H620900S89</w:t>
            </w:r>
          </w:p>
        </w:tc>
        <w:tc>
          <w:tcPr>
            <w:tcW w:w="176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WOOKATA</w:t>
            </w:r>
          </w:p>
        </w:tc>
        <w:tc>
          <w:tcPr>
            <w:tcW w:w="1540"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CR 5767/627</w:t>
            </w:r>
          </w:p>
        </w:tc>
        <w:tc>
          <w:tcPr>
            <w:tcW w:w="3873"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Wahgunyah Conservation Park</w:t>
            </w:r>
          </w:p>
        </w:tc>
      </w:tr>
    </w:tbl>
    <w:p w:rsidR="00765D52" w:rsidRPr="00645D77" w:rsidRDefault="00675E68" w:rsidP="00765D52">
      <w:pPr>
        <w:spacing w:after="240"/>
        <w:rPr>
          <w:b/>
          <w:bCs/>
          <w:sz w:val="22"/>
          <w:szCs w:val="22"/>
        </w:rPr>
      </w:pPr>
      <w:r>
        <w:br w:type="page"/>
      </w:r>
      <w:r w:rsidR="00BC62C4">
        <w:rPr>
          <w:b/>
          <w:bCs/>
          <w:sz w:val="22"/>
          <w:szCs w:val="22"/>
        </w:rPr>
        <w:lastRenderedPageBreak/>
        <w:t xml:space="preserve">SCHEDULE 4 - </w:t>
      </w:r>
      <w:r w:rsidR="00765D52" w:rsidRPr="00645D77">
        <w:rPr>
          <w:b/>
          <w:bCs/>
          <w:sz w:val="22"/>
          <w:szCs w:val="22"/>
        </w:rPr>
        <w:t>Areas where extinguishment of native title must be disregarded by virtue of</w:t>
      </w:r>
      <w:r w:rsidR="00BC62C4">
        <w:rPr>
          <w:b/>
          <w:bCs/>
          <w:sz w:val="22"/>
          <w:szCs w:val="22"/>
        </w:rPr>
        <w:t xml:space="preserve"> the application of section 47A of the Native Title Act</w:t>
      </w:r>
    </w:p>
    <w:p w:rsidR="00765D52" w:rsidRDefault="00765D52" w:rsidP="00765D52">
      <w:pPr>
        <w:rPr>
          <w:b/>
          <w:sz w:val="22"/>
          <w:szCs w:val="22"/>
        </w:rPr>
      </w:pPr>
    </w:p>
    <w:tbl>
      <w:tblPr>
        <w:tblW w:w="6853" w:type="dxa"/>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66"/>
        <w:gridCol w:w="2292"/>
      </w:tblGrid>
      <w:tr w:rsidR="00765D52" w:rsidRPr="00FE0328" w:rsidTr="00000E57">
        <w:trPr>
          <w:trHeight w:val="402"/>
          <w:tblHeader/>
          <w:jc w:val="center"/>
        </w:trPr>
        <w:tc>
          <w:tcPr>
            <w:tcW w:w="2495" w:type="dxa"/>
            <w:shd w:val="clear" w:color="auto" w:fill="F2F2F2"/>
            <w:noWrap/>
            <w:vAlign w:val="center"/>
            <w:hideMark/>
          </w:tcPr>
          <w:p w:rsidR="00765D52" w:rsidRPr="00FE0328" w:rsidRDefault="00765D52" w:rsidP="00000E57">
            <w:pPr>
              <w:rPr>
                <w:rFonts w:ascii="Calibri" w:hAnsi="Calibri"/>
                <w:b/>
                <w:bCs/>
                <w:color w:val="000000"/>
                <w:sz w:val="22"/>
                <w:szCs w:val="22"/>
              </w:rPr>
            </w:pPr>
            <w:r w:rsidRPr="00FE0328">
              <w:rPr>
                <w:rFonts w:ascii="Calibri" w:hAnsi="Calibri"/>
                <w:b/>
                <w:bCs/>
                <w:color w:val="000000"/>
                <w:sz w:val="22"/>
                <w:szCs w:val="22"/>
              </w:rPr>
              <w:t>DCDBID</w:t>
            </w:r>
          </w:p>
        </w:tc>
        <w:tc>
          <w:tcPr>
            <w:tcW w:w="2066" w:type="dxa"/>
            <w:shd w:val="clear" w:color="auto" w:fill="F2F2F2"/>
            <w:noWrap/>
            <w:vAlign w:val="center"/>
            <w:hideMark/>
          </w:tcPr>
          <w:p w:rsidR="00765D52" w:rsidRPr="00FE0328" w:rsidRDefault="00765D52" w:rsidP="00000E57">
            <w:pPr>
              <w:rPr>
                <w:rFonts w:ascii="Calibri" w:hAnsi="Calibri"/>
                <w:b/>
                <w:bCs/>
                <w:color w:val="000000"/>
                <w:sz w:val="22"/>
                <w:szCs w:val="22"/>
              </w:rPr>
            </w:pPr>
            <w:r w:rsidRPr="00FE0328">
              <w:rPr>
                <w:rFonts w:ascii="Calibri" w:hAnsi="Calibri"/>
                <w:b/>
                <w:bCs/>
                <w:color w:val="000000"/>
                <w:sz w:val="22"/>
                <w:szCs w:val="22"/>
              </w:rPr>
              <w:t>Hundred</w:t>
            </w:r>
          </w:p>
        </w:tc>
        <w:tc>
          <w:tcPr>
            <w:tcW w:w="2292" w:type="dxa"/>
            <w:shd w:val="clear" w:color="auto" w:fill="F2F2F2"/>
            <w:noWrap/>
            <w:vAlign w:val="center"/>
            <w:hideMark/>
          </w:tcPr>
          <w:p w:rsidR="00765D52" w:rsidRPr="00FE0328" w:rsidRDefault="00765D52" w:rsidP="00000E57">
            <w:pPr>
              <w:rPr>
                <w:rFonts w:ascii="Calibri" w:hAnsi="Calibri"/>
                <w:b/>
                <w:bCs/>
                <w:color w:val="000000"/>
                <w:sz w:val="22"/>
                <w:szCs w:val="22"/>
              </w:rPr>
            </w:pPr>
            <w:r w:rsidRPr="00FE0328">
              <w:rPr>
                <w:rFonts w:ascii="Calibri" w:hAnsi="Calibri"/>
                <w:b/>
                <w:bCs/>
                <w:color w:val="000000"/>
                <w:sz w:val="22"/>
                <w:szCs w:val="22"/>
              </w:rPr>
              <w:t>Title Reference</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H620100S11</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H620100S24</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H620100S25</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H620100S26</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H620100S27</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H620100S28</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H620100S29</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BICE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D14869A30</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5701/728</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H660300S189</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5868/908</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H660300S190</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5868/908</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H660300S197</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5580/764</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H660300S211</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5868/908</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H660300S241</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5505/405</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H660300S71</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BONYTHON</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5868/908</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H620200S43</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T620201A26</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CALDWELL</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5517/814</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H660400S64</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CATT</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5834/436</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H620300S14</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H620300S23</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H620300S24</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H620300S25</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H620300S26</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H620300S27</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H620300S28</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H620300S29</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H620300S30</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LUCY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H620400S10</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H620400S11</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H620400S12</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lastRenderedPageBreak/>
              <w:t>H620400S13</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H620400S2</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H620400S5</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H620400S9</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MAY</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H834200S728</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OH(NULLARBOR)</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H610700S78</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PETINA</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5489/686</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H610700S79</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PETINA</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5489/225</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H620700S17</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H620700S18</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H620700S23</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H620700S24</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H620700S35</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STURDEE</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H620800S10</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H620800S11</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H620800S12</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H620800S13</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H620800S3</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H620800S4</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H620800S6</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H620800S8</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r w:rsidR="00765D52" w:rsidRPr="00FE0328" w:rsidTr="00000E57">
        <w:trPr>
          <w:trHeight w:val="402"/>
          <w:jc w:val="center"/>
        </w:trPr>
        <w:tc>
          <w:tcPr>
            <w:tcW w:w="2495"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H620800S9</w:t>
            </w:r>
          </w:p>
        </w:tc>
        <w:tc>
          <w:tcPr>
            <w:tcW w:w="2066"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TRUNCH</w:t>
            </w:r>
          </w:p>
        </w:tc>
        <w:tc>
          <w:tcPr>
            <w:tcW w:w="2292" w:type="dxa"/>
            <w:shd w:val="clear" w:color="auto" w:fill="auto"/>
            <w:noWrap/>
            <w:vAlign w:val="center"/>
            <w:hideMark/>
          </w:tcPr>
          <w:p w:rsidR="00765D52" w:rsidRPr="00FE0328" w:rsidRDefault="00765D52" w:rsidP="00000E57">
            <w:pPr>
              <w:rPr>
                <w:rFonts w:ascii="Calibri" w:hAnsi="Calibri"/>
                <w:color w:val="000000"/>
                <w:sz w:val="22"/>
                <w:szCs w:val="22"/>
              </w:rPr>
            </w:pPr>
            <w:r w:rsidRPr="00FE0328">
              <w:rPr>
                <w:rFonts w:ascii="Calibri" w:hAnsi="Calibri"/>
                <w:color w:val="000000"/>
                <w:sz w:val="22"/>
                <w:szCs w:val="22"/>
              </w:rPr>
              <w:t>CT 5834/851</w:t>
            </w:r>
          </w:p>
        </w:tc>
      </w:tr>
    </w:tbl>
    <w:p w:rsidR="00765D52" w:rsidRDefault="00765D52" w:rsidP="00765D52">
      <w:pPr>
        <w:rPr>
          <w:b/>
          <w:sz w:val="22"/>
          <w:szCs w:val="22"/>
        </w:rPr>
      </w:pPr>
    </w:p>
    <w:p w:rsidR="00765D52" w:rsidRDefault="00765D52" w:rsidP="00765D52">
      <w:pPr>
        <w:rPr>
          <w:b/>
          <w:sz w:val="22"/>
          <w:szCs w:val="22"/>
        </w:rPr>
      </w:pPr>
      <w:r>
        <w:br w:type="page"/>
      </w:r>
    </w:p>
    <w:p w:rsidR="00765D52" w:rsidRPr="00645D77" w:rsidRDefault="00765D52" w:rsidP="00765D52">
      <w:pPr>
        <w:spacing w:after="240"/>
        <w:rPr>
          <w:b/>
          <w:bCs/>
          <w:sz w:val="22"/>
          <w:szCs w:val="22"/>
        </w:rPr>
      </w:pPr>
      <w:r w:rsidRPr="00645D77">
        <w:rPr>
          <w:b/>
          <w:bCs/>
          <w:sz w:val="22"/>
          <w:szCs w:val="22"/>
        </w:rPr>
        <w:t xml:space="preserve">SCHEDULE 5 - Areas where extinguishment of native title must be disregarded by virtue of the application of section 47B </w:t>
      </w:r>
      <w:r w:rsidR="00BC62C4">
        <w:rPr>
          <w:b/>
          <w:bCs/>
          <w:sz w:val="22"/>
          <w:szCs w:val="22"/>
        </w:rPr>
        <w:t>of the Native Title Act</w:t>
      </w:r>
    </w:p>
    <w:p w:rsidR="00765D52" w:rsidRDefault="00765D52" w:rsidP="00765D52">
      <w:pPr>
        <w:rPr>
          <w:sz w:val="22"/>
          <w:szCs w:val="22"/>
        </w:rPr>
      </w:pPr>
      <w:r>
        <w:rPr>
          <w:sz w:val="22"/>
          <w:szCs w:val="22"/>
        </w:rPr>
        <w:t>Note: Please refer to Schedule 2 (separate bound document) for further detail where a portion of a parcel is indicated</w:t>
      </w:r>
      <w:r w:rsidR="00BC62C4">
        <w:rPr>
          <w:sz w:val="22"/>
          <w:szCs w:val="22"/>
        </w:rPr>
        <w:t>.</w:t>
      </w:r>
    </w:p>
    <w:p w:rsidR="00765D52" w:rsidRDefault="00765D52" w:rsidP="00765D52">
      <w:pPr>
        <w:rPr>
          <w:b/>
          <w:sz w:val="22"/>
          <w:szCs w:val="22"/>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439"/>
        <w:gridCol w:w="1540"/>
        <w:gridCol w:w="4334"/>
      </w:tblGrid>
      <w:tr w:rsidR="00765D52" w:rsidRPr="00085C4C" w:rsidTr="00000E57">
        <w:trPr>
          <w:trHeight w:val="402"/>
          <w:tblHeader/>
        </w:trPr>
        <w:tc>
          <w:tcPr>
            <w:tcW w:w="2200" w:type="dxa"/>
            <w:shd w:val="clear" w:color="auto" w:fill="F2F2F2"/>
            <w:noWrap/>
            <w:vAlign w:val="center"/>
            <w:hideMark/>
          </w:tcPr>
          <w:p w:rsidR="00765D52" w:rsidRPr="00085C4C" w:rsidRDefault="00765D52" w:rsidP="00000E57">
            <w:pPr>
              <w:rPr>
                <w:rFonts w:ascii="Calibri" w:hAnsi="Calibri"/>
                <w:b/>
                <w:bCs/>
                <w:color w:val="000000"/>
                <w:sz w:val="22"/>
                <w:szCs w:val="22"/>
              </w:rPr>
            </w:pPr>
            <w:r w:rsidRPr="00085C4C">
              <w:rPr>
                <w:rFonts w:ascii="Calibri" w:hAnsi="Calibri"/>
                <w:b/>
                <w:bCs/>
                <w:color w:val="000000"/>
                <w:sz w:val="22"/>
                <w:szCs w:val="22"/>
              </w:rPr>
              <w:t>DCDBID</w:t>
            </w:r>
          </w:p>
        </w:tc>
        <w:tc>
          <w:tcPr>
            <w:tcW w:w="1439" w:type="dxa"/>
            <w:shd w:val="clear" w:color="auto" w:fill="F2F2F2"/>
            <w:noWrap/>
            <w:vAlign w:val="center"/>
            <w:hideMark/>
          </w:tcPr>
          <w:p w:rsidR="00765D52" w:rsidRPr="00085C4C" w:rsidRDefault="00765D52" w:rsidP="00000E57">
            <w:pPr>
              <w:rPr>
                <w:rFonts w:ascii="Calibri" w:hAnsi="Calibri"/>
                <w:b/>
                <w:bCs/>
                <w:color w:val="000000"/>
                <w:sz w:val="22"/>
                <w:szCs w:val="22"/>
              </w:rPr>
            </w:pPr>
            <w:r w:rsidRPr="00085C4C">
              <w:rPr>
                <w:rFonts w:ascii="Calibri" w:hAnsi="Calibri"/>
                <w:b/>
                <w:bCs/>
                <w:color w:val="000000"/>
                <w:sz w:val="22"/>
                <w:szCs w:val="22"/>
              </w:rPr>
              <w:t>Hundred</w:t>
            </w:r>
          </w:p>
        </w:tc>
        <w:tc>
          <w:tcPr>
            <w:tcW w:w="1540" w:type="dxa"/>
            <w:shd w:val="clear" w:color="auto" w:fill="F2F2F2"/>
            <w:noWrap/>
            <w:vAlign w:val="center"/>
            <w:hideMark/>
          </w:tcPr>
          <w:p w:rsidR="00765D52" w:rsidRPr="00085C4C" w:rsidRDefault="00765D52" w:rsidP="00000E57">
            <w:pPr>
              <w:rPr>
                <w:rFonts w:ascii="Calibri" w:hAnsi="Calibri"/>
                <w:b/>
                <w:bCs/>
                <w:color w:val="000000"/>
                <w:sz w:val="22"/>
                <w:szCs w:val="22"/>
              </w:rPr>
            </w:pPr>
            <w:r w:rsidRPr="00085C4C">
              <w:rPr>
                <w:rFonts w:ascii="Calibri" w:hAnsi="Calibri"/>
                <w:b/>
                <w:bCs/>
                <w:color w:val="000000"/>
                <w:sz w:val="22"/>
                <w:szCs w:val="22"/>
              </w:rPr>
              <w:t>Title Reference</w:t>
            </w:r>
          </w:p>
        </w:tc>
        <w:tc>
          <w:tcPr>
            <w:tcW w:w="4334" w:type="dxa"/>
            <w:shd w:val="clear" w:color="auto" w:fill="F2F2F2"/>
            <w:noWrap/>
            <w:vAlign w:val="center"/>
            <w:hideMark/>
          </w:tcPr>
          <w:p w:rsidR="00765D52" w:rsidRPr="00085C4C" w:rsidRDefault="00765D52" w:rsidP="00000E57">
            <w:pPr>
              <w:rPr>
                <w:rFonts w:ascii="Calibri" w:hAnsi="Calibri"/>
                <w:b/>
                <w:bCs/>
                <w:color w:val="000000"/>
                <w:sz w:val="22"/>
                <w:szCs w:val="22"/>
              </w:rPr>
            </w:pPr>
            <w:r w:rsidRPr="00085C4C">
              <w:rPr>
                <w:rFonts w:ascii="Calibri" w:hAnsi="Calibri"/>
                <w:b/>
                <w:bCs/>
                <w:color w:val="000000"/>
                <w:sz w:val="22"/>
                <w:szCs w:val="22"/>
              </w:rPr>
              <w:t>Park Name</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D79712A604</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BLACKER</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6048/333</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H660200S52</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BLACKER</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5771/296</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D26423A55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BONYTHON</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5748/115</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H660300S246</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BONYTHON</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5768/864</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H660300S269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BONYTHON</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5746/512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H660300S278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BONYTHON</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5768/871</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D35363A64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CALDWELL</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5772/949</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Fowlers Bay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H620200S40</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CALDWELL</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5403/209</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Fowlers Bay Conservation Park (proposed)</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H660500S21C</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CHILLUNDIE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5746/516</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D51676A11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HORN</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5717/175</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H660800S110</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HORN</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5322/691</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H660800S138</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HORN</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5749/670</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D68007A54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MAGAREY</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5965/579</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D30878A2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MOULE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5748/164</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D30949A2</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MOULE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5763/797</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D59819A22</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MOULE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5904/531</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H660900S58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MOULE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5768/917</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H660900S67</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MOULE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5768/919</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H660900S70</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MOULE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5768/920</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D78000A13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NASH</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6047/860</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H620700S46</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STURDEE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5768/775</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D33284A100 (portion)</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WALLANIPPIE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5556/602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lastRenderedPageBreak/>
              <w:t>H661200S100</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WALLANIPPIE</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5749/674</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F216531Q106</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WANDANA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5807/960</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F216531Q107</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WANDANA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5807/960</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H661300S78</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WANDANA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5746/518</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D67102A101</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6070/571</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D85732A103</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6070/570</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H620900S4</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5749/652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H620900S45</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5866/882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H620900S46</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5866/882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H620900S47</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5749/652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H620900S48</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5866/882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H620900S49</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5749/652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H620900S52</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5749/652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H620900S53</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5749/652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H620900S70</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5916/576</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H620900S71</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5916/576</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H620900S74</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5749/652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H620900S77</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5866/882</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r w:rsidR="00765D52" w:rsidRPr="00085C4C" w:rsidTr="00000E57">
        <w:trPr>
          <w:trHeight w:val="402"/>
        </w:trPr>
        <w:tc>
          <w:tcPr>
            <w:tcW w:w="220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H620900S94</w:t>
            </w:r>
          </w:p>
        </w:tc>
        <w:tc>
          <w:tcPr>
            <w:tcW w:w="1439"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WOOKATA</w:t>
            </w:r>
          </w:p>
        </w:tc>
        <w:tc>
          <w:tcPr>
            <w:tcW w:w="1540"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CR 5767/628</w:t>
            </w:r>
          </w:p>
        </w:tc>
        <w:tc>
          <w:tcPr>
            <w:tcW w:w="4334" w:type="dxa"/>
            <w:shd w:val="clear" w:color="auto" w:fill="auto"/>
            <w:noWrap/>
            <w:vAlign w:val="center"/>
            <w:hideMark/>
          </w:tcPr>
          <w:p w:rsidR="00765D52" w:rsidRPr="00085C4C" w:rsidRDefault="00765D52" w:rsidP="00000E57">
            <w:pPr>
              <w:rPr>
                <w:rFonts w:ascii="Calibri" w:hAnsi="Calibri"/>
                <w:color w:val="000000"/>
                <w:sz w:val="22"/>
                <w:szCs w:val="22"/>
              </w:rPr>
            </w:pPr>
            <w:r w:rsidRPr="00085C4C">
              <w:rPr>
                <w:rFonts w:ascii="Calibri" w:hAnsi="Calibri"/>
                <w:color w:val="000000"/>
                <w:sz w:val="22"/>
                <w:szCs w:val="22"/>
              </w:rPr>
              <w:t>Wahgunyah Conservation Park</w:t>
            </w:r>
          </w:p>
        </w:tc>
      </w:tr>
    </w:tbl>
    <w:p w:rsidR="00765D52" w:rsidRDefault="00765D52" w:rsidP="00765D52">
      <w:pPr>
        <w:rPr>
          <w:b/>
          <w:sz w:val="22"/>
          <w:szCs w:val="22"/>
        </w:rPr>
      </w:pPr>
    </w:p>
    <w:p w:rsidR="00765D52" w:rsidRDefault="00765D52" w:rsidP="00675E68">
      <w:pPr>
        <w:pStyle w:val="NoNum"/>
      </w:pPr>
    </w:p>
    <w:p w:rsidR="00765D52" w:rsidRDefault="00765D52" w:rsidP="00675E68">
      <w:pPr>
        <w:pStyle w:val="NoNum"/>
      </w:pPr>
    </w:p>
    <w:p w:rsidR="00765D52" w:rsidRDefault="00765D52" w:rsidP="00765D52">
      <w:pPr>
        <w:spacing w:after="240"/>
        <w:rPr>
          <w:b/>
          <w:bCs/>
          <w:sz w:val="22"/>
          <w:szCs w:val="22"/>
        </w:rPr>
      </w:pPr>
      <w:r>
        <w:br w:type="page"/>
      </w:r>
      <w:r>
        <w:rPr>
          <w:b/>
          <w:bCs/>
          <w:sz w:val="22"/>
          <w:szCs w:val="22"/>
        </w:rPr>
        <w:lastRenderedPageBreak/>
        <w:t xml:space="preserve">SCHEDULE 6 - Areas where native title exists pursuant to the Far West Coast Native Title Claim Settlement ILUA </w:t>
      </w:r>
    </w:p>
    <w:p w:rsidR="00765D52" w:rsidRDefault="00765D52" w:rsidP="00765D52">
      <w:pPr>
        <w:spacing w:after="240"/>
        <w:rPr>
          <w:bCs/>
          <w:sz w:val="22"/>
          <w:szCs w:val="22"/>
        </w:rPr>
      </w:pPr>
    </w:p>
    <w:tbl>
      <w:tblPr>
        <w:tblW w:w="92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32"/>
        <w:gridCol w:w="2216"/>
        <w:gridCol w:w="3906"/>
      </w:tblGrid>
      <w:tr w:rsidR="00765D52" w:rsidRPr="00185603" w:rsidTr="00765D52">
        <w:trPr>
          <w:trHeight w:val="362"/>
        </w:trPr>
        <w:tc>
          <w:tcPr>
            <w:tcW w:w="1448" w:type="dxa"/>
            <w:shd w:val="clear" w:color="auto" w:fill="F2F2F2"/>
            <w:noWrap/>
            <w:vAlign w:val="center"/>
            <w:hideMark/>
          </w:tcPr>
          <w:p w:rsidR="00765D52" w:rsidRPr="00185603" w:rsidRDefault="00765D52" w:rsidP="00000E57">
            <w:pPr>
              <w:rPr>
                <w:rFonts w:ascii="Calibri" w:hAnsi="Calibri"/>
                <w:b/>
                <w:bCs/>
                <w:color w:val="000000"/>
                <w:sz w:val="22"/>
                <w:szCs w:val="22"/>
              </w:rPr>
            </w:pPr>
            <w:r w:rsidRPr="00185603">
              <w:rPr>
                <w:rFonts w:ascii="Calibri" w:hAnsi="Calibri"/>
                <w:b/>
                <w:bCs/>
                <w:color w:val="000000"/>
                <w:sz w:val="22"/>
                <w:szCs w:val="22"/>
              </w:rPr>
              <w:t>DCDBID</w:t>
            </w:r>
          </w:p>
        </w:tc>
        <w:tc>
          <w:tcPr>
            <w:tcW w:w="1645" w:type="dxa"/>
            <w:shd w:val="clear" w:color="auto" w:fill="F2F2F2"/>
            <w:noWrap/>
            <w:vAlign w:val="center"/>
            <w:hideMark/>
          </w:tcPr>
          <w:p w:rsidR="00765D52" w:rsidRPr="00185603" w:rsidRDefault="00765D52" w:rsidP="00000E57">
            <w:pPr>
              <w:rPr>
                <w:rFonts w:ascii="Calibri" w:hAnsi="Calibri"/>
                <w:b/>
                <w:bCs/>
                <w:color w:val="000000"/>
                <w:sz w:val="22"/>
                <w:szCs w:val="22"/>
              </w:rPr>
            </w:pPr>
            <w:r w:rsidRPr="00185603">
              <w:rPr>
                <w:rFonts w:ascii="Calibri" w:hAnsi="Calibri"/>
                <w:b/>
                <w:bCs/>
                <w:color w:val="000000"/>
                <w:sz w:val="22"/>
                <w:szCs w:val="22"/>
              </w:rPr>
              <w:t>Hundred</w:t>
            </w:r>
          </w:p>
        </w:tc>
        <w:tc>
          <w:tcPr>
            <w:tcW w:w="2216" w:type="dxa"/>
            <w:shd w:val="clear" w:color="auto" w:fill="F2F2F2"/>
            <w:noWrap/>
            <w:vAlign w:val="center"/>
            <w:hideMark/>
          </w:tcPr>
          <w:p w:rsidR="00765D52" w:rsidRPr="00185603" w:rsidRDefault="00765D52" w:rsidP="00000E57">
            <w:pPr>
              <w:rPr>
                <w:rFonts w:ascii="Calibri" w:hAnsi="Calibri"/>
                <w:b/>
                <w:bCs/>
                <w:color w:val="000000"/>
                <w:sz w:val="22"/>
                <w:szCs w:val="22"/>
              </w:rPr>
            </w:pPr>
            <w:r w:rsidRPr="00185603">
              <w:rPr>
                <w:rFonts w:ascii="Calibri" w:hAnsi="Calibri"/>
                <w:b/>
                <w:bCs/>
                <w:color w:val="000000"/>
                <w:sz w:val="22"/>
                <w:szCs w:val="22"/>
              </w:rPr>
              <w:t>Title Reference</w:t>
            </w:r>
          </w:p>
        </w:tc>
        <w:tc>
          <w:tcPr>
            <w:tcW w:w="3906" w:type="dxa"/>
            <w:shd w:val="clear" w:color="auto" w:fill="F2F2F2"/>
            <w:noWrap/>
            <w:vAlign w:val="center"/>
            <w:hideMark/>
          </w:tcPr>
          <w:p w:rsidR="00765D52" w:rsidRPr="00185603" w:rsidRDefault="00765D52" w:rsidP="00000E57">
            <w:pPr>
              <w:rPr>
                <w:rFonts w:ascii="Calibri" w:hAnsi="Calibri"/>
                <w:b/>
                <w:bCs/>
                <w:color w:val="000000"/>
                <w:sz w:val="22"/>
                <w:szCs w:val="22"/>
              </w:rPr>
            </w:pPr>
            <w:r w:rsidRPr="00185603">
              <w:rPr>
                <w:rFonts w:ascii="Calibri" w:hAnsi="Calibri"/>
                <w:b/>
                <w:bCs/>
                <w:color w:val="000000"/>
                <w:sz w:val="22"/>
                <w:szCs w:val="22"/>
              </w:rPr>
              <w:t>Park Name</w:t>
            </w:r>
          </w:p>
        </w:tc>
      </w:tr>
      <w:tr w:rsidR="00765D52" w:rsidRPr="00185603" w:rsidTr="00765D52">
        <w:trPr>
          <w:trHeight w:val="362"/>
        </w:trPr>
        <w:tc>
          <w:tcPr>
            <w:tcW w:w="1448" w:type="dxa"/>
            <w:shd w:val="clear" w:color="auto" w:fill="auto"/>
            <w:noWrap/>
            <w:vAlign w:val="center"/>
            <w:hideMark/>
          </w:tcPr>
          <w:p w:rsidR="00765D52" w:rsidRDefault="00765D52" w:rsidP="00000E57">
            <w:pPr>
              <w:rPr>
                <w:rFonts w:ascii="Calibri" w:hAnsi="Calibri"/>
                <w:color w:val="000000"/>
                <w:sz w:val="22"/>
                <w:szCs w:val="22"/>
              </w:rPr>
            </w:pPr>
            <w:r w:rsidRPr="00185603">
              <w:rPr>
                <w:rFonts w:ascii="Calibri" w:hAnsi="Calibri"/>
                <w:color w:val="000000"/>
                <w:sz w:val="22"/>
                <w:szCs w:val="22"/>
              </w:rPr>
              <w:t>D57675A21</w:t>
            </w:r>
          </w:p>
          <w:p w:rsidR="00765D52" w:rsidRPr="00185603" w:rsidRDefault="00765D52" w:rsidP="00000E57">
            <w:pPr>
              <w:rPr>
                <w:rFonts w:ascii="Calibri" w:hAnsi="Calibri"/>
                <w:color w:val="000000"/>
                <w:sz w:val="22"/>
                <w:szCs w:val="22"/>
              </w:rPr>
            </w:pPr>
            <w:r>
              <w:rPr>
                <w:rFonts w:ascii="Calibri" w:hAnsi="Calibri"/>
                <w:color w:val="000000"/>
                <w:sz w:val="22"/>
                <w:szCs w:val="22"/>
              </w:rPr>
              <w:t>(that portion that lies within the Determination Area)</w:t>
            </w:r>
          </w:p>
        </w:tc>
        <w:tc>
          <w:tcPr>
            <w:tcW w:w="1645"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OH(NULLARBOR)</w:t>
            </w:r>
          </w:p>
        </w:tc>
        <w:tc>
          <w:tcPr>
            <w:tcW w:w="221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CR 5930/497</w:t>
            </w:r>
          </w:p>
        </w:tc>
        <w:tc>
          <w:tcPr>
            <w:tcW w:w="390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Great Australian Bight Marine National Park</w:t>
            </w:r>
          </w:p>
        </w:tc>
      </w:tr>
      <w:tr w:rsidR="00765D52" w:rsidRPr="00185603" w:rsidTr="00765D52">
        <w:trPr>
          <w:trHeight w:val="362"/>
        </w:trPr>
        <w:tc>
          <w:tcPr>
            <w:tcW w:w="1448"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D57297A11</w:t>
            </w:r>
          </w:p>
        </w:tc>
        <w:tc>
          <w:tcPr>
            <w:tcW w:w="1645"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RUSSELL</w:t>
            </w:r>
          </w:p>
        </w:tc>
        <w:tc>
          <w:tcPr>
            <w:tcW w:w="221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CR 5963/416</w:t>
            </w:r>
          </w:p>
        </w:tc>
        <w:tc>
          <w:tcPr>
            <w:tcW w:w="390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Great Australian Bight Marine National Park</w:t>
            </w:r>
          </w:p>
        </w:tc>
      </w:tr>
      <w:tr w:rsidR="00765D52" w:rsidRPr="00185603" w:rsidTr="00765D52">
        <w:trPr>
          <w:trHeight w:val="362"/>
        </w:trPr>
        <w:tc>
          <w:tcPr>
            <w:tcW w:w="1448"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F53901A100</w:t>
            </w:r>
          </w:p>
        </w:tc>
        <w:tc>
          <w:tcPr>
            <w:tcW w:w="1645"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WOOKATA</w:t>
            </w:r>
          </w:p>
        </w:tc>
        <w:tc>
          <w:tcPr>
            <w:tcW w:w="221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CR 6070/329</w:t>
            </w:r>
          </w:p>
        </w:tc>
        <w:tc>
          <w:tcPr>
            <w:tcW w:w="390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765D52" w:rsidRPr="00185603" w:rsidTr="00765D52">
        <w:trPr>
          <w:trHeight w:val="362"/>
        </w:trPr>
        <w:tc>
          <w:tcPr>
            <w:tcW w:w="1448"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F53901A101</w:t>
            </w:r>
          </w:p>
        </w:tc>
        <w:tc>
          <w:tcPr>
            <w:tcW w:w="1645"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WOOKATA</w:t>
            </w:r>
          </w:p>
        </w:tc>
        <w:tc>
          <w:tcPr>
            <w:tcW w:w="221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CR 6070/329</w:t>
            </w:r>
          </w:p>
        </w:tc>
        <w:tc>
          <w:tcPr>
            <w:tcW w:w="3906" w:type="dxa"/>
            <w:shd w:val="clear" w:color="auto" w:fill="auto"/>
            <w:noWrap/>
            <w:vAlign w:val="center"/>
            <w:hideMark/>
          </w:tcPr>
          <w:p w:rsidR="00765D52" w:rsidRPr="00185603" w:rsidRDefault="00765D52" w:rsidP="00000E57">
            <w:pPr>
              <w:rPr>
                <w:rFonts w:ascii="Calibri" w:hAnsi="Calibri"/>
                <w:color w:val="000000"/>
                <w:sz w:val="22"/>
                <w:szCs w:val="22"/>
              </w:rPr>
            </w:pPr>
            <w:r w:rsidRPr="00185603">
              <w:rPr>
                <w:rFonts w:ascii="Calibri" w:hAnsi="Calibri"/>
                <w:color w:val="000000"/>
                <w:sz w:val="22"/>
                <w:szCs w:val="22"/>
              </w:rPr>
              <w:t>Wahgunyah Conservation Park</w:t>
            </w:r>
          </w:p>
        </w:tc>
      </w:tr>
    </w:tbl>
    <w:p w:rsidR="00765D52" w:rsidRDefault="00765D52" w:rsidP="00675E68">
      <w:pPr>
        <w:pStyle w:val="NoNum"/>
      </w:pPr>
    </w:p>
    <w:p w:rsidR="00656C1E" w:rsidRDefault="00656C1E" w:rsidP="00656C1E">
      <w:pPr>
        <w:pStyle w:val="Heading2"/>
        <w:spacing w:after="240"/>
      </w:pPr>
      <w:r>
        <w:br w:type="page"/>
      </w:r>
      <w:r>
        <w:lastRenderedPageBreak/>
        <w:t>SCHEDULE 7 - Areas where native title has been extinguished</w:t>
      </w:r>
    </w:p>
    <w:p w:rsidR="00656C1E" w:rsidRDefault="00656C1E" w:rsidP="00176EF6">
      <w:pPr>
        <w:pStyle w:val="ListNo"/>
        <w:numPr>
          <w:ilvl w:val="0"/>
          <w:numId w:val="34"/>
        </w:numPr>
        <w:tabs>
          <w:tab w:val="clear" w:pos="720"/>
        </w:tabs>
      </w:pPr>
      <w:r>
        <w:t>Native title rights and interests have been extinguished in respect of those parts of the Native Title Land being any house, shed or other building or airstrip or any dam or other stock watering point constructed pursuant to the pastoral leases referred to in paragraph 15 of these Orders prior to the date of this determination.  These areas include any adjacent land or waters the exclusive use of which is necessary for the enjoyment of the improvements referred to.</w:t>
      </w:r>
    </w:p>
    <w:p w:rsidR="00656C1E" w:rsidRDefault="00656C1E" w:rsidP="00176EF6">
      <w:pPr>
        <w:pStyle w:val="ListNo"/>
        <w:numPr>
          <w:ilvl w:val="0"/>
          <w:numId w:val="34"/>
        </w:numPr>
        <w:tabs>
          <w:tab w:val="clear" w:pos="720"/>
        </w:tabs>
      </w:pPr>
      <w:r>
        <w:t>To be clear, item 1 does not preclude the possibility of further extinguishment, according to law, of native title over other limited parts of the Native Title Land by reason of the construction of new pastoral improvements of the kind referred to in item 1 after the date of this Determination.</w:t>
      </w:r>
    </w:p>
    <w:p w:rsidR="00656C1E" w:rsidRDefault="00656C1E" w:rsidP="00176EF6">
      <w:pPr>
        <w:pStyle w:val="ListNo"/>
        <w:numPr>
          <w:ilvl w:val="0"/>
          <w:numId w:val="34"/>
        </w:numPr>
        <w:tabs>
          <w:tab w:val="clear" w:pos="720"/>
        </w:tabs>
      </w:pPr>
      <w:r>
        <w:t>Native title rights and interests have been extinguished in:</w:t>
      </w:r>
    </w:p>
    <w:p w:rsidR="00656C1E" w:rsidRDefault="00656C1E" w:rsidP="00176EF6">
      <w:pPr>
        <w:pStyle w:val="ListNo"/>
        <w:numPr>
          <w:ilvl w:val="0"/>
          <w:numId w:val="35"/>
        </w:numPr>
        <w:tabs>
          <w:tab w:val="clear" w:pos="1440"/>
        </w:tabs>
      </w:pPr>
      <w:r>
        <w:t xml:space="preserve">minerals as defined in section 6 of the </w:t>
      </w:r>
      <w:r w:rsidRPr="00393E58">
        <w:rPr>
          <w:i/>
        </w:rPr>
        <w:t>Mining Act 1971</w:t>
      </w:r>
      <w:r>
        <w:t xml:space="preserve"> (SA);</w:t>
      </w:r>
    </w:p>
    <w:p w:rsidR="00656C1E" w:rsidRDefault="00BC62C4" w:rsidP="00176EF6">
      <w:pPr>
        <w:pStyle w:val="ListNo"/>
        <w:numPr>
          <w:ilvl w:val="0"/>
          <w:numId w:val="35"/>
        </w:numPr>
        <w:tabs>
          <w:tab w:val="clear" w:pos="1440"/>
        </w:tabs>
      </w:pPr>
      <w:r>
        <w:t>p</w:t>
      </w:r>
      <w:r w:rsidR="00656C1E">
        <w:t xml:space="preserve">etroleum, as defined in section 4 of the </w:t>
      </w:r>
      <w:r w:rsidR="00656C1E" w:rsidRPr="00393E58">
        <w:rPr>
          <w:i/>
        </w:rPr>
        <w:t>Petroleum and Geothermal Energy Act 2000</w:t>
      </w:r>
      <w:r w:rsidR="00656C1E">
        <w:t xml:space="preserve"> (SA);</w:t>
      </w:r>
    </w:p>
    <w:p w:rsidR="00656C1E" w:rsidRDefault="00656C1E" w:rsidP="00176EF6">
      <w:pPr>
        <w:pStyle w:val="ListNo"/>
        <w:numPr>
          <w:ilvl w:val="0"/>
          <w:numId w:val="35"/>
        </w:numPr>
        <w:tabs>
          <w:tab w:val="clear" w:pos="1440"/>
        </w:tabs>
      </w:pPr>
      <w:r>
        <w:t xml:space="preserve">a naturally occurring underground accumulation of a regulated substance as defined in section 4 of the </w:t>
      </w:r>
      <w:r w:rsidRPr="00393E58">
        <w:rPr>
          <w:i/>
        </w:rPr>
        <w:t>Petroleum and Geothermal Energy Act 2000</w:t>
      </w:r>
      <w:r>
        <w:t xml:space="preserve"> (SA), below a depth of 100 metres from the surface of the earth;</w:t>
      </w:r>
    </w:p>
    <w:p w:rsidR="00656C1E" w:rsidRDefault="00656C1E" w:rsidP="00176EF6">
      <w:pPr>
        <w:pStyle w:val="ListNo"/>
        <w:numPr>
          <w:ilvl w:val="0"/>
          <w:numId w:val="35"/>
        </w:numPr>
        <w:tabs>
          <w:tab w:val="clear" w:pos="1440"/>
        </w:tabs>
      </w:pPr>
      <w:r>
        <w:t xml:space="preserve">a natural reservoir, as defined in section 4 of the </w:t>
      </w:r>
      <w:r w:rsidRPr="00393E58">
        <w:rPr>
          <w:i/>
        </w:rPr>
        <w:t>Petroleum and Geothermal Energy Act 2000</w:t>
      </w:r>
      <w:r>
        <w:t xml:space="preserve"> (SA), below a depth of 100 metres from the surface of the earth; </w:t>
      </w:r>
    </w:p>
    <w:p w:rsidR="00656C1E" w:rsidRDefault="00656C1E" w:rsidP="00176EF6">
      <w:pPr>
        <w:pStyle w:val="ListNo"/>
        <w:numPr>
          <w:ilvl w:val="0"/>
          <w:numId w:val="35"/>
        </w:numPr>
        <w:tabs>
          <w:tab w:val="clear" w:pos="1440"/>
        </w:tabs>
      </w:pPr>
      <w:r>
        <w:t xml:space="preserve">geothermal energy, as defined in section 4 of the </w:t>
      </w:r>
      <w:r w:rsidRPr="00393E58">
        <w:rPr>
          <w:i/>
        </w:rPr>
        <w:t>Petroleum and Geothermal Energy Act 2000</w:t>
      </w:r>
      <w:r>
        <w:t xml:space="preserve"> (SA)</w:t>
      </w:r>
      <w:r w:rsidR="00BC62C4">
        <w:t>,</w:t>
      </w:r>
      <w:r>
        <w:t xml:space="preserve"> the source of which is below a depth of 100 metres from the surface of the earth.</w:t>
      </w:r>
    </w:p>
    <w:p w:rsidR="00656C1E" w:rsidRDefault="00656C1E" w:rsidP="00656C1E">
      <w:pPr>
        <w:pStyle w:val="NoNum"/>
        <w:ind w:left="720"/>
      </w:pPr>
      <w:r>
        <w:t>For the purposes of this item 3 and the avoidance of doubt:</w:t>
      </w:r>
    </w:p>
    <w:p w:rsidR="00656C1E" w:rsidRDefault="00656C1E" w:rsidP="00176EF6">
      <w:pPr>
        <w:pStyle w:val="ListNo"/>
        <w:numPr>
          <w:ilvl w:val="0"/>
          <w:numId w:val="35"/>
        </w:numPr>
        <w:tabs>
          <w:tab w:val="clear" w:pos="1440"/>
        </w:tabs>
      </w:pPr>
      <w:r>
        <w:t>a geological structure (in whole or in part) on or at the earth’s surface or a natural cavity which can be accessed or entered by a person through a natural opening in the earth</w:t>
      </w:r>
      <w:r w:rsidR="00393E58">
        <w:t>’</w:t>
      </w:r>
      <w:r>
        <w:t>s surface, is not a natural reservoir;</w:t>
      </w:r>
    </w:p>
    <w:p w:rsidR="00656C1E" w:rsidRDefault="00656C1E" w:rsidP="00176EF6">
      <w:pPr>
        <w:pStyle w:val="ListNo"/>
        <w:numPr>
          <w:ilvl w:val="0"/>
          <w:numId w:val="35"/>
        </w:numPr>
        <w:tabs>
          <w:tab w:val="clear" w:pos="1440"/>
        </w:tabs>
      </w:pPr>
      <w:r>
        <w:t xml:space="preserve">thermal energy contained in a hot or natural spring is not geothermal energy as defined in </w:t>
      </w:r>
      <w:r w:rsidR="00393E58">
        <w:t>s</w:t>
      </w:r>
      <w:r>
        <w:t xml:space="preserve"> 4 of the </w:t>
      </w:r>
      <w:r w:rsidRPr="00393E58">
        <w:rPr>
          <w:i/>
        </w:rPr>
        <w:t>Petroleum and Geothermal Energy Act 2000</w:t>
      </w:r>
      <w:r>
        <w:t xml:space="preserve"> (SA);</w:t>
      </w:r>
    </w:p>
    <w:p w:rsidR="00656C1E" w:rsidRDefault="00656C1E" w:rsidP="00176EF6">
      <w:pPr>
        <w:pStyle w:val="ListNo"/>
        <w:numPr>
          <w:ilvl w:val="0"/>
          <w:numId w:val="35"/>
        </w:numPr>
        <w:tabs>
          <w:tab w:val="clear" w:pos="1440"/>
        </w:tabs>
      </w:pPr>
      <w:r>
        <w:lastRenderedPageBreak/>
        <w:t xml:space="preserve">the absence from this Order of any reference to a natural reservoir or a naturally occurring accumulation of a regulated substance, as those terms are defined in section 4 of the </w:t>
      </w:r>
      <w:r w:rsidRPr="00BC62C4">
        <w:rPr>
          <w:i/>
        </w:rPr>
        <w:t>Petroleum and Geothermal Energy Act 2000</w:t>
      </w:r>
      <w:r>
        <w:t xml:space="preserve"> (SA), above a depth 100 metres below the surface of the earth or geothermal energy the source of which is above a depth of 100 metres below the surface of the earth is not, of itself, to be taken as an indication of the existence or otherwise of native title rights or interests in such natural reservoir, naturally occurring accumulation of a regulated substance</w:t>
      </w:r>
      <w:r w:rsidR="00BC62C4">
        <w:t>,</w:t>
      </w:r>
      <w:r>
        <w:t xml:space="preserve"> or geothermal energy.</w:t>
      </w:r>
    </w:p>
    <w:p w:rsidR="00656C1E" w:rsidRDefault="00656C1E" w:rsidP="00393E58">
      <w:pPr>
        <w:pStyle w:val="NoNum"/>
        <w:ind w:left="720" w:hanging="720"/>
      </w:pPr>
      <w:r>
        <w:t>4.</w:t>
      </w:r>
      <w:r>
        <w:tab/>
        <w:t xml:space="preserve">Native title rights have been extinguished in the areas covered by </w:t>
      </w:r>
      <w:r w:rsidR="00BC62C4">
        <w:t>public w</w:t>
      </w:r>
      <w:r>
        <w:t xml:space="preserve">orks (including the land defined in </w:t>
      </w:r>
      <w:r w:rsidR="00393E58">
        <w:t>s</w:t>
      </w:r>
      <w:r>
        <w:t xml:space="preserve"> 251D of the Native Title Act) which were constructed, established or situated prior to 23 December 1996 or commenced to be constructed or established on or before that date.</w:t>
      </w:r>
    </w:p>
    <w:p w:rsidR="00656C1E" w:rsidRDefault="00BC62C4" w:rsidP="00393E58">
      <w:pPr>
        <w:pStyle w:val="NoNum"/>
        <w:ind w:left="720" w:hanging="720"/>
      </w:pPr>
      <w:r>
        <w:t>5.</w:t>
      </w:r>
      <w:r>
        <w:tab/>
        <w:t>Public w</w:t>
      </w:r>
      <w:r w:rsidR="00656C1E">
        <w:t>orks constructed, established or situated after 23 December 1996 have had such effect as has resulted from Part 2, Division 3, of the Native Title Act or as agreed pursuant to the Far West Coast Native Title Claim Settlement ILUA.</w:t>
      </w:r>
    </w:p>
    <w:p w:rsidR="00656C1E" w:rsidRDefault="00656C1E" w:rsidP="00393E58">
      <w:pPr>
        <w:pStyle w:val="NoNum"/>
        <w:ind w:left="720" w:hanging="720"/>
      </w:pPr>
      <w:r>
        <w:t>6.</w:t>
      </w:r>
      <w:r>
        <w:tab/>
        <w:t xml:space="preserve">Native title rights have been extinguished over all roads which have been delineated in a public map pursuant to </w:t>
      </w:r>
      <w:r w:rsidR="00393E58">
        <w:t>s</w:t>
      </w:r>
      <w:r>
        <w:t xml:space="preserve"> 5(d)(II) of the </w:t>
      </w:r>
      <w:r w:rsidRPr="00393E58">
        <w:rPr>
          <w:i/>
        </w:rPr>
        <w:t>Crown Lands Act 1929</w:t>
      </w:r>
      <w:r>
        <w:t xml:space="preserve"> (SA) or s</w:t>
      </w:r>
      <w:r w:rsidR="00393E58">
        <w:t xml:space="preserve"> </w:t>
      </w:r>
      <w:r>
        <w:t xml:space="preserve">70(3) or (4) of the </w:t>
      </w:r>
      <w:r w:rsidRPr="00393E58">
        <w:rPr>
          <w:i/>
        </w:rPr>
        <w:t>Crown Land Management Act 2009</w:t>
      </w:r>
      <w:r>
        <w:t xml:space="preserve"> (SA) or which have otherwise been validly establishe</w:t>
      </w:r>
      <w:r w:rsidR="00BC62C4">
        <w:t>d pursuant to South Australian s</w:t>
      </w:r>
      <w:r>
        <w:t>tatute or common law as shown in brown on the maps in Schedule 2.</w:t>
      </w:r>
    </w:p>
    <w:p w:rsidR="00656C1E" w:rsidRDefault="00656C1E" w:rsidP="00656C1E">
      <w:pPr>
        <w:pStyle w:val="NoNum"/>
      </w:pPr>
      <w:r>
        <w:t>7.</w:t>
      </w:r>
      <w:r>
        <w:tab/>
        <w:t>List of Parcels:</w:t>
      </w:r>
    </w:p>
    <w:p w:rsidR="00765D52" w:rsidRDefault="00656C1E" w:rsidP="00656C1E">
      <w:pPr>
        <w:pStyle w:val="NoNum"/>
      </w:pPr>
      <w:r>
        <w:t>Note: Please refer to Schedule 2 (separate bound document) for further detail where a portion of a parcel is indicated</w:t>
      </w:r>
      <w:r w:rsidR="00BC62C4">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11"/>
        <w:gridCol w:w="1976"/>
        <w:gridCol w:w="1701"/>
        <w:gridCol w:w="3402"/>
      </w:tblGrid>
      <w:tr w:rsidR="00393E58" w:rsidRPr="00185603" w:rsidTr="00BC62C4">
        <w:trPr>
          <w:trHeight w:val="340"/>
          <w:tblHeader/>
        </w:trPr>
        <w:tc>
          <w:tcPr>
            <w:tcW w:w="2434" w:type="dxa"/>
            <w:gridSpan w:val="2"/>
            <w:shd w:val="clear" w:color="auto" w:fill="F2F2F2"/>
            <w:noWrap/>
            <w:vAlign w:val="center"/>
            <w:hideMark/>
          </w:tcPr>
          <w:p w:rsidR="00393E58" w:rsidRPr="00185603" w:rsidRDefault="00393E58" w:rsidP="00000E57">
            <w:pPr>
              <w:rPr>
                <w:rFonts w:ascii="Calibri" w:hAnsi="Calibri"/>
                <w:b/>
                <w:bCs/>
                <w:color w:val="000000"/>
                <w:sz w:val="22"/>
                <w:szCs w:val="22"/>
              </w:rPr>
            </w:pPr>
            <w:r w:rsidRPr="00185603">
              <w:rPr>
                <w:rFonts w:ascii="Calibri" w:hAnsi="Calibri"/>
                <w:b/>
                <w:bCs/>
                <w:color w:val="000000"/>
                <w:sz w:val="22"/>
                <w:szCs w:val="22"/>
              </w:rPr>
              <w:t>DCDBID</w:t>
            </w:r>
          </w:p>
        </w:tc>
        <w:tc>
          <w:tcPr>
            <w:tcW w:w="1976" w:type="dxa"/>
            <w:shd w:val="clear" w:color="auto" w:fill="F2F2F2"/>
            <w:noWrap/>
            <w:vAlign w:val="center"/>
            <w:hideMark/>
          </w:tcPr>
          <w:p w:rsidR="00393E58" w:rsidRPr="00185603" w:rsidRDefault="00393E58" w:rsidP="00000E57">
            <w:pPr>
              <w:rPr>
                <w:rFonts w:ascii="Calibri" w:hAnsi="Calibri"/>
                <w:b/>
                <w:bCs/>
                <w:color w:val="000000"/>
                <w:sz w:val="22"/>
                <w:szCs w:val="22"/>
              </w:rPr>
            </w:pPr>
            <w:r w:rsidRPr="00185603">
              <w:rPr>
                <w:rFonts w:ascii="Calibri" w:hAnsi="Calibri"/>
                <w:b/>
                <w:bCs/>
                <w:color w:val="000000"/>
                <w:sz w:val="22"/>
                <w:szCs w:val="22"/>
              </w:rPr>
              <w:t>Hundred</w:t>
            </w:r>
          </w:p>
        </w:tc>
        <w:tc>
          <w:tcPr>
            <w:tcW w:w="1701" w:type="dxa"/>
            <w:shd w:val="clear" w:color="auto" w:fill="F2F2F2"/>
            <w:noWrap/>
            <w:vAlign w:val="center"/>
            <w:hideMark/>
          </w:tcPr>
          <w:p w:rsidR="00393E58" w:rsidRPr="00185603" w:rsidRDefault="00393E58" w:rsidP="00000E57">
            <w:pPr>
              <w:rPr>
                <w:rFonts w:ascii="Calibri" w:hAnsi="Calibri"/>
                <w:b/>
                <w:bCs/>
                <w:color w:val="000000"/>
                <w:sz w:val="22"/>
                <w:szCs w:val="22"/>
              </w:rPr>
            </w:pPr>
            <w:r w:rsidRPr="00185603">
              <w:rPr>
                <w:rFonts w:ascii="Calibri" w:hAnsi="Calibri"/>
                <w:b/>
                <w:bCs/>
                <w:color w:val="000000"/>
                <w:sz w:val="22"/>
                <w:szCs w:val="22"/>
              </w:rPr>
              <w:t>Title Reference</w:t>
            </w:r>
          </w:p>
        </w:tc>
        <w:tc>
          <w:tcPr>
            <w:tcW w:w="3402" w:type="dxa"/>
            <w:shd w:val="clear" w:color="auto" w:fill="F2F2F2"/>
            <w:noWrap/>
            <w:vAlign w:val="center"/>
            <w:hideMark/>
          </w:tcPr>
          <w:p w:rsidR="00393E58" w:rsidRPr="00185603" w:rsidRDefault="00393E58" w:rsidP="00000E57">
            <w:pPr>
              <w:rPr>
                <w:rFonts w:ascii="Calibri" w:hAnsi="Calibri"/>
                <w:b/>
                <w:bCs/>
                <w:color w:val="000000"/>
                <w:sz w:val="22"/>
                <w:szCs w:val="22"/>
              </w:rPr>
            </w:pPr>
            <w:r w:rsidRPr="00185603">
              <w:rPr>
                <w:rFonts w:ascii="Calibri" w:hAnsi="Calibri"/>
                <w:b/>
                <w:bCs/>
                <w:color w:val="000000"/>
                <w:sz w:val="22"/>
                <w:szCs w:val="22"/>
              </w:rPr>
              <w:t>Park Name</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D26689A1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5932/351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D50074A61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5643/328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D50074A62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5643/329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D50078A65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5666/926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D51851A66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5666/927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D84959A71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6067/633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D84959A72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6067/634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H630100S1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5520/658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543/61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5517/135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5520/658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5685/960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5495/122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5562/663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5562/663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5495/122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5517/135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5932/461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6067/635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5932/351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5951/923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5495/122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5495/122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H630100S48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5562/663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H630100S4S</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5463/709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H630100S6C</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5824/259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H630100S7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BAGSTER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D26947A10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D26947Q11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D26947Q12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F56672A3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F56672A4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F56672A5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F56672A6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F56672Q1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F56672Q2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H660100B5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5428/188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H660100S12A</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5730/469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5982/204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5965/801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H660100S29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1117/41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5982/204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5940/239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5199/215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5965/801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5982/204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H660100S9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BARTLETT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H620100S1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BICE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1370/30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H620100S2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BICE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1370/30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H620100S22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BICE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1370/30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H620100S3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BICE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1370/30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H620100S30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BICE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H620100S4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BICE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1370/30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D26560A1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5920/94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D26560A2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5920/95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D26560A3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5210/832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D26560A4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5920/96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D47859A101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5497/325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D79712A602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6048/332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D79712A603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F113794Q10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5206/782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F113794Q11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5206/782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5406/831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5461/137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5947/11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5971/424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5947/482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5977/959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5977/959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5768/178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5412/742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6022/769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H660200S33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Laura Bay Conservation Reserve (Laura Bay Conservation Park (proposed))</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Laura Bay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Laura Bay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5771/295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Laura Bay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6078/344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5768/179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5999/665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H660200S9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BLACKER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5999/665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C25459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5532/60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5532/59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5532/58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5137/583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5328/713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5328/714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5532/57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5782/996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5506/695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5102/669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5328/712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5328/715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D10087A27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5328/717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5492/225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5327/387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5328/718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5295/107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5210/746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5314/80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5180/440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5914/829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5539/972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5539/606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5539/973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D10087A39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5795/701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D10652A16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D10652A26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5507/96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D10666A1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5510/497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D10666A2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5296/683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D10666A3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5296/684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D10666A4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5296/685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D10666A5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6046/510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D10666A6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5643/960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5445/644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5428/593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5505/232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5117/252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5290/140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D10738A26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5228/754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5366/548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5366/596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5366/597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5366/993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5366/598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5903/906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5362/907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5062/240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5299/56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5366/994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5401/120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5127/752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D10738A55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5366/619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5823/741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5093/24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D10738A9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5265/676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5368/775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5318/534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5116/341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5306/23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5365/562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5070/326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5299/946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5552/422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5314/982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5092/761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5316/711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D10801A9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5318/425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D10894A47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5492/611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5492/610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5492/609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5492/608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5492/607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5492/606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5492/605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D10894A9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5129/145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5628/239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D10895A21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5109/441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5735/507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5735/418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5553/947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D10895A80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5553/948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6094/62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5486/354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D10965A11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5486/355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5486/216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5486/121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5486/195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5112/960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5486/352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5486/210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5241/358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5486/209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5486/353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D10965A9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5142/68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D13837A1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5200/619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D15528A1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5344/242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D15528A2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5297/80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D15828A5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5453/836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D15828A6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5810/451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D15828A7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5453/670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D16098A1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5701/581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D16098A2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5701/580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D16098A3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5304/942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D16098A4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5304/941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D17448A1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5694/351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D17448A2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5694/350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D18053A29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5287/153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D18413A21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5458/297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D18413A22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5165/461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5386/404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5090/571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5090/572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5302/662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5342/570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5090/570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D19031A3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5386/424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5280/39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5386/401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5074/810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5085/156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5386/412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D19031A9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5382/566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D19070A37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5457/858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D19087A14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5450/125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D19087A15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5390/415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D19087A16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5450/94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D19087A17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5450/91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D19087A18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5450/126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D19087A19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5449/952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D19087A20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D19432A1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5453/247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D19432A2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5453/107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D20152A15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5399/968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D20152A16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5400/438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D20581A21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5104/910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D20581A23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5107/744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D20800A13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5442/675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D20800A14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5354/754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D21160A1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D21160A3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5682/538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D22624A1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5440/930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D22624A2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5104/560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D22807A1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5438/760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D22807A2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5285/844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D23145A13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5504/707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D23186A50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5200/590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D23820A200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5433/438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D23820A201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5433/437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D23820A202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5384/815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D23820A203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5150/739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D23820A204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5384/770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D25983A50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5427/913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D26533A40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5785/292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D26885A15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D27231A4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D27231A5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5696/307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D28107A8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5763/732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D28107A9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5763/732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D28108A11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5752/741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D28142A1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D28142A3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D28358A26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6031/579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D28358A27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5753/208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D28798A11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5752/742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D28798A12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5748/145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D29140A17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5309/822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D33418A102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5752/748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D34496A103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5425/84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D34496A104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D36022A171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5111/474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D36022A172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5111/475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D36322A435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D36485A45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5121/959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D36485A46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5121/960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D38251A1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5216/700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D38251A2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5216/701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D38251A3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5216/702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D38467A1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5955/841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D38467A2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5795/959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D38467A3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5203/793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D38467A4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5704/647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D38467A5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5812/912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D38467A6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5711/772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D38467A7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D38467A8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5203/794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D38719A14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5164/765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D38719A15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5164/766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D38719A16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5164/767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D38764A70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5681/885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D40131A11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5263/842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D40131A12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5263/842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D40262A21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5209/675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D40262A22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5209/676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D42624A31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5319/768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D42624A32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5319/769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D42624A33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5319/770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D45510A81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5403/637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D45510A82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5403/638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D45533A25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5431/718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D45533A27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5431/720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D45585A19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5354/224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D45891A5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D45891Q1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D45891Q2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D46380A21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5674/884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D46701A6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5402/34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D46701A7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5402/35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D47147A71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5508/569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D47147A72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5508/570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D47328A41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5505/865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D47328A42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5505/866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D47740A93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5517/567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D47972A10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5980/81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D49777A10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5585/240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5283/471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5616/878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5655/850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5658/355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6019/636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5336/904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5367/964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5352/888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5606/636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5633/337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5247/165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5325/984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5352/889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5590/759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5410/966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D5120A9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5321/335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5161/423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5680/350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5210/779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5411/157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5310/68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5221/993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5677/975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5652/841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5184/232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5605/77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D5211A59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5635/125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D52203A51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5731/971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D52361A61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5706/171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D52361A62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5706/172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D52794A6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D53108A2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6055/194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D53902A21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5835/120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D53902A22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6112/982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D53905A1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5749/529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D53905A2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5749/530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D54370A12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5830/637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D55491A21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5882/639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D55492A20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6112/981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D55492A21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5830/639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D57108A51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5851/234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D57108A52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5851/235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D57108A53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5851/236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D57833A7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5920/163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D57833A8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6072/962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D58181A20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5864/859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D58181A21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5864/860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D58454A101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5891/31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D58454A102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5891/32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D58538A51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5934/455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D59004A2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5870/355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D60523A51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5882/615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D60523A52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5882/616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D61368A51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5907/92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D61368Q52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5956/767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D61368Q53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5956/767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D61956A61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D61956A62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6096/959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D61956A63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5899/32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D62750A300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5903/620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D62750A301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5903/621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D63113A1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5918/570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5910/219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5910/220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5910/221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6115/308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5921/696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5910/224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5910/225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D63378A208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5910/226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D63816A3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5928/28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5171/554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5516/452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5613/909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5515/227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5592/659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5303/102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5659/839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5616/874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5622/64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5516/451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D6570A9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D66555A300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5939/651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D66622A31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5937/508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D67217A31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5963/224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D67217A32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5950/910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D67217A33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5950/911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D67217A34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5950/912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D67217A35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5950/913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D68204A31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5952/156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D68204A32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D68204A33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5952/158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D68277A55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5954/987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D68277A56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5954/988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D69738A200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D70257A800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6005/342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D70257A801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6005/343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D70555A61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5963/221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D70555A62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5963/222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D70555A63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6010/441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D70579A33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5964/301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D70579A34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5964/302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D70691A54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5975/910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D70691A55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5975/911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D70691A56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5975/912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D70761A46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5978/427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D70761A47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5978/428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D71319A31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5975/804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D71319A32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5975/805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D73255A53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5984/815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D73255A54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5984/816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D76358A32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6009/950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D77316A36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6010/394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5318/708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5281/574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5245/598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5317/762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5220/755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5318/681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5220/725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5318/655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5318/636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2730/145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5318/847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D7847A9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5318/987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D78789A1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6028/924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D78789A11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6028/928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D78789A2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6028/925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D78789A3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6028/926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D78789A4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6028/927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D79758A51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6028/962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D80092A100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6045/328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D80092A200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6045/329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D80124A42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6031/620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D80124Q100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6031/621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D80124Q101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6031/621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D80338A1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6041/196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D81587A120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D81988A1002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D81988A1003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D81988A121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D81988A2003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D81988A275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D81988A283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D81988A55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6111/758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D81988A86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6046/799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D81988A99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D81988Q1000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D81988Q1001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D82716A103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6050/557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D83361A199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D83361A284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D83361A285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D83361A504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D83361A901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D83361A902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6055/823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D83403A50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6075/291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D83403A51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6075/292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D83795A51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6058/683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D83795A52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6058/684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D83856A600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6068/601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D83856A601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6068/602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D84089A50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D84089A51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6059/890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D84185A41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6066/336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D84185A42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6066/337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D84506A100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6063/156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D84506A101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6063/157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6072/599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D84606A109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6072/607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D84739A50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6065/933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D84739A51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6065/934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5795/704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5570/518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5570/447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5570/517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5795/703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5795/702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D8493A4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5570/522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5570/521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5156/386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5570/520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5321/804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D8493A9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5752/170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D86186A1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6074/998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D86186A2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6074/999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D86186A3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D86186A4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D86186A5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D86517A1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6076/37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D86517A2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6076/38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D86755A51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6077/967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D86755A52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6077/968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D86912A130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6078/922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D87004A7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6079/990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D87157A100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6080/843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D87157A101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6080/844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D87157A102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6080/845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D87157A103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6080/846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D87157A104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6080/847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D87157A105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6080/848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D87157A106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6080/849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D87523A188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6082/579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D87523A189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D87523A201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6082/581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D87523A204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6082/584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D87523A205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6082/585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D87523A217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6082/586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D87523A218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6082/587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D87605A91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6086/135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D87605A92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6086/136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D87844A10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6086/159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D87844A11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6086/160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D87918A1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6086/133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D87918A2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6086/134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D87922A301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6093/408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D87922A302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6093/409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D87978A901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6085/190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D89048A125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6092/879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D89432A30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D89432A31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6097/181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D89875A21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D89875A22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D89875A23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6100/551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D89875A24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6100/552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D89875A25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6100/553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D90089A101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6100/774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D90089A102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6100/775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D90396A122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6102/344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D90396A123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6102/345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D90396A124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6102/346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D90396A3003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6102/347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D90597A21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6111/144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D90597A22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6111/145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5326/593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5561/142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5789/903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5312/187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5560/446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5314/613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5560/445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5198/522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5226/190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5278/273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5244/311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5559/893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5399/400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5559/912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5560/444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5559/822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5740/447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D9109A40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5560/443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D9109A41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5559/914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5341/221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5307/540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5122/825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5292/411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5341/198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5254/201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5326/467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5341/199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5341/145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5327/110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5341/205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5299/943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5341/195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5298/151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5189/478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5335/586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5331/285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5306/783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5305/896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5307/135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5307/138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5307/148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5306/870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D9111A68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5307/134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D91183A61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6110/381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D91183A62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D9120A112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D9120A113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5782/995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D9120A30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5405/171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5207/467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5153/883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5562/409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5472/958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5991/620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5558/234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5828/78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5204/31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5490/942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5235/910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D9120A64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5967/919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3553/193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D9120A66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3553/193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5561/989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5198/552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5561/502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5561/579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5561/988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5561/541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5561/987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5561/986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D9121A111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5561/985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5382/498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5336/272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5562/403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5215/240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5353/341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5561/688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5254/526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5561/724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5339/133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5270/624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5561/509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5817/670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D9121A82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5562/394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5561/983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5308/789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5247/251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5308/352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5308/280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5308/286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5308/609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5308/414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5308/610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5308/356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5308/357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D9121A99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5308/358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F100748A6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5106/136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F102653A3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5122/914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F10316A11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5824/447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F10316A12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5824/448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F10316A13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5255/586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F10494A106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5074/697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F10494A107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6013/426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F105492A3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5163/45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F10555A5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5494/395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F10555A6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F10637A25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5215/106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F10637A27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5463/738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F106921A8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5178/754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F108394A1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5193/932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F108394A2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5193/932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F110017A1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5199/935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F11003A1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5877/22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F11003A2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5877/23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F11003A3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5291/98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F11153A4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5292/332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F11153A5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5496/619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F12017A6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F12017A7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5496/534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F12017A8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5496/409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F1203A1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F126070A2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5229/218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F12650A3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5492/822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F12650A4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5494/909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F128554A3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5233/259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F138116A2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5253/193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F142863A3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5262/329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F142932A3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5262/787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F147427A2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5270/492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F148316A4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5272/644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F148317A5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5272/501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F15817A31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5479/849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F15817A32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5303/661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F15817A35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5481/196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F15817A36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5865/63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F15950A30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5302/829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F160468A2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5292/299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F16104A5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5481/160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F16104A6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5193/521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F16105A1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5481/278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F16105A3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5064/2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F16105A4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5863/734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F161508A95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5297/786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F163742Q81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5304/943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F163742Q82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5304/943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F164706A92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5309/661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F16597A1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5368/600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F16597A2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5270/609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F16690A1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5092/89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F170659A91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5327/109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F171173A91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5334/190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F171509A91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5341/659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F173124A92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5347/925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F180572A540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F180573A541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5783/78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F180574A542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5560/518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F180576A544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5554/70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F180578A546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5355/907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F180579A547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5612/519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F180580A548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5639/997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F180581A549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6046/509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F180582A550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5802/639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F180584A552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F180585A553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F180586A554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5598/606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F180587A555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5764/975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F180588A556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F180589A557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5828/698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F180590A558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5722/176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F180591A559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5541/618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F180592A560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5819/498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F180593A561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5756/904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F180594A562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5798/947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F180595A563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5798/946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F180596A564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5712/12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F180598A566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5447/870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F180599A567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5448/546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F180600A568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5807/362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F180601A569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5807/771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F180603A571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5695/538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F180605A573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5814/77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F180606A574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6012/983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F180607A575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5482/673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F180608A576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5482/388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F180611A579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5605/677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F180612A580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5732/258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F180613A581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5547/149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F180614A582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5688/957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F180615A583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5697/146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F180616A584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5697/145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F180617A585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5697/144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F180621A589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5358/893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F180622A590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5366/14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F180623A591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5441/206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F180624A592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5786/931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F180625A593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5735/114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F180626A594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5554/218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F180627A595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5554/256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F180628A596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5773/563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F180629A597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F180634A602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5830/954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F180635A603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5754/165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F180636A604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5771/102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F180637A605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5660/764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F180638A606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5761/572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F180639A607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5682/538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F180640A608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5807/266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F180641A609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5372/427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F180642A610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F180643A611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5823/935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F180644A612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F180645A613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5767/972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F180646A614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5767/971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F180647A615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5767/970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F180649A617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5786/925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F180652A620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5786/770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F180653A621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5807/271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F180654A622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5807/274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F180655A623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5350/139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F180656A624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F180657A625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5795/575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F1816A1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5512/752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F1816A2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5349/479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F1816A3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5512/753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F1816A4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5512/719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F18636A11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F18636A12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5474/696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F18927A11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5934/155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F1961A1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5421/495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F1961A11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6067/959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F1961A2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5352/236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F1961A3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5348/885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F1961A7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5510/450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F1961A8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5510/449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F1961A9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5750/232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F200563A92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5363/829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F203833A92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5373/194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F203834A93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5373/107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F207858A92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5682/538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F207976A91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5766/674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F212821A91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6119/178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F212821A92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6119/178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F2132A1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5512/763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F2132A2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5512/764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F213885A115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5616/661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F213885A116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5616/661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F213885A117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5616/661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F213885A118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5616/661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F213885A119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5616/661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F217114A608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5682/538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F219005A100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6069/920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F2389A1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5347/623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F2389A2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5513/621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F2836A1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5514/292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F2836A2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5514/293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5296/284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5099/582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F3017A2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5510/816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F3017A3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5302/784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F3017A4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5511/119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F3018A6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5511/123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F3018A7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5525/526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F3018A8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5525/870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F3018A9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5525/871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F3124A6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5512/751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F3124A7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5357/245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F3252A1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5510/280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F3413A1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5494/345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F3413A2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5393/778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F3413A3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5163/710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F3413A4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5494/346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F3518A1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5093/837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F3518A2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5093/838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F37446A51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5382/793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F4044A1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5511/421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F4044A2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5511/507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F41336Q101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5969/958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F41336Q102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5969/958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F4874A3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5490/930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F4874A6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5318/345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F4874A8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5503/435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F4900A1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5504/60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F4900A2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5394/777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F5368A99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F6237A1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5507/880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F6237A2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5121/77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F6558A2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5151/54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F6558A3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5077/255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F6783A1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5498/286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F6783A2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F6948A11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5392/223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F6948A12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5496/156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F6948A13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5233/965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F6948A14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5118/518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F7750A13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1819/164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F8698A16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5496/206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F8698A17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5495/820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F8698A18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5121/852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F8698A19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5361/881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F8718A21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5333/250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F8718A22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F8718A23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H660300S1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5784/173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5503/645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Wittelbee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5458/76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5458/76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5865/819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5580/369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5643/266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5611/742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5712/570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5649/51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5608/146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5319/878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5497/268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5505/113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5696/820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5699/324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5696/307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5441/296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5753/208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5332/990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5441/296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5724/291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5721/491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5302/254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H660300S191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5982/835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5560/167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H660300S198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5541/875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5288/365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5605/17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5605/355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5269/811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5607/894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5248/163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5327/990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5438/912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5576/441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5471/650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5925/643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5576/895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5446/144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5759/673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5925/643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5424/686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5842/904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H660300S255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H660300S257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H660300S258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H660300S261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H660300S262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5749/666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H660300S269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5746/512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6116/207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5448/635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1607/21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5462/348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H660300S279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5746/514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5327/990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5746/515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5430/932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5758/617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5431/276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5431/274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5898/681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5758/617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5553/627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5454/240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5300/196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5386/125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5139/540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5459/693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5459/791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5459/559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5897/407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H660300S32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5553/628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5963/952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5757/11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5968/194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5723/427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5603/804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5720/496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5720/814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5269/678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5466/922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5287/243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5353/539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5430/550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5453/486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5329/194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5329/223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5657/136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5676/847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5729/514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5528/673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5682/538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5969/231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H660300S99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R1639AEE</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R1639AFF</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R1639AGG</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R1639AHH</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R1639AQQ</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R5058AB</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5699/324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R6471AA</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R6471AB</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R6471AC</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R6471AD</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R6471AE</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R6471AF</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R6471AG</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R6471AH</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5682/538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R7044AA</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5682/538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R7974AB</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R7 974/B</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5221/644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5743/860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5745/22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5407/348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5745/23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5472/918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5632/524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5745/24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5224/766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5745/25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5516/187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5744/402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5264/567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5696/570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5228/399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5299/198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6030/926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5797/405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5745/213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5458/682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T660301A120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5562/665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5726/247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5744/395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5744/399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5744/396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5407/383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5407/577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5612/400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5744/400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5915/484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5562/748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5454/710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5182/427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5465/586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5835/555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5893/189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5852/519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5761/152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5581/502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5600/491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5636/528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5811/832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5636/168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5581/505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6088/157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5601/101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T660301A155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5636/166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5413/635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5242/346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5340/22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5516/701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5600/659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5599/370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5498/717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5636/165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5488/750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5602/191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5601/694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5600/531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5600/805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5580/402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5386/761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5539/154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5753/857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5663/764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5389/542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5157/224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5602/190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T660301A187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5599/369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5599/150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T660301A191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5733/265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5733/265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5641/936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5532/313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5244/623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5302/609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5355/136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5648/782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5786/560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5703/478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5640/356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5640/357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5197/355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5534/480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5796/218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5722/823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5773/226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5462/911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5405/904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5221/646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5175/963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5175/917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5375/359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5505/668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5476/322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T660301A64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5301/66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5812/523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5485/966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5835/450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5176/31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5221/648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5786/562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5959/50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5921/361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5781/801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5717/908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5717/907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5543/47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5808/638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5221/648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5746/716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5847/374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6079/272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5649/196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5474/203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5743/857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5228/147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5743/858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5441/835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5743/859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5457/174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5528/552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5489/818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T660301A99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5527/341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5754/679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5754/260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T660302A13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5739/610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5371/137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5187/755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5450/675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5268/697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5513/485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5227/25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5208/932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5284/570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5404/462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5200/867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5276/636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5276/637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5691/580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5781/405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5724/39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6079/635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5781/406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5539/992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5600/101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5777/224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5154/444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5318/983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5634/361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5758/832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5379/26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5709/873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5506/810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5752/741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5491/831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T660302A6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5755/973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5465/20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T660302A8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5779/394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5207/850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5320/302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5753/392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5181/420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5880/548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5725/935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5733/114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5275/951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5557/686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5291/320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5749/887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5439/606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5534/241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5532/877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5715/523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5347/340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5740/963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5589/230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5752/462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5727/99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5752/461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5614/950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5752/465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5305/762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T660303A131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5707/87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5446/309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5768/899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5193/569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5492/197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5476/284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5489/825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5495/332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5483/830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5138/785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5493/120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T660303A161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5490/451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5214/878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5717/897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5493/370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5233/799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5252/328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5493/370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5376/872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5482/851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5283/445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5784/577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5457/693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5499/776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5487/808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5600/669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5298/855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5280/785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5144/114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5724/369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5650/281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5740/523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T660303A198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5412/520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5207/850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5716/433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5679/851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5485/706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5741/819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5566/569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5275/620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5335/187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5335/170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5327/386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5375/747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5876/993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5929/953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5740/522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5347/108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5749/792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5184/361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5539/86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5711/776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5784/494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5689/857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5720/232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5749/886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5442/718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5637/880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5602/214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5199/879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5599/371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5457/657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5671/137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5691/945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5646/216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T660303A229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5673/351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6030/930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5326/551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5637/895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5387/109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5723/330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5601/182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5850/44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5300/514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5300/515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5347/199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5432/240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5569/275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5488/731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5484/872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5751/276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5484/654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5344/72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5446/278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5189/89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5526/261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5490/207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5600/524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T660303A258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6100/601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5600/811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5144/843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5507/591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5707/125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5711/768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5202/756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5387/460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5496/226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5487/636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5749/885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5487/224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5489/266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5488/732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5186/709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5490/450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5194/820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5539/696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5495/480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5569/302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5438/222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5488/730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5506/860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5466/411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5492/950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5495/344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T660303A289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5749/884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5398/178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5475/173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T660303A299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5717/896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5175/947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5175/948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5466/970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5261/261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5447/863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5472/954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5467/29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5162/948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5949/792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5162/337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5233/353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T660303A322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5211/467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5473/279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5473/557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5473/286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5390/351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5274/470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5473/103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5352/854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5463/795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5462/206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6065/261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5459/219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5298/856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5168/935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5473/811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5460/543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5463/626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5289/328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5332/771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5831/591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6119/334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5473/418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6115/471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5387/253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5388/411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5832/495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5683/893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5714/992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5834/242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5529/228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T660303A352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5855/981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5674/689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5403/880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5751/580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5751/581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5749/826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5715/394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5532/572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5714/930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6005/100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5530/420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5515/755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5585/929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5296/410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5565/141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5412/363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5749/775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5898/130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5915/916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5495/673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5347/335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5594/646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5657/244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5657/245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5686/506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5686/507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5178/775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5686/507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5577/747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5577/747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5751/275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5399/313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5729/24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5751/274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5198/231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5299/486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5157/155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5178/775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5758/889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5722/547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5182/266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5275/721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5607/781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5751/272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5752/446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5713/740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5210/478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5752/559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5753/395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5753/395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5753/394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5533/200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5330/346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5723/841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5680/972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6030/927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5471/918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T660303A90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5262/883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5355/774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5538/909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5723/983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5689/858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5526/256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5927/327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5753/393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5753/393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T660303A99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BONYTHON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5577/840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D12313A2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5945/485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D13914A1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5429/153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D13914A2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5740/921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D20969A4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5449/48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D20969A5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5449/230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D33736A6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5067/570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D33736A7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5067/572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D33736A8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5067/571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D34020A21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5070/515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D34020A22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5070/516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D35841A2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5102/412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D37741A51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5159/683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D37741Q52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5159/684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D37741Q53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5159/684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D37741Q54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5159/684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D37741Q55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5159/684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D52296A101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5749/540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D52296A102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5749/541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D63051A20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5905/573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D63051A21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5905/574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D65361A11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5997/539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D65361A12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5926/581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D69849A91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6061/590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D69849A92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6061/589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D69849A93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5961/107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D69849A94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5961/108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D69849A95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5961/109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D70326A30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5963/869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D73061A61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5983/951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D73061A62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5983/952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D73061A63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5983/953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D77145A42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D78196A11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6019/260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D78196A12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6019/261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D78196A13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6019/262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D80411A53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6035/366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D81826A54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6050/886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D82340A51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6059/894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D82340A52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6059/895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D84979A72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6091/450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D86157A3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6074/906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D86157A4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6074/907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D86521A11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6080/436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D86521A12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6080/437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D86521A13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D86521A14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6080/439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D86521A15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6080/440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D86521A16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6080/441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D86598A98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6092/693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D86598A99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6092/694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D90600A21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6105/228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D90600A22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6105/229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D90600A23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6105/230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D90728A100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6113/525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D90728A81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6113/524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F101080A3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5104/39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F10652A3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5822/315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F10652A4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5822/314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F11554A1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5845/429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F11554A3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5912/192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F122729A3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5217/337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F178376A91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5342/386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F199225A331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5813/21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F199226A332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5744/276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F199227A333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5973/368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F199228A334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5817/441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F199229A335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5404/26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F209750A106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5547/631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F209750A107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5547/631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F209750A108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5547/631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F209750A109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5547/631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F213395A91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5572/553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F217110A91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5699/325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H630200S100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5988/255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5757/995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5758/706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5471/254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5834/640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5834/640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5834/640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5834/640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5988/255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H630200S18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5908/176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5796/856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5630/125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5630/126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5542/282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5912/191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5892/865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5483/980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5345/952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5662/747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H630200S5A</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5977/468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5699/325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5699/325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5945/485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5945/485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085C4C" w:rsidTr="00BC62C4">
        <w:trPr>
          <w:trHeight w:val="402"/>
        </w:trPr>
        <w:tc>
          <w:tcPr>
            <w:tcW w:w="2423" w:type="dxa"/>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H630200S68</w:t>
            </w:r>
          </w:p>
        </w:tc>
        <w:tc>
          <w:tcPr>
            <w:tcW w:w="1987" w:type="dxa"/>
            <w:gridSpan w:val="2"/>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BURGOYNE</w:t>
            </w:r>
          </w:p>
        </w:tc>
        <w:tc>
          <w:tcPr>
            <w:tcW w:w="1701" w:type="dxa"/>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CR 5749/654</w:t>
            </w:r>
          </w:p>
        </w:tc>
        <w:tc>
          <w:tcPr>
            <w:tcW w:w="3402" w:type="dxa"/>
            <w:shd w:val="clear" w:color="auto" w:fill="auto"/>
            <w:noWrap/>
            <w:vAlign w:val="center"/>
            <w:hideMark/>
          </w:tcPr>
          <w:p w:rsidR="00393E58" w:rsidRPr="00085C4C" w:rsidRDefault="00393E58" w:rsidP="00000E57">
            <w:pPr>
              <w:rPr>
                <w:rFonts w:ascii="Calibri" w:hAnsi="Calibri"/>
                <w:color w:val="000000"/>
                <w:sz w:val="22"/>
                <w:szCs w:val="22"/>
              </w:rPr>
            </w:pPr>
          </w:p>
        </w:tc>
      </w:tr>
      <w:tr w:rsidR="00393E58" w:rsidRPr="00085C4C" w:rsidTr="00BC62C4">
        <w:trPr>
          <w:trHeight w:val="402"/>
        </w:trPr>
        <w:tc>
          <w:tcPr>
            <w:tcW w:w="2423" w:type="dxa"/>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H630200S69</w:t>
            </w:r>
          </w:p>
        </w:tc>
        <w:tc>
          <w:tcPr>
            <w:tcW w:w="1987" w:type="dxa"/>
            <w:gridSpan w:val="2"/>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BURGOYNE</w:t>
            </w:r>
          </w:p>
        </w:tc>
        <w:tc>
          <w:tcPr>
            <w:tcW w:w="1701" w:type="dxa"/>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CR 5749/655</w:t>
            </w:r>
          </w:p>
        </w:tc>
        <w:tc>
          <w:tcPr>
            <w:tcW w:w="3402" w:type="dxa"/>
            <w:shd w:val="clear" w:color="auto" w:fill="auto"/>
            <w:noWrap/>
            <w:vAlign w:val="center"/>
            <w:hideMark/>
          </w:tcPr>
          <w:p w:rsidR="00393E58" w:rsidRPr="00085C4C" w:rsidRDefault="00393E58" w:rsidP="00000E57">
            <w:pPr>
              <w:rPr>
                <w:rFonts w:ascii="Calibri" w:hAnsi="Calibri"/>
                <w:color w:val="000000"/>
                <w:sz w:val="22"/>
                <w:szCs w:val="22"/>
              </w:rPr>
            </w:pPr>
          </w:p>
        </w:tc>
      </w:tr>
      <w:tr w:rsidR="00393E58" w:rsidRPr="00085C4C" w:rsidTr="00BC62C4">
        <w:trPr>
          <w:trHeight w:val="402"/>
        </w:trPr>
        <w:tc>
          <w:tcPr>
            <w:tcW w:w="2423" w:type="dxa"/>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H630200S99</w:t>
            </w:r>
          </w:p>
        </w:tc>
        <w:tc>
          <w:tcPr>
            <w:tcW w:w="1987" w:type="dxa"/>
            <w:gridSpan w:val="2"/>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BURGOYNE</w:t>
            </w:r>
          </w:p>
        </w:tc>
        <w:tc>
          <w:tcPr>
            <w:tcW w:w="1701" w:type="dxa"/>
            <w:shd w:val="clear" w:color="auto" w:fill="auto"/>
            <w:noWrap/>
            <w:vAlign w:val="center"/>
            <w:hideMark/>
          </w:tcPr>
          <w:p w:rsidR="00393E58" w:rsidRPr="00085C4C" w:rsidRDefault="00393E58" w:rsidP="00000E57">
            <w:pPr>
              <w:rPr>
                <w:rFonts w:ascii="Calibri" w:hAnsi="Calibri"/>
                <w:color w:val="000000"/>
                <w:sz w:val="22"/>
                <w:szCs w:val="22"/>
              </w:rPr>
            </w:pPr>
            <w:r w:rsidRPr="00085C4C">
              <w:rPr>
                <w:rFonts w:ascii="Calibri" w:hAnsi="Calibri"/>
                <w:color w:val="000000"/>
                <w:sz w:val="22"/>
                <w:szCs w:val="22"/>
              </w:rPr>
              <w:t>CR 5767/635</w:t>
            </w:r>
          </w:p>
        </w:tc>
        <w:tc>
          <w:tcPr>
            <w:tcW w:w="3402" w:type="dxa"/>
            <w:shd w:val="clear" w:color="auto" w:fill="auto"/>
            <w:noWrap/>
            <w:vAlign w:val="center"/>
            <w:hideMark/>
          </w:tcPr>
          <w:p w:rsidR="00393E58" w:rsidRPr="00085C4C"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H630200S7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5977/469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5908/176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5869/975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5945/485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5895/11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5977/469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5721/511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5758/710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H630200S89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5869/976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5655/622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5920/602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5962/457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5518/144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5991/710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5869/974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H630200S98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5757/994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5701/299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5337/116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5336/913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5337/115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5834/535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5834/535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5833/179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5833/179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5337/117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T630201A19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5337/118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5812/762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5337/119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5700/885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5721/213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5592/717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5759/689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5759/690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5833/804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5833/808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5664/41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5448/746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5812/762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5761/535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5774/794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5774/794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5294/334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5201/486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5771/10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5322/541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5376/60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5377/930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5812/761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5138/794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5283/882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5283/838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5283/891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5283/839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5808/637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5807/669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5806/336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T630201A48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5343/779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5579/522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5812/761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5283/845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5501/658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5191/937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5523/423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5322/542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5771/10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5674/645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5674/646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5674/647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5485/592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5485/592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T630201A9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BURGOYNE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5247/878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C26705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D28760A1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D28760A2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5422/752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5237/213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5289/826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5259/12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5444/363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5785/291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D28986A19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5393/527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D35363A62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Fowlers Bay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D35535A100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Fowlers Bay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D35535A101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Fowlers Bay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D46191A82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5466/495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D46192A10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5466/496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D46192A11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5466/497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D46192A12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5466/498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D46192A13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5466/499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D46192A14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5466/500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D50412A100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5624/389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D50412A101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5624/390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D50412A103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5624/392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D50412A104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5624/393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D50412Q105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5624/394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D50412Q106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5624/394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D58608A71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5869/808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D58608A72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5869/809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D58608A73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5869/810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D58608A74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5869/811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D58608A75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5869/812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D58608A76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5869/813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D58608A77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5869/814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D67478A208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D67478A209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5952/985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D78000A14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6047/861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D78000Q11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D86479A100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6082/281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D86833A1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6082/343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D86833A2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6082/344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F199231A337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5828/477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F199232A338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5812/326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5987/532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5466/502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5684/240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5987/531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1629/14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H620200S56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H620200S57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H620200S58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H620200S61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5530/212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5251/945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5730/188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5161/502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5161/502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5161/502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6013/801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5161/500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5161/501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T620201A22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5513/868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6013/802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5642/127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5693/987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5811/112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5811/112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5811/112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5811/112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5811/112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5811/112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5424/918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5346/43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5391/412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5443/702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5443/625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5443/704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5443/593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5443/604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5425/109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5443/716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5443/361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5441/973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5793/671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5857/430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5398/688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5260/749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5260/729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5426/986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5440/454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6026/314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5816/146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5777/984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T620201A54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5816/146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5806/615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5380/690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5509/890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5509/891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5632/217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5426/978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5793/311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5807/585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5345/769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5529/65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5668/541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5482/149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5336/579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T620201A8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CALDWELL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5336/580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D23231A1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F180558A526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5462/656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F207857A91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5505/829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F216663A100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5652/464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F218263A77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5953/369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F218842Q701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F46475A9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5950/309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5574/838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5988/736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6018/993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5971/729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5988/736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H610100S20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5965/353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5877/227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5877/227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5877/227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6039/143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5986/668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5986/668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5834/162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5986/668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5424/365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5424/365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5988/736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5988/736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5459/525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5698/493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6039/143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5574/364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5574/364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5939/958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H610100S9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CARAWA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5940/607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D25133A1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5358/766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D25133A2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5781/918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D30308A1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5752/743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D47951A21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5620/47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D52262A100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5685/865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D52262A101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5685/866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D70657A100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D70657Q101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5964/209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D70657Q102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5964/209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D78342A51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D78342A52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D78342A53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D78342A54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D85439A1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6073/828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D85439A2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6073/829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5466/514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5944/930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5952/723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5439/121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5955/599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5506/654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6007/578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6007/580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5903/245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5903/245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5969/946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1591/81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1591/81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5903/244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H660400S34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6007/576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1591/81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5944/930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5518/434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6007/577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6007/581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6007/582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5439/121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5698/492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5533/635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5969/946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5393/960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H660400S9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CATT</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D51834A50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D51834A51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H660500S1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5883/888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5474/583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5540/120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5208/825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5975/875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5534/644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5491/651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5491/651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5542/251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5431/370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5679/106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5679/106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5844/384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5844/384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5474/583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5491/651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H660500S41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5883/889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5648/348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H660500S56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5974/615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5457/431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5883/888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H660500S9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5883/889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R1639AO</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R1639AP</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R1639AQ</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CHILLUNDIE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D42048A2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5652/505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D53276A50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5786/200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D53276A51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5786/201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D89539A71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6102/912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D89539A72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6102/913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F206820Q91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5429/154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F206820Q92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5429/154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5345/951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5419/749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5832/318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5930/937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5930/937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5735/954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H630300S25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H630300S2B</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5345/953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5996/845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5970/648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5698/494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5757/996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H630300S39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5652/505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H630300S41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5652/505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5652/505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H630300SROAD</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COHEN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D30584A100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5423/849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D34576A2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5219/650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5444/738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5444/738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H630400S19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5302/919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H630400S24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5993/840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507/49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H630400S7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GILES</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5996/837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D27490Q1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5932/989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D27490Q2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5932/989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D53974A51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5802/89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D53974A52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5802/90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D68712A100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5963/952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D82775A1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6066/423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D82775A2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6066/424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D89346A15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D89346Q16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D89346Q17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D89346Q18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F217938A20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5802/571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F217938Q22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5802/571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F217938Q23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5802/571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F218231Q21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F218231Q22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F219191A149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6055/736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5945/684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994/16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965/47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H660600S12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5438/384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5559/754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5935/273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5966/697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H660600S29A</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5774/250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H660600S29B</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5465/928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5615/384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5927/435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5918/934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5438/385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5918/935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6058/227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5968/977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5966/697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5615/384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5302/254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H660600S47C</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5783/895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H660600S54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6054/407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5945/684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5461/556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5302/254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5317/235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5751/444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5533/636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5917/155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H660600S9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GOODE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1167/22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D26503Q1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D26503Q2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F180559A527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F180560A528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F180561A529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5731/663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F214930Q120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5627/991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F214930Q121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5627/991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F214965Q91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5623/777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F214965Q92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5623/777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F214965Q93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5623/777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5491/842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5818/516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5473/794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5974/211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5639/757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5961/979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H660700S16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5633/454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5339/511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5971/433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5968/87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5968/87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5962/656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5971/433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5971/433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5968/87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5464/904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5730/573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5730/573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5974/211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5759/694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H660700S45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H660700S46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H660700S47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H660700S48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5542/251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5730/573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H660700S7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5730/572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R1639AJ</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R1639AK</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R1639AL</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R1639AM</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5801/398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5207/312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5741/776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5434/728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5565/470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T660701A8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GUTHRIE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5565/470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D28979A1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5425/186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D28979Q2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5876/977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D28979Q3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5876/977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F214693A110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5828/725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5574/838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5622/717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5958/122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5958/122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5957/984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5897/314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5897/314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5198/867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H610200S18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5897/315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5897/315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5608/227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5897/315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6019/701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5958/122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5768/702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5608/227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5198/866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6019/701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5763/190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H610200S39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5763/191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5424/365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5876/977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5477/68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H610200S9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5622/717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R1639AH</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R1639AI</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HAGUE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5699/757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D23195A1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D23195A2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D23195A3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D23195A4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D30585A200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5416/204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D30585A201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D51676A10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6016/238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826/3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5468/234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6071/456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5944/115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1292/25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747/9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727/4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1292/25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1057/44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1057/44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H660800S140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5444/914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5987/804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H660800S255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5419/430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6016/239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5944/115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5944/115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5437/310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5437/310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5437/310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5444/914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6071/456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5437/310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5437/310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5941/220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5437/310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826/3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5931/413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5931/413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H660800S9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HORN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D28245Q51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5951/923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D28245Q52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5951/923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D28245Q53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1144/43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D28245Q54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1144/43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D28245Q55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1144/43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D28245Q56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1144/43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D28245Q57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1144/43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D29464A1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5409/199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D29464A2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866/4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D38294A100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5772/810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Point Bell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1277/9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5468/220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5468/220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5782/630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5468/220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5606/455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5468/220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5468/220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5746/479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5757/997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5606/455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5468/220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866/4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5924/653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H630500S8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744/16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H630500S9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5606/455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R6485AB</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R6485AE</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R6485AG</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R6485AH</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R6485AJ</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R6485AK</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KEITH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D33408A7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1637/26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D33408Q5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1640/47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D33408Q6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1640/47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D34575A10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D49772A10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5833/374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D51316A101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5648/632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D51316A103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5648/633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D55064A20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1625/21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D55064Q10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D55064Q11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D55064Q12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D55064Q13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D55064Q14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5851/904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D58573A110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5880/752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D58573Q106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5880/751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D58573Q107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5880/751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D58573Q108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5880/751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D58573Q109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5880/751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6011/373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1604/60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1604/60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H630600S20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5945/69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5542/282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5765/241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6011/373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5945/69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5440/942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5446/749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5446/748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5434/730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5436/106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5434/388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5446/761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1625/21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6011/373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Chadinga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1625/21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1625/21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1625/21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1625/21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5767/648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5581/527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5310/505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H630600S9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KEVIN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5789/881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1311/19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H620300S2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1311/19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1311/20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1311/19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H620300S31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H620300S32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H620300S33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H620300S34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H620300SROAD</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LUCY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D58198A197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5952/121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D58198A198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5964/304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D58198A199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5936/444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D58198A200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5937/952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D58198Q201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636/43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D58198Q202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636/43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6011/797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6011/798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6011/799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6011/800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D77287A69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6011/802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D77287Q61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6011/796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D77287Q62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6011/796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D77287Q63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6011/796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F209629A91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F219090A1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5302/811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5989/286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5429/360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H630700S17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1555/49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5429/360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5429/360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5429/360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H630700S48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5429/360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5680/48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5962/760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6009/163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5759/692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H630700S88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H630700S89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H630700S90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6000/443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H630700S96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506/32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5841/445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5807/156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T630701A19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5709/575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5841/445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5834/326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5824/835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5824/834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5834/322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5834/322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5834/323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5841/445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5834/321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T630701A9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MAGAREY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5797/157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H620400S1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600/49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H620400S8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MAY</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1588/60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D27137A70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5932/827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D30583A100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5422/701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D30583A101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D30847A100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5101/630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D61858A158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5898/848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F219089A1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578/14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5987/534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5991/428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5991/428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5991/428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5834/613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1433/26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408/16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625/23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354/12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5937/555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H620500S21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415/49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5937/555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945/49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5937/555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558/3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5937/555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1280/47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5749/651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5704/930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H620500S42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H620500S43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H620500S44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5982/349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5834/613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5758/705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H620500S4A</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5794/157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6074/409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6074/409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H620500S9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MILLER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5491/665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6043/81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5463/870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D1806A17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5789/167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5301/608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5060/543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5750/967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5338/372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5076/487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5393/26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5393/25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5921/740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5786/498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5338/373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5563/861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5654/335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1075/59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D1806A9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5820/773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D23348A1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5429/501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D23348A2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5346/705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D23348A3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5424/552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D29291A63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5066/32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D31909A101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5138/45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D45207A73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5595/849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D49769A10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5822/120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D53105A93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5750/965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D53105Q91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5750/964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D53105Q92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5750/964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D53362A101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5746/975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D56121A61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5843/513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D61803A11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5921/955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D61803A15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5921/957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D62813A10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5904/315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D62813A11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5904/316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D66704A1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5938/106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D66704A2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5938/107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D68636A200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5958/495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D68636Q250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5958/496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D68636Q251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5958/496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D71499A204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5973/704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D71499A205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5973/705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D72781A100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5982/158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D74550A201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5991/245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D74550A202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5991/246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D79559A1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6029/777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D79559A2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6029/778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D79559A3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6029/779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D80117A1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6033/453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D80117A2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6033/454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D80117A3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6033/455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D80117A4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6033/456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D80117A5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6033/457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D80117A6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6033/458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D83201A53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6059/153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D83201A54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6059/154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D84421A603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D84421Q600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D84421Q601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D84421Q602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D88336A72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6091/560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D90360A80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6106/954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D90360A81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6106/955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F138053Q3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5254/984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F138053Q4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5254/984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F138054A5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5254/983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F15623A50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5843/511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F170238A92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5315/460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F175392A91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5351/691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F180562A530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5406/613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F180563A531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5830/894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F180564A532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5418/265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F180567A535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5418/264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F180568A536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5828/850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F180569A537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5828/851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F180570A538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5805/171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F208413A93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5498/171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F213229Q95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F213229Q96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F214819A113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5830/900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F217207A85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6110/192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F55447A71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6082/900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H660900B7AE</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5277/637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5440/615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5957/138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5957/138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H660900S1C</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5814/465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H660900S2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5930/432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5193/832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6010/801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5425/240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5884/296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1100/33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5193/832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6010/801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5674/363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5461/766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5842/570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5951/924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6005/906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5678/165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5759/695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H660900S75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5392/707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5392/707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5338/374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5338/493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5338/494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5338/375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5433/688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5433/700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5433/697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5989/447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5757/760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6026/544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H660900S99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5464/418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5540/563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5276/533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5409/525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5463/316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5815/730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5325/492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5325/513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5325/513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5702/157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5702/158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5788/518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5788/518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5293/461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5328/364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5425/119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5142/271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5495/975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T660901A26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5357/887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5639/626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5628/555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5788/517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5303/560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5481/381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5204/92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5484/417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5414/232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5414/75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5722/243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5157/684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5156/744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5518/539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5695/611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5695/611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5467/436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5320/812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5481/559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5523/508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5523/509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5702/159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5894/889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5480/744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5894/889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5918/293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5918/294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5329/592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5322/608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5322/609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5484/418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5498/327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T660901A58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5445/624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5346/627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5654/786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5489/459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5480/181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5515/479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5875/91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5484/419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5469/106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5206/613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T660901A9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MOULE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5359/762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D64585A11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5935/511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D64585A12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D64585A13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D78000Q3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H630800S18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H630800S19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H630800S1E</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211/21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6047/859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5698/491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H630800S7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6024/438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H630800S8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NASH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6000/680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D26515A55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5952/872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D26515A56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D26515A57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5971/429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D26515A58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5494/538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D34367A100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5772/476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5351/146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5940/747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5940/747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5936/385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5870/449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5870/449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5533/476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5870/449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5870/449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5476/829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H610500S9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NUNNYAH</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5480/791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F37823A10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OH(CHILDARA)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5450/604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F37823A11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OH(CHILDARA)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6097/749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H834400S681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OH(CHILDARA)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1364/27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H834400S87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OH(CHILDARA)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1364/27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H834100S1036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5496/790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H834100S1232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5753/878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H834100S450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5610/233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H834100S451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5610/234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H834100S452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5610/244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H834100S453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5610/245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5482/981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H834100S506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H834100S516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H834100S739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H834100S748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OH(COOMPANA)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D28783A1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1436/44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D28783A2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5977/155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Yumbarra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H834300B406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1602/27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H834300S457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5361/437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Yumbarra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1223/26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H834300S84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1150/38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H834300S85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1063/9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H834300S92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H834300S93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H834300S94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OH(FOWLER)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5972/782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D57297A10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H834200S1507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5429/902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H834200S446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5485/384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H834200S447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5485/317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H834200S448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5485/630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H834200S449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5633/948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H834200S496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6090/51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H834200S497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5354/859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H834200S500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H834200S501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H834200S502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H834200S688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OH(NULLARBOR)</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H833600B1117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OH(TARCOOLA)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1281/46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D34677A100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5977/155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Yumbarra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D34677A101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5995/659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D89336A1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6096/175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D89336A2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6096/176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5584/813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5457/640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5955/599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5998/665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5584/813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5457/640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5961/814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5961/814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5576/431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5584/813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5936/962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5936/962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5749/672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5749/672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5984/381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5584/813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5584/813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5943/940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5995/659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H661000S36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5940/425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5726/317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5584/813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5998/664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5961/814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5971/392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5971/392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5361/437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Yumbarra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5219/608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H661000S9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O'LOUGHLIN</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5983/831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sz w:val="22"/>
                <w:szCs w:val="22"/>
              </w:rPr>
            </w:pPr>
            <w:r w:rsidRPr="00185603">
              <w:rPr>
                <w:rFonts w:ascii="Calibri" w:hAnsi="Calibri"/>
                <w:sz w:val="22"/>
                <w:szCs w:val="22"/>
              </w:rPr>
              <w:t>D24908A100 (portion)</w:t>
            </w:r>
          </w:p>
        </w:tc>
        <w:tc>
          <w:tcPr>
            <w:tcW w:w="1976" w:type="dxa"/>
            <w:shd w:val="clear" w:color="auto" w:fill="auto"/>
            <w:noWrap/>
            <w:vAlign w:val="center"/>
            <w:hideMark/>
          </w:tcPr>
          <w:p w:rsidR="00393E58" w:rsidRPr="00185603" w:rsidRDefault="00393E58" w:rsidP="00000E57">
            <w:pPr>
              <w:rPr>
                <w:rFonts w:ascii="Calibri" w:hAnsi="Calibri"/>
                <w:sz w:val="22"/>
                <w:szCs w:val="22"/>
              </w:rPr>
            </w:pPr>
            <w:r w:rsidRPr="00185603">
              <w:rPr>
                <w:rFonts w:ascii="Calibri" w:hAnsi="Calibri"/>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5772/921</w:t>
            </w:r>
          </w:p>
        </w:tc>
        <w:tc>
          <w:tcPr>
            <w:tcW w:w="3402" w:type="dxa"/>
            <w:shd w:val="clear" w:color="auto" w:fill="auto"/>
            <w:noWrap/>
            <w:vAlign w:val="center"/>
            <w:hideMark/>
          </w:tcPr>
          <w:p w:rsidR="00393E58" w:rsidRPr="00185603" w:rsidRDefault="00393E58" w:rsidP="00000E57">
            <w:pPr>
              <w:rPr>
                <w:rFonts w:ascii="Calibri" w:hAnsi="Calibri"/>
                <w:sz w:val="22"/>
                <w:szCs w:val="22"/>
              </w:rPr>
            </w:pPr>
            <w:r w:rsidRPr="00185603">
              <w:rPr>
                <w:rFonts w:ascii="Calibri" w:hAnsi="Calibri"/>
                <w:sz w:val="22"/>
                <w:szCs w:val="22"/>
              </w:rPr>
              <w:t>Pureba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D34566A1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5778/24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D55481A100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5823/261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5956/595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5823/262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5972/901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5972/901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5473/791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5823/262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H661100S9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PETHICK</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5929/586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D66343A55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5952/382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D66343A56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D67443A100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6019/681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D72010Q100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D72010Q101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F138101A1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5255/507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F180557A525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5807/618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F46475A10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5950/309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F46475A11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5956/808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F53393A102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6054/579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F53393Q100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6054/578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F53393Q101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6054/578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5575/521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5758/104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5953/368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5989/685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5971/395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5987/991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5971/717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5984/400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5969/841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5984/402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5960/485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5971/429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5295/336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5890/312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5575/521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5936/384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6019/681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H610700S48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5201/267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5969/841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6004/81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5953/368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5956/808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5956/807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5955/434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5947/861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5987/989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6014/969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6014/969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6088/864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5734/77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6092/903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5768/715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5434/597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5984/400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5768/716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5768/717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5768/718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5768/719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976/50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5749/650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5614/554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5610/117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5987/991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H610700S90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5610/117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5610/117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H610700S92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5508/54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5982/836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5969/841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H610700S95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5983/247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R1639AD</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R1639AE</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R1639AF</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R1639AG</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PETINA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5948/592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sz w:val="22"/>
                <w:szCs w:val="22"/>
              </w:rPr>
            </w:pPr>
            <w:r w:rsidRPr="00185603">
              <w:rPr>
                <w:rFonts w:ascii="Calibri" w:hAnsi="Calibri"/>
                <w:sz w:val="22"/>
                <w:szCs w:val="22"/>
              </w:rPr>
              <w:t>D24907A300 (portion)</w:t>
            </w:r>
          </w:p>
        </w:tc>
        <w:tc>
          <w:tcPr>
            <w:tcW w:w="1976" w:type="dxa"/>
            <w:shd w:val="clear" w:color="auto" w:fill="auto"/>
            <w:noWrap/>
            <w:vAlign w:val="center"/>
            <w:hideMark/>
          </w:tcPr>
          <w:p w:rsidR="00393E58" w:rsidRPr="00185603" w:rsidRDefault="00393E58" w:rsidP="00000E57">
            <w:pPr>
              <w:rPr>
                <w:rFonts w:ascii="Calibri" w:hAnsi="Calibri"/>
                <w:sz w:val="22"/>
                <w:szCs w:val="22"/>
              </w:rPr>
            </w:pPr>
            <w:r w:rsidRPr="00185603">
              <w:rPr>
                <w:rFonts w:ascii="Calibri" w:hAnsi="Calibri"/>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5772/921</w:t>
            </w:r>
          </w:p>
        </w:tc>
        <w:tc>
          <w:tcPr>
            <w:tcW w:w="3402" w:type="dxa"/>
            <w:shd w:val="clear" w:color="auto" w:fill="auto"/>
            <w:noWrap/>
            <w:vAlign w:val="center"/>
            <w:hideMark/>
          </w:tcPr>
          <w:p w:rsidR="00393E58" w:rsidRPr="00185603" w:rsidRDefault="00393E58" w:rsidP="00000E57">
            <w:pPr>
              <w:rPr>
                <w:rFonts w:ascii="Calibri" w:hAnsi="Calibri"/>
                <w:sz w:val="22"/>
                <w:szCs w:val="22"/>
              </w:rPr>
            </w:pPr>
            <w:r w:rsidRPr="00185603">
              <w:rPr>
                <w:rFonts w:ascii="Calibri" w:hAnsi="Calibri"/>
                <w:sz w:val="22"/>
                <w:szCs w:val="22"/>
              </w:rPr>
              <w:t>Pureba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D34142A5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5778/24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H610800S1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5962/656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H610800S2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5962/656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H610800S3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5962/656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H610800S4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5962/656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H610800S6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H610800S7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Pureba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518/79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1167/18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553/18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540/55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540/55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540/55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553/19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527/79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527/80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557/96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527/43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527/43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527/81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557/96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558/3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1280/47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H620600S31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542/47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530/51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542/47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542/47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1280/47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1280/47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H620600S45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RUSSELL</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5241/697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D27751A1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D34495A100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5782/566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D34495A101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5708/564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D52599A51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5708/562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D52599A52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5708/563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F217573Q1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5708/564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F217573Q2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5708/564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F2663A1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5305/700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F2663A2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5305/699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F2663A3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5305/572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F35886Q5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F35886Q6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5216/919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5346/162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1036/9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5768/772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5794/931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5631/813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5767/810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495/23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1036/9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5531/574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H620700S36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H620700S37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H620700S38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1428/9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5933/360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5442/818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6113/343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6113/342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H620700S9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6113/344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5771/80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5771/80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5833/568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6017/222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5782/782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5305/779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5788/551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6017/223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5424/745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5423/118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5776/348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5722/929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5722/929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5776/347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T620701A49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5776/347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5426/102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5423/118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5423/118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6017/222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5455/261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5455/473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5435/650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5754/411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5732/621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5732/622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5411/505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T620701A9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STURDEE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5411/661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C24630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D23978A7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5433/563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D24928A10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5206/783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D29987A10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5977/958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D29987A9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5787/221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D30252A10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Acraman Creek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D30252A11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Acraman Creek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5413/935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5413/855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5133/315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5389/947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5413/854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5413/931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5336/456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5413/930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5354/510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5587/903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5569/649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D30774A20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5458/413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5357/803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5786/350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5538/145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5786/349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5293/468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5116/339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5167/625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5786/348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5339/342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5786/347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5427/787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5391/718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5355/432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5115/68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5780/274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5747/601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5413/933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5984/587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5786/351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5868/271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D30774A65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5747/602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5413/937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5498/467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5752/744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D30774A8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5413/932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D33284A101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5425/26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D33284A102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5752/747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D33284A103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5102/750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D34678A101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5937/991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D35350A21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1639/62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D36577A103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Acraman Creek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D37675A109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Acraman Creek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D39404A2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1644/14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D40772A25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5270/283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D40772A26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5270/284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D47327A209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5416/776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D49778A10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5836/689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D52756A101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D54497A2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5795/127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D54824A1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5804/441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D55869A100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5831/320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D57861A21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5860/364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D57861A22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5860/365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D58088A1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5861/14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D58088Q2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5861/15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D58088Q3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5861/15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D58400Q51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D58400Q52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5946/823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5946/826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D68500A800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5946/830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D70449A10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5964/246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D70449A9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5964/245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D71955A81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5978/248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D73592A101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D73592A102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5984/519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D73836A250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6002/66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D78482A50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6020/87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D78482A51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6020/88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D78482A52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6020/89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D79514A600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6041/958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D79514A601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6041/959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D80030A500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6038/635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D80464A103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D80464A106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D80464A109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D80464A70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D80464A71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D80464A81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D80464A83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D80464A85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D80464A90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D80464A94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D80464A98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D80464A99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6057/28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D80464Q96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D80464Q97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D81546A2000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6043/173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D81546A2001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6043/174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D81546A2002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6043/175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F16848A2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5186/271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F180658A626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5646/970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F180659A627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5363/821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F180660A628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5801/581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H661200S110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5772/92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H661200S128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5758/528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1591/96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5470/988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6057/27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5440/816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5987/264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6075/868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5719/22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6002/66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5986/668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5834/162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5479/954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5861/16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5996/505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H661200S43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5947/11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5987/801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6075/869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5417/738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5921/689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5757/761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1615/47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1636/77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1634/89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1645/39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1647/81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1642/99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1644/96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1640/43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1615/25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1634/54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1636/69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1635/25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5440/435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5438/272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H661200S84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5832/324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5783/882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5160/313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5744/401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5254/969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5428/55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T661201A14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5745/207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5723/972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5585/185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5317/752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5264/411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5291/354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5688/390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5374/505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5205/809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5698/677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5688/372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5688/369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5698/676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5647/69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5726/248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5317/913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5637/897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5340/130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5249/982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5647/871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5633/565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5418/918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5600/421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5602/187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5601/901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5637/883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T661201A46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5599/357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5600/781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5220/208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T661201A49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5597/770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5354/704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5600/715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5754/578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5398/620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5488/605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5493/682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5981/764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5270/915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5445/517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5491/854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5526/814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5353/69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5490/699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5389/437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5489/917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5495/471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5494/896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5326/550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5509/10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5320/452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5477/376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5488/558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5783/883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5506/973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5301/856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5526/258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5525/799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5484/601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T661201A75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5445/547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5245/774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5245/849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5473/361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5526/257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5744/397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5454/52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5196/317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T661201A9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WALLANIPPIE</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5462/222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D43561A101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D43561A102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D46692A50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5601/254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D46692A51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5601/255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D51070A61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5652/474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D51070A62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551/29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F142218Q1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5557/949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F142218Q2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5557/949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F142218Q3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5557/950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F142218Q4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5557/950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F173181Q91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5340/482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F173181Q92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5340/482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F173181Q93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5340/482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F180662A630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5412/986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F180663A631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5787/947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F180664A632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5787/945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F180665A633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5839/872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F180666A634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5845/432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5540/120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5547/502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5234/539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5697/215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5951/666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H661300S14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5951/666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5438/692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H661300S15C</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5830/382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5951/666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5793/863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H661300S20W</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5793/863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825/39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5395/44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1164/41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517/37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H661300S24C</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5471/127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5525/901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5954/113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5777/996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5955/961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5955/961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5540/120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5914/33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5955/432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5340/79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5994/287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5680/329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H661300S44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H661300S45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H661300S46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5680/329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H661300S47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5520/451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509/119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H661300S54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5768/936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H661300S56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H661300S57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1164/41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5768/937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5768/938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5768/939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H661300S69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5768/940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H661300S70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H661300S71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H661300S72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5768/943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H661300S73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5955/961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H661300S77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5935/767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5520/451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5590/479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5994/287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5205/288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5777/996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5988/911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H661300S89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5935/767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H661300S91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5680/329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H661300S95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H661300S96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5763/388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R1639AR</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R1639AS</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R1639AT</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R1639AU</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R1639AV</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R1639AW</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WANDANA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5683/545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D28311A1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6084/422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D38861A5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D53763A200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5866/882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D53763A201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5866/882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D53763A202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5921/172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D67302A57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5974/295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D84642A22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D84642A25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D84642A30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D84642A31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6077/260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D84642Q23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D84642Q24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D84642Q26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D84642Q27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D84642Q28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D84642Q29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6077/258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D85732A102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6070/569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D86605Q20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6095/142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D86605Q21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6095/142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D86605Q22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6095/143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D86605Q23 (portion)</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6095/143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5987/533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6084/421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6018/685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H620900S13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6006/601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6018/686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6018/687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5942/641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H620900S19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6084/421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6065/407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5476/670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5476/670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6084/422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5708/564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5987/534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6074/408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H620900S29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5848/211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H620900S34</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H620900S39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5535/518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H620900S40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H620900S41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1642/15</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H620900S42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H620900S50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H620900S51</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5963/417</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Wahgunyah Conservation Park</w:t>
            </w: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H620900S58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H620900S59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5848/213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lastRenderedPageBreak/>
              <w:t>H620900S6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5939/306</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H620900S60</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5476/564</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H620900S66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6084/422</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H620900S67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H620900S7</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6006/600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H620900S75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5763/229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H620900S76</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5476/670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H620900S78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6065/408</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H620900S79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5815/859</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H620900S8</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5987/533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H620900S82</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CR 5749/653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H620900S83</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CL 1633/41</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H620900S9</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5987/533</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r w:rsidR="00393E58" w:rsidRPr="00185603" w:rsidTr="00BC62C4">
        <w:trPr>
          <w:trHeight w:val="340"/>
        </w:trPr>
        <w:tc>
          <w:tcPr>
            <w:tcW w:w="2434" w:type="dxa"/>
            <w:gridSpan w:val="2"/>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H620900S95</w:t>
            </w:r>
          </w:p>
        </w:tc>
        <w:tc>
          <w:tcPr>
            <w:tcW w:w="1976"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WOOKATA</w:t>
            </w:r>
          </w:p>
        </w:tc>
        <w:tc>
          <w:tcPr>
            <w:tcW w:w="1701" w:type="dxa"/>
            <w:shd w:val="clear" w:color="auto" w:fill="auto"/>
            <w:noWrap/>
            <w:vAlign w:val="center"/>
            <w:hideMark/>
          </w:tcPr>
          <w:p w:rsidR="00393E58" w:rsidRPr="00185603" w:rsidRDefault="00393E58" w:rsidP="00000E57">
            <w:pPr>
              <w:rPr>
                <w:rFonts w:ascii="Calibri" w:hAnsi="Calibri"/>
                <w:color w:val="000000"/>
                <w:sz w:val="22"/>
                <w:szCs w:val="22"/>
              </w:rPr>
            </w:pPr>
            <w:r w:rsidRPr="00185603">
              <w:rPr>
                <w:rFonts w:ascii="Calibri" w:hAnsi="Calibri"/>
                <w:color w:val="000000"/>
                <w:sz w:val="22"/>
                <w:szCs w:val="22"/>
              </w:rPr>
              <w:t>CT 5476/670</w:t>
            </w:r>
          </w:p>
        </w:tc>
        <w:tc>
          <w:tcPr>
            <w:tcW w:w="3402" w:type="dxa"/>
            <w:shd w:val="clear" w:color="auto" w:fill="auto"/>
            <w:noWrap/>
            <w:vAlign w:val="center"/>
            <w:hideMark/>
          </w:tcPr>
          <w:p w:rsidR="00393E58" w:rsidRPr="00185603" w:rsidRDefault="00393E58" w:rsidP="00000E57">
            <w:pPr>
              <w:rPr>
                <w:rFonts w:ascii="Calibri" w:hAnsi="Calibri"/>
                <w:color w:val="000000"/>
                <w:sz w:val="22"/>
                <w:szCs w:val="22"/>
              </w:rPr>
            </w:pPr>
          </w:p>
        </w:tc>
      </w:tr>
    </w:tbl>
    <w:p w:rsidR="00393E58" w:rsidRDefault="00393E58" w:rsidP="00393E58">
      <w:pPr>
        <w:rPr>
          <w:b/>
          <w:sz w:val="22"/>
          <w:szCs w:val="22"/>
        </w:rPr>
      </w:pPr>
    </w:p>
    <w:p w:rsidR="00393E58" w:rsidRDefault="00CE123B" w:rsidP="00CE123B">
      <w:pPr>
        <w:pStyle w:val="Heading2"/>
      </w:pPr>
      <w:r>
        <w:br w:type="page"/>
      </w:r>
      <w:r>
        <w:lastRenderedPageBreak/>
        <w:t>SCHEDULE 8 – Parcels where native title is extinguished pursuant to the Far West Coast Native Title Claim Settlement ILUA</w:t>
      </w:r>
    </w:p>
    <w:p w:rsidR="00CE123B" w:rsidRPr="00CE123B" w:rsidRDefault="00CE123B" w:rsidP="00CE123B">
      <w:pPr>
        <w:pStyle w:val="NoNum"/>
      </w:pPr>
    </w:p>
    <w:tbl>
      <w:tblPr>
        <w:tblW w:w="6392" w:type="dxa"/>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112"/>
        <w:gridCol w:w="2405"/>
      </w:tblGrid>
      <w:tr w:rsidR="00CE123B" w:rsidRPr="00573CD0" w:rsidTr="00000E57">
        <w:trPr>
          <w:trHeight w:val="402"/>
          <w:jc w:val="center"/>
        </w:trPr>
        <w:tc>
          <w:tcPr>
            <w:tcW w:w="1875" w:type="dxa"/>
            <w:shd w:val="clear" w:color="auto" w:fill="F2F2F2"/>
            <w:noWrap/>
            <w:vAlign w:val="center"/>
            <w:hideMark/>
          </w:tcPr>
          <w:p w:rsidR="00CE123B" w:rsidRPr="00573CD0" w:rsidRDefault="00CE123B" w:rsidP="00000E57">
            <w:pPr>
              <w:rPr>
                <w:rFonts w:ascii="Calibri" w:hAnsi="Calibri"/>
                <w:b/>
                <w:bCs/>
                <w:color w:val="000000"/>
                <w:sz w:val="22"/>
                <w:szCs w:val="22"/>
              </w:rPr>
            </w:pPr>
            <w:r w:rsidRPr="00573CD0">
              <w:rPr>
                <w:rFonts w:ascii="Calibri" w:hAnsi="Calibri"/>
                <w:b/>
                <w:bCs/>
                <w:color w:val="000000"/>
                <w:sz w:val="22"/>
                <w:szCs w:val="22"/>
              </w:rPr>
              <w:t>DCDBID</w:t>
            </w:r>
          </w:p>
        </w:tc>
        <w:tc>
          <w:tcPr>
            <w:tcW w:w="2112" w:type="dxa"/>
            <w:shd w:val="clear" w:color="auto" w:fill="F2F2F2"/>
            <w:noWrap/>
            <w:vAlign w:val="center"/>
            <w:hideMark/>
          </w:tcPr>
          <w:p w:rsidR="00CE123B" w:rsidRPr="00573CD0" w:rsidRDefault="00CE123B" w:rsidP="00000E57">
            <w:pPr>
              <w:rPr>
                <w:rFonts w:ascii="Calibri" w:hAnsi="Calibri"/>
                <w:b/>
                <w:bCs/>
                <w:color w:val="000000"/>
                <w:sz w:val="22"/>
                <w:szCs w:val="22"/>
              </w:rPr>
            </w:pPr>
            <w:r w:rsidRPr="00573CD0">
              <w:rPr>
                <w:rFonts w:ascii="Calibri" w:hAnsi="Calibri"/>
                <w:b/>
                <w:bCs/>
                <w:color w:val="000000"/>
                <w:sz w:val="22"/>
                <w:szCs w:val="22"/>
              </w:rPr>
              <w:t>Hundred</w:t>
            </w:r>
          </w:p>
        </w:tc>
        <w:tc>
          <w:tcPr>
            <w:tcW w:w="2405" w:type="dxa"/>
            <w:shd w:val="clear" w:color="auto" w:fill="F2F2F2"/>
            <w:noWrap/>
            <w:vAlign w:val="center"/>
            <w:hideMark/>
          </w:tcPr>
          <w:p w:rsidR="00CE123B" w:rsidRPr="00573CD0" w:rsidRDefault="00CE123B" w:rsidP="00000E57">
            <w:pPr>
              <w:rPr>
                <w:rFonts w:ascii="Calibri" w:hAnsi="Calibri"/>
                <w:b/>
                <w:bCs/>
                <w:color w:val="000000"/>
                <w:sz w:val="22"/>
                <w:szCs w:val="22"/>
              </w:rPr>
            </w:pPr>
            <w:r w:rsidRPr="00573CD0">
              <w:rPr>
                <w:rFonts w:ascii="Calibri" w:hAnsi="Calibri"/>
                <w:b/>
                <w:bCs/>
                <w:color w:val="000000"/>
                <w:sz w:val="22"/>
                <w:szCs w:val="22"/>
              </w:rPr>
              <w:t>Title Reference</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D28986A10</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CALDWELL</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CR 5750/508</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D28986A14</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CALDWELL</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CR 5750/509</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T620701A19</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5943/352</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T620701A20</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5943/352</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T620701A21</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5943/352</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T620701A31</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5975/724</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T620701A32</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5975/724</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T620701A33</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5975/724</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T620701A34</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T620701A35</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T620701A36</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T620701A37</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T620701A40</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T620701A41</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T620701A42</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T620701A43</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T620701A44</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T620701A45</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5975/815</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T620701A46</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5975/724</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T620701A47</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5975/724</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T620701A48</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STURDEE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5975/724</w:t>
            </w:r>
          </w:p>
        </w:tc>
      </w:tr>
      <w:tr w:rsidR="00CE123B" w:rsidRPr="00573CD0" w:rsidTr="00000E57">
        <w:trPr>
          <w:trHeight w:val="402"/>
          <w:jc w:val="center"/>
        </w:trPr>
        <w:tc>
          <w:tcPr>
            <w:tcW w:w="187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D54497A1</w:t>
            </w:r>
          </w:p>
        </w:tc>
        <w:tc>
          <w:tcPr>
            <w:tcW w:w="2112"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WALLANIPPIE</w:t>
            </w:r>
          </w:p>
        </w:tc>
        <w:tc>
          <w:tcPr>
            <w:tcW w:w="2405" w:type="dxa"/>
            <w:shd w:val="clear" w:color="auto" w:fill="auto"/>
            <w:noWrap/>
            <w:vAlign w:val="center"/>
            <w:hideMark/>
          </w:tcPr>
          <w:p w:rsidR="00CE123B" w:rsidRPr="00573CD0" w:rsidRDefault="00CE123B" w:rsidP="00000E57">
            <w:pPr>
              <w:rPr>
                <w:rFonts w:ascii="Calibri" w:hAnsi="Calibri"/>
                <w:color w:val="000000"/>
                <w:sz w:val="22"/>
                <w:szCs w:val="22"/>
              </w:rPr>
            </w:pPr>
            <w:r w:rsidRPr="00573CD0">
              <w:rPr>
                <w:rFonts w:ascii="Calibri" w:hAnsi="Calibri"/>
                <w:color w:val="000000"/>
                <w:sz w:val="22"/>
                <w:szCs w:val="22"/>
              </w:rPr>
              <w:t>CT 5795/126</w:t>
            </w:r>
          </w:p>
        </w:tc>
      </w:tr>
    </w:tbl>
    <w:p w:rsidR="00CE123B" w:rsidRDefault="00CE123B" w:rsidP="00656C1E">
      <w:pPr>
        <w:pStyle w:val="NoNum"/>
      </w:pPr>
    </w:p>
    <w:p w:rsidR="00CE123B" w:rsidRDefault="00CE123B" w:rsidP="00CE123B">
      <w:pPr>
        <w:pStyle w:val="Heading2"/>
      </w:pPr>
      <w:r>
        <w:br w:type="page"/>
      </w:r>
      <w:r>
        <w:lastRenderedPageBreak/>
        <w:t>SCHEDULE 9 – Details of Indigenous Land Use Agreements in the Determination Area</w:t>
      </w:r>
    </w:p>
    <w:p w:rsidR="00CE123B" w:rsidRPr="00CE123B" w:rsidRDefault="00CE123B" w:rsidP="00CE123B">
      <w:pPr>
        <w:pStyle w:val="NoNum"/>
      </w:pPr>
    </w:p>
    <w:p w:rsidR="00CE123B" w:rsidRDefault="00CE123B" w:rsidP="00CE123B">
      <w:pPr>
        <w:pStyle w:val="FCBullets"/>
      </w:pPr>
      <w:r>
        <w:t>Far West Coast Native Title Claim Settlement Indigenous Land Use Agreement (Body Corporate Agreement)</w:t>
      </w:r>
    </w:p>
    <w:p w:rsidR="00CE123B" w:rsidRDefault="00CE123B" w:rsidP="00CE123B">
      <w:pPr>
        <w:pStyle w:val="FCBullets"/>
      </w:pPr>
      <w:r>
        <w:t>Far West Coast Parks Indigenous Land Use Agreement (Body Corporate Agreement)</w:t>
      </w:r>
    </w:p>
    <w:p w:rsidR="00CE123B" w:rsidRDefault="00CE123B" w:rsidP="005F62CC">
      <w:pPr>
        <w:pStyle w:val="Heading2"/>
      </w:pPr>
      <w:r>
        <w:br w:type="page"/>
      </w:r>
      <w:r w:rsidR="005F62CC">
        <w:lastRenderedPageBreak/>
        <w:t>SCHEDULE 10 – Existing interests of SA Power Networks</w:t>
      </w:r>
    </w:p>
    <w:p w:rsidR="005F62CC" w:rsidRPr="005F62CC" w:rsidRDefault="005F62CC" w:rsidP="005F62CC">
      <w:pPr>
        <w:pStyle w:val="NoNum"/>
      </w:pPr>
    </w:p>
    <w:tbl>
      <w:tblPr>
        <w:tblW w:w="95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616"/>
        <w:gridCol w:w="992"/>
        <w:gridCol w:w="1134"/>
        <w:gridCol w:w="3912"/>
      </w:tblGrid>
      <w:tr w:rsidR="005F62CC" w:rsidRPr="00655592" w:rsidTr="00000E57">
        <w:trPr>
          <w:trHeight w:val="403"/>
        </w:trPr>
        <w:tc>
          <w:tcPr>
            <w:tcW w:w="1929" w:type="dxa"/>
            <w:shd w:val="clear" w:color="auto" w:fill="F2F2F2"/>
            <w:noWrap/>
            <w:hideMark/>
          </w:tcPr>
          <w:p w:rsidR="005F62CC" w:rsidRPr="00655592" w:rsidRDefault="005F62CC" w:rsidP="00000E57">
            <w:pPr>
              <w:rPr>
                <w:rFonts w:ascii="Calibri" w:hAnsi="Calibri"/>
                <w:b/>
                <w:color w:val="000000"/>
                <w:sz w:val="22"/>
                <w:szCs w:val="22"/>
              </w:rPr>
            </w:pPr>
            <w:r w:rsidRPr="00655592">
              <w:rPr>
                <w:rFonts w:ascii="Calibri" w:hAnsi="Calibri"/>
                <w:b/>
                <w:color w:val="000000"/>
                <w:sz w:val="22"/>
                <w:szCs w:val="22"/>
              </w:rPr>
              <w:t>DCBDID</w:t>
            </w:r>
          </w:p>
        </w:tc>
        <w:tc>
          <w:tcPr>
            <w:tcW w:w="1616" w:type="dxa"/>
            <w:shd w:val="clear" w:color="auto" w:fill="F2F2F2"/>
            <w:noWrap/>
            <w:hideMark/>
          </w:tcPr>
          <w:p w:rsidR="005F62CC" w:rsidRPr="00655592" w:rsidRDefault="005F62CC" w:rsidP="00000E57">
            <w:pPr>
              <w:rPr>
                <w:rFonts w:ascii="Calibri" w:hAnsi="Calibri"/>
                <w:b/>
                <w:color w:val="000000"/>
                <w:sz w:val="22"/>
                <w:szCs w:val="22"/>
              </w:rPr>
            </w:pPr>
            <w:r w:rsidRPr="00655592">
              <w:rPr>
                <w:rFonts w:ascii="Calibri" w:hAnsi="Calibri"/>
                <w:b/>
                <w:color w:val="000000"/>
                <w:sz w:val="22"/>
                <w:szCs w:val="22"/>
              </w:rPr>
              <w:t>HUNDRED</w:t>
            </w:r>
          </w:p>
        </w:tc>
        <w:tc>
          <w:tcPr>
            <w:tcW w:w="992" w:type="dxa"/>
            <w:shd w:val="clear" w:color="auto" w:fill="F2F2F2"/>
            <w:noWrap/>
            <w:hideMark/>
          </w:tcPr>
          <w:p w:rsidR="005F62CC" w:rsidRPr="00655592" w:rsidRDefault="005F62CC" w:rsidP="00000E57">
            <w:pPr>
              <w:rPr>
                <w:rFonts w:ascii="Calibri" w:hAnsi="Calibri"/>
                <w:b/>
                <w:color w:val="000000"/>
                <w:sz w:val="22"/>
                <w:szCs w:val="22"/>
              </w:rPr>
            </w:pPr>
            <w:r w:rsidRPr="00655592">
              <w:rPr>
                <w:rFonts w:ascii="Calibri" w:hAnsi="Calibri"/>
                <w:b/>
                <w:color w:val="000000"/>
                <w:sz w:val="22"/>
                <w:szCs w:val="22"/>
              </w:rPr>
              <w:t>TITLE TYPE</w:t>
            </w:r>
          </w:p>
        </w:tc>
        <w:tc>
          <w:tcPr>
            <w:tcW w:w="1134" w:type="dxa"/>
            <w:shd w:val="clear" w:color="auto" w:fill="F2F2F2"/>
            <w:noWrap/>
            <w:hideMark/>
          </w:tcPr>
          <w:p w:rsidR="005F62CC" w:rsidRPr="00655592" w:rsidRDefault="005F62CC" w:rsidP="00000E57">
            <w:pPr>
              <w:rPr>
                <w:rFonts w:ascii="Calibri" w:hAnsi="Calibri"/>
                <w:b/>
                <w:color w:val="000000"/>
                <w:sz w:val="22"/>
                <w:szCs w:val="22"/>
              </w:rPr>
            </w:pPr>
            <w:r w:rsidRPr="00655592">
              <w:rPr>
                <w:rFonts w:ascii="Calibri" w:hAnsi="Calibri"/>
                <w:b/>
                <w:color w:val="000000"/>
                <w:sz w:val="22"/>
                <w:szCs w:val="22"/>
              </w:rPr>
              <w:t>TITLE NO</w:t>
            </w:r>
          </w:p>
        </w:tc>
        <w:tc>
          <w:tcPr>
            <w:tcW w:w="3912" w:type="dxa"/>
            <w:shd w:val="clear" w:color="auto" w:fill="F2F2F2"/>
            <w:noWrap/>
            <w:hideMark/>
          </w:tcPr>
          <w:p w:rsidR="005F62CC" w:rsidRPr="00655592" w:rsidRDefault="005F62CC" w:rsidP="00000E57">
            <w:pPr>
              <w:rPr>
                <w:rFonts w:ascii="Calibri" w:hAnsi="Calibri"/>
                <w:b/>
                <w:color w:val="000000"/>
                <w:sz w:val="22"/>
                <w:szCs w:val="22"/>
              </w:rPr>
            </w:pPr>
            <w:r w:rsidRPr="00655592">
              <w:rPr>
                <w:rFonts w:ascii="Calibri" w:hAnsi="Calibri"/>
                <w:b/>
                <w:color w:val="000000"/>
                <w:sz w:val="22"/>
                <w:szCs w:val="22"/>
              </w:rPr>
              <w:t>ASSET TYPE</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D28798 A12</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5748/145</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S189</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5868/908</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S189</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5868/908</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S190</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5868/908</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S190</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5868/908</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S190</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5868/908</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S192</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5611/741</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S197</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5580/764</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S197</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5580/764</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S197</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5580/764</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S197</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5580/764</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S211</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5868/908</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S211</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5868/908</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H660300 S258</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BONYTHON</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5763/349</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H630200 S102</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BURGOYNE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5763/233</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High Voltage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H660400 S64</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CATT</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5834/436</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H660400 S64</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CATT</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5834/436</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H660400 S64</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CATT</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5834/436</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H660400 S64</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CATT</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5834/436</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H660400 S64</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CATT</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5834/436</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H660400 S64</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CATT</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5834/436</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lastRenderedPageBreak/>
              <w:t>H660700 S47</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GUTHRIE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5763/377</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H660700 S47</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GUTHRIE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5763/377</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tcPr>
          <w:p w:rsidR="005F62CC" w:rsidRPr="00655592" w:rsidRDefault="005F62CC" w:rsidP="00000E57">
            <w:pPr>
              <w:rPr>
                <w:rFonts w:ascii="Calibri" w:hAnsi="Calibri"/>
                <w:color w:val="000000"/>
                <w:sz w:val="22"/>
                <w:szCs w:val="22"/>
              </w:rPr>
            </w:pPr>
            <w:r>
              <w:rPr>
                <w:rFonts w:ascii="Calibri" w:hAnsi="Calibri"/>
                <w:color w:val="000000"/>
                <w:sz w:val="22"/>
                <w:szCs w:val="22"/>
              </w:rPr>
              <w:t>D59819 A22</w:t>
            </w:r>
          </w:p>
        </w:tc>
        <w:tc>
          <w:tcPr>
            <w:tcW w:w="1616" w:type="dxa"/>
            <w:shd w:val="clear" w:color="auto" w:fill="auto"/>
            <w:noWrap/>
          </w:tcPr>
          <w:p w:rsidR="005F62CC" w:rsidRPr="00655592" w:rsidRDefault="005F62CC" w:rsidP="00000E57">
            <w:pPr>
              <w:rPr>
                <w:rFonts w:ascii="Calibri" w:hAnsi="Calibri"/>
                <w:color w:val="000000"/>
                <w:sz w:val="22"/>
                <w:szCs w:val="22"/>
              </w:rPr>
            </w:pPr>
            <w:r>
              <w:rPr>
                <w:rFonts w:ascii="Calibri" w:hAnsi="Calibri"/>
                <w:color w:val="000000"/>
                <w:sz w:val="22"/>
                <w:szCs w:val="22"/>
              </w:rPr>
              <w:t>MOULE</w:t>
            </w:r>
          </w:p>
        </w:tc>
        <w:tc>
          <w:tcPr>
            <w:tcW w:w="992" w:type="dxa"/>
            <w:shd w:val="clear" w:color="auto" w:fill="auto"/>
            <w:noWrap/>
          </w:tcPr>
          <w:p w:rsidR="005F62CC" w:rsidRPr="00655592" w:rsidRDefault="005F62CC" w:rsidP="00000E57">
            <w:pPr>
              <w:rPr>
                <w:rFonts w:ascii="Calibri" w:hAnsi="Calibri"/>
                <w:color w:val="000000"/>
                <w:sz w:val="22"/>
                <w:szCs w:val="22"/>
              </w:rPr>
            </w:pPr>
            <w:r>
              <w:rPr>
                <w:rFonts w:ascii="Calibri" w:hAnsi="Calibri"/>
                <w:color w:val="000000"/>
                <w:sz w:val="22"/>
                <w:szCs w:val="22"/>
              </w:rPr>
              <w:t>CR</w:t>
            </w:r>
          </w:p>
        </w:tc>
        <w:tc>
          <w:tcPr>
            <w:tcW w:w="1134" w:type="dxa"/>
            <w:shd w:val="clear" w:color="auto" w:fill="auto"/>
            <w:noWrap/>
          </w:tcPr>
          <w:p w:rsidR="005F62CC" w:rsidRPr="00655592" w:rsidRDefault="005F62CC" w:rsidP="00000E57">
            <w:pPr>
              <w:rPr>
                <w:rFonts w:ascii="Calibri" w:hAnsi="Calibri"/>
                <w:color w:val="000000"/>
                <w:sz w:val="22"/>
                <w:szCs w:val="22"/>
              </w:rPr>
            </w:pPr>
            <w:r>
              <w:rPr>
                <w:rFonts w:ascii="Calibri" w:hAnsi="Calibri"/>
                <w:color w:val="000000"/>
                <w:sz w:val="22"/>
                <w:szCs w:val="22"/>
              </w:rPr>
              <w:t>5904/531</w:t>
            </w:r>
          </w:p>
        </w:tc>
        <w:tc>
          <w:tcPr>
            <w:tcW w:w="3912" w:type="dxa"/>
            <w:shd w:val="clear" w:color="auto" w:fill="auto"/>
            <w:noWrap/>
          </w:tcPr>
          <w:p w:rsidR="005F62CC" w:rsidRPr="00655592" w:rsidRDefault="005F62CC" w:rsidP="00000E57">
            <w:pPr>
              <w:rPr>
                <w:rFonts w:ascii="Calibri" w:hAnsi="Calibri"/>
                <w:color w:val="000000"/>
                <w:sz w:val="22"/>
                <w:szCs w:val="22"/>
              </w:rPr>
            </w:pPr>
            <w:r>
              <w:rPr>
                <w:rFonts w:ascii="Calibri" w:hAnsi="Calibri"/>
                <w:color w:val="000000"/>
                <w:sz w:val="22"/>
                <w:szCs w:val="22"/>
              </w:rPr>
              <w:t>Underground Low Voltage Service Conductor</w:t>
            </w:r>
          </w:p>
        </w:tc>
      </w:tr>
      <w:tr w:rsidR="005F62CC" w:rsidTr="00000E57">
        <w:trPr>
          <w:trHeight w:val="403"/>
        </w:trPr>
        <w:tc>
          <w:tcPr>
            <w:tcW w:w="1929" w:type="dxa"/>
            <w:shd w:val="clear" w:color="auto" w:fill="auto"/>
            <w:noWrap/>
          </w:tcPr>
          <w:p w:rsidR="005F62CC" w:rsidRDefault="005F62CC" w:rsidP="00000E57">
            <w:pPr>
              <w:rPr>
                <w:rFonts w:ascii="Calibri" w:hAnsi="Calibri"/>
                <w:color w:val="000000"/>
                <w:sz w:val="22"/>
                <w:szCs w:val="22"/>
              </w:rPr>
            </w:pPr>
            <w:r>
              <w:rPr>
                <w:rFonts w:ascii="Calibri" w:hAnsi="Calibri"/>
                <w:color w:val="000000"/>
                <w:sz w:val="22"/>
                <w:szCs w:val="22"/>
              </w:rPr>
              <w:t>D59819 A22</w:t>
            </w:r>
          </w:p>
        </w:tc>
        <w:tc>
          <w:tcPr>
            <w:tcW w:w="1616" w:type="dxa"/>
            <w:shd w:val="clear" w:color="auto" w:fill="auto"/>
            <w:noWrap/>
          </w:tcPr>
          <w:p w:rsidR="005F62CC" w:rsidRDefault="005F62CC" w:rsidP="00000E57">
            <w:pPr>
              <w:rPr>
                <w:rFonts w:ascii="Calibri" w:hAnsi="Calibri"/>
                <w:color w:val="000000"/>
                <w:sz w:val="22"/>
                <w:szCs w:val="22"/>
              </w:rPr>
            </w:pPr>
            <w:r>
              <w:rPr>
                <w:rFonts w:ascii="Calibri" w:hAnsi="Calibri"/>
                <w:color w:val="000000"/>
                <w:sz w:val="22"/>
                <w:szCs w:val="22"/>
              </w:rPr>
              <w:t>MOULE</w:t>
            </w:r>
          </w:p>
        </w:tc>
        <w:tc>
          <w:tcPr>
            <w:tcW w:w="992" w:type="dxa"/>
            <w:shd w:val="clear" w:color="auto" w:fill="auto"/>
            <w:noWrap/>
          </w:tcPr>
          <w:p w:rsidR="005F62CC" w:rsidRDefault="005F62CC" w:rsidP="00000E57">
            <w:pPr>
              <w:rPr>
                <w:rFonts w:ascii="Calibri" w:hAnsi="Calibri"/>
                <w:color w:val="000000"/>
                <w:sz w:val="22"/>
                <w:szCs w:val="22"/>
              </w:rPr>
            </w:pPr>
            <w:r>
              <w:rPr>
                <w:rFonts w:ascii="Calibri" w:hAnsi="Calibri"/>
                <w:color w:val="000000"/>
                <w:sz w:val="22"/>
                <w:szCs w:val="22"/>
              </w:rPr>
              <w:t>CR</w:t>
            </w:r>
          </w:p>
        </w:tc>
        <w:tc>
          <w:tcPr>
            <w:tcW w:w="1134" w:type="dxa"/>
            <w:shd w:val="clear" w:color="auto" w:fill="auto"/>
            <w:noWrap/>
          </w:tcPr>
          <w:p w:rsidR="005F62CC" w:rsidRDefault="005F62CC" w:rsidP="00000E57">
            <w:pPr>
              <w:rPr>
                <w:rFonts w:ascii="Calibri" w:hAnsi="Calibri"/>
                <w:color w:val="000000"/>
                <w:sz w:val="22"/>
                <w:szCs w:val="22"/>
              </w:rPr>
            </w:pPr>
            <w:r>
              <w:rPr>
                <w:rFonts w:ascii="Calibri" w:hAnsi="Calibri"/>
                <w:color w:val="000000"/>
                <w:sz w:val="22"/>
                <w:szCs w:val="22"/>
              </w:rPr>
              <w:t>5904/531</w:t>
            </w:r>
          </w:p>
        </w:tc>
        <w:tc>
          <w:tcPr>
            <w:tcW w:w="3912" w:type="dxa"/>
            <w:shd w:val="clear" w:color="auto" w:fill="auto"/>
            <w:noWrap/>
          </w:tcPr>
          <w:p w:rsidR="005F62CC" w:rsidRDefault="005F62CC" w:rsidP="00000E57">
            <w:pPr>
              <w:rPr>
                <w:rFonts w:ascii="Calibri" w:hAnsi="Calibri"/>
                <w:color w:val="000000"/>
                <w:sz w:val="22"/>
                <w:szCs w:val="22"/>
              </w:rPr>
            </w:pPr>
            <w:r>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H660900 S61</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MOULE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5754/573</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H660900 S63</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MOULE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5754/574</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H660900 S63</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MOULE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5754/574</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H660900 S63</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MOULE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5754/574</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Pole Mounted Transformer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H660900 S73</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MOULE</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CR</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5746/517</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Overhead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H610700 S78</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PETINA</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5489/686</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r w:rsidR="005F62CC" w:rsidRPr="00655592" w:rsidTr="00000E57">
        <w:trPr>
          <w:trHeight w:val="403"/>
        </w:trPr>
        <w:tc>
          <w:tcPr>
            <w:tcW w:w="1929"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H610700 S79</w:t>
            </w:r>
          </w:p>
        </w:tc>
        <w:tc>
          <w:tcPr>
            <w:tcW w:w="1616"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PETINA</w:t>
            </w:r>
          </w:p>
        </w:tc>
        <w:tc>
          <w:tcPr>
            <w:tcW w:w="99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CT</w:t>
            </w:r>
          </w:p>
        </w:tc>
        <w:tc>
          <w:tcPr>
            <w:tcW w:w="1134"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5489/225</w:t>
            </w:r>
          </w:p>
        </w:tc>
        <w:tc>
          <w:tcPr>
            <w:tcW w:w="3912" w:type="dxa"/>
            <w:shd w:val="clear" w:color="auto" w:fill="auto"/>
            <w:noWrap/>
            <w:hideMark/>
          </w:tcPr>
          <w:p w:rsidR="005F62CC" w:rsidRPr="00655592" w:rsidRDefault="005F62CC" w:rsidP="00000E57">
            <w:pPr>
              <w:rPr>
                <w:rFonts w:ascii="Calibri" w:hAnsi="Calibri"/>
                <w:color w:val="000000"/>
                <w:sz w:val="22"/>
                <w:szCs w:val="22"/>
              </w:rPr>
            </w:pPr>
            <w:r w:rsidRPr="00655592">
              <w:rPr>
                <w:rFonts w:ascii="Calibri" w:hAnsi="Calibri"/>
                <w:color w:val="000000"/>
                <w:sz w:val="22"/>
                <w:szCs w:val="22"/>
              </w:rPr>
              <w:t>Underground Low Voltage Service Conductor</w:t>
            </w:r>
          </w:p>
        </w:tc>
      </w:tr>
    </w:tbl>
    <w:p w:rsidR="005F62CC" w:rsidRDefault="005F62CC" w:rsidP="00CE123B">
      <w:pPr>
        <w:pStyle w:val="NoNum"/>
      </w:pPr>
    </w:p>
    <w:p w:rsidR="005F62CC" w:rsidRDefault="005F62CC" w:rsidP="005F62CC">
      <w:pPr>
        <w:pStyle w:val="Heading2"/>
      </w:pPr>
      <w:r>
        <w:br w:type="page"/>
      </w:r>
      <w:r>
        <w:lastRenderedPageBreak/>
        <w:t xml:space="preserve">SCHEDULE 11 – Parcels subject to liberty to apply in relation to application of section 47A </w:t>
      </w:r>
      <w:r w:rsidR="00BA2F64">
        <w:t>of the Native Title Act</w:t>
      </w:r>
    </w:p>
    <w:p w:rsidR="005F62CC" w:rsidRDefault="005F62CC" w:rsidP="005F62CC">
      <w:pPr>
        <w:pStyle w:val="NoNum"/>
      </w:pPr>
    </w:p>
    <w:tbl>
      <w:tblPr>
        <w:tblW w:w="647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941"/>
        <w:gridCol w:w="2037"/>
      </w:tblGrid>
      <w:tr w:rsidR="005F62CC" w:rsidRPr="00C15E43" w:rsidTr="00000E57">
        <w:trPr>
          <w:trHeight w:val="402"/>
          <w:tblHeader/>
          <w:jc w:val="center"/>
        </w:trPr>
        <w:tc>
          <w:tcPr>
            <w:tcW w:w="2499" w:type="dxa"/>
            <w:shd w:val="clear" w:color="auto" w:fill="F2F2F2"/>
            <w:noWrap/>
            <w:vAlign w:val="center"/>
            <w:hideMark/>
          </w:tcPr>
          <w:p w:rsidR="005F62CC" w:rsidRPr="00C15E43" w:rsidRDefault="005F62CC" w:rsidP="00000E57">
            <w:pPr>
              <w:rPr>
                <w:rFonts w:ascii="Calibri" w:hAnsi="Calibri"/>
                <w:b/>
                <w:bCs/>
                <w:color w:val="000000"/>
                <w:sz w:val="22"/>
                <w:szCs w:val="22"/>
              </w:rPr>
            </w:pPr>
            <w:r w:rsidRPr="00C15E43">
              <w:rPr>
                <w:rFonts w:ascii="Calibri" w:hAnsi="Calibri"/>
                <w:b/>
                <w:bCs/>
                <w:color w:val="000000"/>
                <w:sz w:val="22"/>
                <w:szCs w:val="22"/>
              </w:rPr>
              <w:t>DCDBID</w:t>
            </w:r>
          </w:p>
        </w:tc>
        <w:tc>
          <w:tcPr>
            <w:tcW w:w="1941" w:type="dxa"/>
            <w:shd w:val="clear" w:color="auto" w:fill="F2F2F2"/>
            <w:noWrap/>
            <w:vAlign w:val="center"/>
            <w:hideMark/>
          </w:tcPr>
          <w:p w:rsidR="005F62CC" w:rsidRPr="00C15E43" w:rsidRDefault="005F62CC" w:rsidP="00000E57">
            <w:pPr>
              <w:rPr>
                <w:rFonts w:ascii="Calibri" w:hAnsi="Calibri"/>
                <w:b/>
                <w:bCs/>
                <w:color w:val="000000"/>
                <w:sz w:val="22"/>
                <w:szCs w:val="22"/>
              </w:rPr>
            </w:pPr>
            <w:r w:rsidRPr="00C15E43">
              <w:rPr>
                <w:rFonts w:ascii="Calibri" w:hAnsi="Calibri"/>
                <w:b/>
                <w:bCs/>
                <w:color w:val="000000"/>
                <w:sz w:val="22"/>
                <w:szCs w:val="22"/>
              </w:rPr>
              <w:t>Hundred</w:t>
            </w:r>
          </w:p>
        </w:tc>
        <w:tc>
          <w:tcPr>
            <w:tcW w:w="2037" w:type="dxa"/>
            <w:shd w:val="clear" w:color="auto" w:fill="F2F2F2"/>
            <w:noWrap/>
            <w:vAlign w:val="center"/>
            <w:hideMark/>
          </w:tcPr>
          <w:p w:rsidR="005F62CC" w:rsidRPr="00C15E43" w:rsidRDefault="005F62CC" w:rsidP="00000E57">
            <w:pPr>
              <w:rPr>
                <w:rFonts w:ascii="Calibri" w:hAnsi="Calibri"/>
                <w:b/>
                <w:bCs/>
                <w:color w:val="000000"/>
                <w:sz w:val="22"/>
                <w:szCs w:val="22"/>
              </w:rPr>
            </w:pPr>
            <w:r w:rsidRPr="00C15E43">
              <w:rPr>
                <w:rFonts w:ascii="Calibri" w:hAnsi="Calibri"/>
                <w:b/>
                <w:bCs/>
                <w:color w:val="000000"/>
                <w:sz w:val="22"/>
                <w:szCs w:val="22"/>
              </w:rPr>
              <w:t>Title Reference</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H660200S23</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BLACKER</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992/29</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H660200S24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BLACKER</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778/12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H660200S28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BLACKER</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1059/27</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H660200S32</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BLACKER</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992/29</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H660200S36</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BLACKER</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1059/27</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H660200S5</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BLACKER</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531/28</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D7847A4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5204/726</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F158913A3</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5290/869</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F36496Q50</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6002/371</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F36496Q51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6002/371</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F41336A100</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557/42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H660300S183</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6002/371</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H660300S188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5894/194</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H660300S204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5585/862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H660300S22</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1607/87</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H660300S55</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5961/379</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H660300S68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5410/561</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T660301A14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5461/595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T660302A14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BONYTHON</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5833/47</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D47479A1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CALDWELL</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1282/42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H620200S23</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CALDWELL</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5223/390</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H620200S32</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CALDWELL</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5223/391</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H620200S62</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CALDWELL</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5223/392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D23393A1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CATT</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5301/453</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H660400S18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CATT</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5301/453</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H660400S19</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CATT</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5301/453</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H660400S8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CATT</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5301/453</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D30584A101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6004/625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H630400B6</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5998/967</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lastRenderedPageBreak/>
              <w:t>H630400S11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6004/625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H630400S12</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5998/842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H630400S13</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5998/842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H630400S14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5998/842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H630400S21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5998/842</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H630400S31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6004/625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H630400S33</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6004/625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H630400S8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GILES</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6004/625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D47479Q2</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NASH</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1277/20</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D47479Q3</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NASH</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1277/20</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H630800S17</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NASH</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5429/486</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H630800S6A</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NASH</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5742/885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H620700S29</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STURDEE</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990/26</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H620700S31</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STURDEE</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5223/389</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H620700S48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STURDEE</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5223/393</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D36577A104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WALLANIPPIE</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5972/343</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H661200S2E</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WALLANIPPIE</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5505/181</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H661200S47</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WALLANIPPIE</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5972/275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H661200S48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WALLANIPPIE</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5972/275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H661300S2</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WANDANA</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5412/985</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H661300S38</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WANDANA</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CT 5412/984</w:t>
            </w:r>
          </w:p>
        </w:tc>
      </w:tr>
      <w:tr w:rsidR="005F62CC" w:rsidRPr="00C15E43" w:rsidTr="00000E57">
        <w:trPr>
          <w:trHeight w:val="402"/>
          <w:jc w:val="center"/>
        </w:trPr>
        <w:tc>
          <w:tcPr>
            <w:tcW w:w="2499"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H661300S4</w:t>
            </w:r>
          </w:p>
        </w:tc>
        <w:tc>
          <w:tcPr>
            <w:tcW w:w="1941"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WANDANA</w:t>
            </w:r>
          </w:p>
        </w:tc>
        <w:tc>
          <w:tcPr>
            <w:tcW w:w="2037" w:type="dxa"/>
            <w:shd w:val="clear" w:color="auto" w:fill="auto"/>
            <w:noWrap/>
            <w:vAlign w:val="center"/>
            <w:hideMark/>
          </w:tcPr>
          <w:p w:rsidR="005F62CC" w:rsidRPr="00C15E43" w:rsidRDefault="005F62CC" w:rsidP="00000E57">
            <w:pPr>
              <w:rPr>
                <w:rFonts w:ascii="Calibri" w:hAnsi="Calibri"/>
                <w:color w:val="000000"/>
                <w:sz w:val="22"/>
                <w:szCs w:val="22"/>
              </w:rPr>
            </w:pPr>
            <w:r w:rsidRPr="00C15E43">
              <w:rPr>
                <w:rFonts w:ascii="Calibri" w:hAnsi="Calibri"/>
                <w:color w:val="000000"/>
                <w:sz w:val="22"/>
                <w:szCs w:val="22"/>
              </w:rPr>
              <w:t>CL 1015/36</w:t>
            </w:r>
          </w:p>
        </w:tc>
      </w:tr>
    </w:tbl>
    <w:p w:rsidR="00340CE9" w:rsidRDefault="00340CE9" w:rsidP="005F62CC">
      <w:pPr>
        <w:pStyle w:val="NoNum"/>
      </w:pPr>
    </w:p>
    <w:p w:rsidR="005F62CC" w:rsidRDefault="00340CE9" w:rsidP="005F62CC">
      <w:pPr>
        <w:pStyle w:val="NoNum"/>
        <w:rPr>
          <w:b/>
        </w:rPr>
      </w:pPr>
      <w:r>
        <w:br w:type="page"/>
      </w:r>
      <w:r>
        <w:rPr>
          <w:b/>
        </w:rPr>
        <w:lastRenderedPageBreak/>
        <w:t>SCHEDULE 12</w:t>
      </w:r>
      <w:r w:rsidR="00BA2F64">
        <w:rPr>
          <w:b/>
        </w:rPr>
        <w:t xml:space="preserve"> – Full list of parties</w:t>
      </w:r>
    </w:p>
    <w:p w:rsidR="00340CE9" w:rsidRDefault="00340CE9" w:rsidP="00340CE9">
      <w:pPr>
        <w:rPr>
          <w:b/>
          <w:bCs/>
          <w:sz w:val="22"/>
          <w:szCs w:val="22"/>
        </w:rPr>
      </w:pPr>
    </w:p>
    <w:p w:rsidR="00340CE9" w:rsidRPr="007A5B02" w:rsidRDefault="00340CE9" w:rsidP="00340CE9">
      <w:pPr>
        <w:tabs>
          <w:tab w:val="right" w:pos="9026"/>
        </w:tabs>
        <w:suppressAutoHyphens/>
        <w:spacing w:before="120" w:after="120"/>
        <w:ind w:right="1008"/>
        <w:jc w:val="right"/>
        <w:rPr>
          <w:rFonts w:cs="Arial"/>
          <w:noProof/>
          <w:sz w:val="22"/>
          <w:szCs w:val="22"/>
        </w:rPr>
      </w:pPr>
      <w:r w:rsidRPr="007A5B02">
        <w:rPr>
          <w:rFonts w:cs="Arial"/>
          <w:noProof/>
          <w:spacing w:val="-3"/>
          <w:sz w:val="22"/>
          <w:szCs w:val="22"/>
        </w:rPr>
        <w:t xml:space="preserve">No:  </w:t>
      </w:r>
      <w:r w:rsidRPr="007A5B02">
        <w:rPr>
          <w:rFonts w:cs="Arial"/>
          <w:noProof/>
          <w:sz w:val="22"/>
          <w:szCs w:val="22"/>
        </w:rPr>
        <w:t>SAD</w:t>
      </w:r>
      <w:r w:rsidR="00BA2F64">
        <w:rPr>
          <w:rFonts w:cs="Arial"/>
          <w:noProof/>
          <w:sz w:val="22"/>
          <w:szCs w:val="22"/>
        </w:rPr>
        <w:t xml:space="preserve"> </w:t>
      </w:r>
      <w:r w:rsidRPr="007A5B02">
        <w:rPr>
          <w:rFonts w:cs="Arial"/>
          <w:noProof/>
          <w:sz w:val="22"/>
          <w:szCs w:val="22"/>
        </w:rPr>
        <w:t>6008/1998</w:t>
      </w:r>
    </w:p>
    <w:p w:rsidR="00340CE9" w:rsidRPr="007A5B02" w:rsidRDefault="00340CE9" w:rsidP="00340CE9">
      <w:pPr>
        <w:tabs>
          <w:tab w:val="right" w:pos="9026"/>
        </w:tabs>
        <w:suppressAutoHyphens/>
        <w:spacing w:before="120" w:after="120"/>
        <w:ind w:right="1008"/>
        <w:rPr>
          <w:rFonts w:cs="Arial"/>
          <w:noProof/>
          <w:sz w:val="22"/>
          <w:szCs w:val="22"/>
        </w:rPr>
      </w:pPr>
      <w:r w:rsidRPr="007A5B02">
        <w:rPr>
          <w:rFonts w:cs="Arial"/>
          <w:noProof/>
          <w:sz w:val="22"/>
          <w:szCs w:val="22"/>
        </w:rPr>
        <w:t xml:space="preserve">Federal Court of </w:t>
      </w:r>
      <w:smartTag w:uri="urn:schemas-microsoft-com:office:smarttags" w:element="place">
        <w:smartTag w:uri="urn:schemas-microsoft-com:office:smarttags" w:element="country-region">
          <w:r w:rsidRPr="007A5B02">
            <w:rPr>
              <w:rFonts w:cs="Arial"/>
              <w:noProof/>
              <w:sz w:val="22"/>
              <w:szCs w:val="22"/>
            </w:rPr>
            <w:t>Australia</w:t>
          </w:r>
        </w:smartTag>
      </w:smartTag>
    </w:p>
    <w:p w:rsidR="00340CE9" w:rsidRPr="007A5B02" w:rsidRDefault="00340CE9" w:rsidP="00340CE9">
      <w:pPr>
        <w:tabs>
          <w:tab w:val="right" w:pos="9026"/>
        </w:tabs>
        <w:suppressAutoHyphens/>
        <w:spacing w:before="120" w:after="120"/>
        <w:ind w:right="1008"/>
        <w:rPr>
          <w:rFonts w:cs="Arial"/>
          <w:noProof/>
          <w:sz w:val="22"/>
          <w:szCs w:val="22"/>
        </w:rPr>
      </w:pPr>
      <w:r w:rsidRPr="007A5B02">
        <w:rPr>
          <w:rFonts w:cs="Arial"/>
          <w:noProof/>
          <w:sz w:val="22"/>
          <w:szCs w:val="22"/>
        </w:rPr>
        <w:t xml:space="preserve">District Registry: </w:t>
      </w:r>
      <w:smartTag w:uri="urn:schemas-microsoft-com:office:smarttags" w:element="place">
        <w:smartTag w:uri="urn:schemas-microsoft-com:office:smarttags" w:element="State">
          <w:r w:rsidRPr="007A5B02">
            <w:rPr>
              <w:rFonts w:cs="Arial"/>
              <w:noProof/>
              <w:sz w:val="22"/>
              <w:szCs w:val="22"/>
            </w:rPr>
            <w:t>South Australia</w:t>
          </w:r>
        </w:smartTag>
      </w:smartTag>
    </w:p>
    <w:p w:rsidR="00340CE9" w:rsidRPr="007A5B02" w:rsidRDefault="00340CE9" w:rsidP="00340CE9">
      <w:pPr>
        <w:tabs>
          <w:tab w:val="right" w:pos="9026"/>
        </w:tabs>
        <w:suppressAutoHyphens/>
        <w:spacing w:before="120" w:after="120"/>
        <w:ind w:right="1008"/>
        <w:rPr>
          <w:rFonts w:cs="Arial"/>
          <w:b/>
          <w:sz w:val="22"/>
          <w:szCs w:val="22"/>
        </w:rPr>
      </w:pPr>
      <w:r w:rsidRPr="007A5B02">
        <w:rPr>
          <w:rFonts w:cs="Arial"/>
          <w:noProof/>
          <w:sz w:val="22"/>
          <w:szCs w:val="22"/>
        </w:rPr>
        <w:t xml:space="preserve">Division: General </w:t>
      </w:r>
    </w:p>
    <w:p w:rsidR="00340CE9" w:rsidRPr="007A5B02" w:rsidRDefault="00340CE9" w:rsidP="00340CE9">
      <w:pPr>
        <w:suppressAutoHyphens/>
        <w:spacing w:before="120" w:after="120"/>
        <w:ind w:left="3600" w:hanging="3600"/>
        <w:rPr>
          <w:rFonts w:cs="Arial"/>
          <w:noProof/>
          <w:sz w:val="22"/>
          <w:szCs w:val="22"/>
        </w:rPr>
      </w:pPr>
    </w:p>
    <w:p w:rsidR="00BA2F64" w:rsidRDefault="00BA2F64" w:rsidP="00340CE9">
      <w:pPr>
        <w:suppressAutoHyphens/>
        <w:spacing w:before="120" w:after="120"/>
        <w:ind w:left="3600" w:hanging="3600"/>
        <w:rPr>
          <w:rFonts w:cs="Arial"/>
          <w:noProof/>
          <w:sz w:val="22"/>
          <w:szCs w:val="22"/>
        </w:rPr>
      </w:pPr>
      <w:r>
        <w:rPr>
          <w:rFonts w:cs="Arial"/>
          <w:noProof/>
          <w:sz w:val="22"/>
          <w:szCs w:val="22"/>
        </w:rPr>
        <w:t>Applicant:</w:t>
      </w:r>
      <w:r>
        <w:rPr>
          <w:rFonts w:cs="Arial"/>
          <w:noProof/>
          <w:sz w:val="22"/>
          <w:szCs w:val="22"/>
        </w:rPr>
        <w:tab/>
        <w:t>KENNETH GORDON ROBERTS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Applicant:</w:t>
      </w:r>
      <w:r w:rsidRPr="007A5B02">
        <w:rPr>
          <w:rFonts w:cs="Arial"/>
          <w:noProof/>
          <w:sz w:val="22"/>
          <w:szCs w:val="22"/>
        </w:rPr>
        <w:tab/>
        <w:t>CLEM LAWRIE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Applicant:</w:t>
      </w:r>
      <w:r w:rsidRPr="007A5B02">
        <w:rPr>
          <w:rFonts w:cs="Arial"/>
          <w:noProof/>
          <w:sz w:val="22"/>
          <w:szCs w:val="22"/>
        </w:rPr>
        <w:tab/>
        <w:t>BARKER BRYANT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Applicant:</w:t>
      </w:r>
      <w:r w:rsidRPr="007A5B02">
        <w:rPr>
          <w:rFonts w:cs="Arial"/>
          <w:noProof/>
          <w:sz w:val="22"/>
          <w:szCs w:val="22"/>
        </w:rPr>
        <w:tab/>
        <w:t>RICHARD JOHN LE BOIS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Applicant:</w:t>
      </w:r>
      <w:r w:rsidRPr="007A5B02">
        <w:rPr>
          <w:rFonts w:cs="Arial"/>
          <w:noProof/>
          <w:sz w:val="22"/>
          <w:szCs w:val="22"/>
        </w:rPr>
        <w:tab/>
        <w:t>GLADYS RITA MILLER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Applicant:</w:t>
      </w:r>
      <w:r w:rsidRPr="007A5B02">
        <w:rPr>
          <w:rFonts w:cs="Arial"/>
          <w:noProof/>
          <w:sz w:val="22"/>
          <w:szCs w:val="22"/>
        </w:rPr>
        <w:tab/>
        <w:t>SAMUEL GEORGE MASTROSAVAS</w:t>
      </w:r>
    </w:p>
    <w:p w:rsidR="00340CE9" w:rsidRPr="007A5B02" w:rsidRDefault="00340CE9" w:rsidP="00340CE9">
      <w:pPr>
        <w:suppressAutoHyphens/>
        <w:spacing w:before="120" w:after="120"/>
        <w:rPr>
          <w:rFonts w:cs="Arial"/>
          <w:noProof/>
          <w:sz w:val="22"/>
          <w:szCs w:val="22"/>
        </w:rPr>
      </w:pPr>
    </w:p>
    <w:p w:rsidR="00BA2F64" w:rsidRDefault="00BA2F64" w:rsidP="00340CE9">
      <w:pPr>
        <w:suppressAutoHyphens/>
        <w:spacing w:before="120" w:after="120"/>
        <w:ind w:left="3600" w:hanging="3600"/>
        <w:rPr>
          <w:rFonts w:cs="Arial"/>
          <w:noProof/>
          <w:sz w:val="22"/>
          <w:szCs w:val="22"/>
        </w:rPr>
      </w:pPr>
      <w:r>
        <w:rPr>
          <w:rFonts w:cs="Arial"/>
          <w:noProof/>
          <w:sz w:val="22"/>
          <w:szCs w:val="22"/>
        </w:rPr>
        <w:t>Respondent:</w:t>
      </w:r>
      <w:r>
        <w:rPr>
          <w:rFonts w:cs="Arial"/>
          <w:noProof/>
          <w:sz w:val="22"/>
          <w:szCs w:val="22"/>
        </w:rPr>
        <w:tab/>
        <w:t>STATE OF SOUTH AUSTRALIA</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DISTRICT COUNCIL OF CEDUNA</w:t>
      </w:r>
    </w:p>
    <w:p w:rsidR="00340CE9"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COSMO DEVELOPMENTS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ABBA GRABBA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BRYAN S AULD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ROBERT BAKER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STEPHANOS ATHANASOS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BJ &amp; CM SKINNER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ROBERT I EGLINTON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GAYNOR M EGLINTON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KESTEL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 J KLOOCK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LR KLOOCK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 KLOOCK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lastRenderedPageBreak/>
        <w:t>Respondent:</w:t>
      </w:r>
      <w:r w:rsidRPr="007A5B02">
        <w:rPr>
          <w:rFonts w:cs="Arial"/>
          <w:noProof/>
          <w:sz w:val="22"/>
          <w:szCs w:val="22"/>
        </w:rPr>
        <w:tab/>
        <w:t>EC KLOOCK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DANIEL T MAHAR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HELEN J MAHAR</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GM MAHAR</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SA MAHAR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NAMBOONA PASTORAL COMPANY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PG &amp; WJ AGARS NOM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EM PRICE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PA PRICE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MT PRICE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RW PRICE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ALLEN V STOTT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EVELYN J STOTT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ROSS M WOOD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G V DIXON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 xml:space="preserve"> Respondent:</w:t>
      </w:r>
      <w:r w:rsidRPr="007A5B02">
        <w:rPr>
          <w:rFonts w:cs="Arial"/>
          <w:noProof/>
          <w:sz w:val="22"/>
          <w:szCs w:val="22"/>
        </w:rPr>
        <w:tab/>
        <w:t>EYREWOOLF ENTERPRISES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DONALD W C BALL</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PETER C BARWICK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DORATHY J BARWICK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CHARLES DAVID BROWN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LEWIS D BRYANT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DAVID J BUCKLAND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PETER CLARKSON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PAUL GIBSON COMLEY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JOHN CRAIKE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NIGEL CRANFIELD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JEREMY CRICHTON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IMELDA LORRAINE DANIELS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lastRenderedPageBreak/>
        <w:t>Respondent:</w:t>
      </w:r>
      <w:r w:rsidRPr="007A5B02">
        <w:rPr>
          <w:rFonts w:cs="Arial"/>
          <w:noProof/>
          <w:sz w:val="22"/>
          <w:szCs w:val="22"/>
        </w:rPr>
        <w:tab/>
        <w:t>DEEP VENTURE NOMINEES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BARRY DREWER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VALERY DREWER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WALTER J DUNN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RUDOLF WILHELMUS DURRLAND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DR EDWARDS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NEIL EVANS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LESLIE DONALD FEAST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ROBERT FENTON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CRAIG MOSTYN &amp; CO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IAN FULLER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ANDREW FERGUSON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PETER BARRAND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JENNIFER BARWICK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RUSSELL EDWIN BOORD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LINDSAY DENE BOTT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BARTHOLOMEW BRETT BUTSON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ROBERT JOHN BUTSON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JOHN COLLINSON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JEFFREY JOHN DALE</w:t>
      </w:r>
    </w:p>
    <w:p w:rsidR="00340CE9" w:rsidRPr="007A5B02" w:rsidRDefault="00340CE9" w:rsidP="00340CE9">
      <w:pPr>
        <w:suppressAutoHyphens/>
        <w:spacing w:before="120" w:after="120"/>
        <w:ind w:left="3600" w:hanging="3600"/>
        <w:rPr>
          <w:rFonts w:cs="Arial"/>
          <w:noProof/>
          <w:sz w:val="22"/>
          <w:szCs w:val="22"/>
        </w:rPr>
      </w:pPr>
      <w:r>
        <w:rPr>
          <w:rFonts w:cs="Arial"/>
          <w:noProof/>
          <w:sz w:val="22"/>
          <w:szCs w:val="22"/>
        </w:rPr>
        <w:t>R</w:t>
      </w:r>
      <w:r w:rsidRPr="007A5B02">
        <w:rPr>
          <w:rFonts w:cs="Arial"/>
          <w:noProof/>
          <w:sz w:val="22"/>
          <w:szCs w:val="22"/>
        </w:rPr>
        <w:t>espondent:</w:t>
      </w:r>
      <w:r w:rsidRPr="007A5B02">
        <w:rPr>
          <w:rFonts w:cs="Arial"/>
          <w:noProof/>
          <w:sz w:val="22"/>
          <w:szCs w:val="22"/>
        </w:rPr>
        <w:tab/>
        <w:t>DAVID ENGE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DONALD GEORGE FEAST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DEBRA LEA FERGUSON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STEWART JOHN BUTSON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DONALD ROY BARRAND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ROBERT WILLIAM BARTSCH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RONALD A BATES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DAVID BECK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lastRenderedPageBreak/>
        <w:t>Respondent:</w:t>
      </w:r>
      <w:r w:rsidRPr="007A5B02">
        <w:rPr>
          <w:rFonts w:cs="Arial"/>
          <w:noProof/>
          <w:sz w:val="22"/>
          <w:szCs w:val="22"/>
        </w:rPr>
        <w:tab/>
        <w:t>CONSTRUCTION DIVERS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ALBERTO GALLI</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GEORGE ALEXANDER GREAVES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JOSIP GOBIN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TREVOR R GILMORE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TRENT GREGORY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LOVRE A GOBIN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N HOOD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MARK B JESSOP</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DAVID JOHN KENNEDY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SUZANNE K KAEHNE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ARNOLD WILLIAM KENT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LA CLOTURE FISHERIES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DAVID WILLIAM HALL</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BARRY J HURRELL</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HUBERT BRIAN HURRELL</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BRIAN D JONES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STEPHEN B HINGE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ELIZABETH HILL</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WILLIAM JOHN HENDRY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HERBERT NOAL HENDRY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CLEVE W HASSELL</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JOHN C HAAGMANS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COLIN A KAEHNE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ANN LUKIN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DOMENIC LAMERA</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JOAN MARGARET MARTIN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MARK NEAVE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lastRenderedPageBreak/>
        <w:t>Respondent:</w:t>
      </w:r>
      <w:r w:rsidRPr="007A5B02">
        <w:rPr>
          <w:rFonts w:cs="Arial"/>
          <w:noProof/>
          <w:sz w:val="22"/>
          <w:szCs w:val="22"/>
        </w:rPr>
        <w:tab/>
        <w:t>MICHAEL ARTHUR LEECH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PAUL MANTHORPE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PETER JOSEPH MARTIN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JOHN EDWARD MCGOVERN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ADAM DAVID OLDS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IAN D LEAR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CYNTHIA LEECH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DAVID M LEECH</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DARIJO LUKIN</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STANISLAV LUKIN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 J MACKENZIE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GUY MANTHORPE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WILLIAM BARRY MATTNER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JOHN MCCOY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K MONTGOMERY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STEPHEN JOHN MORIARTY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DARYL WILLIAM SMITH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MALCOLM W OSBORNE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ALAN ROBERTSON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DAVID SHERRY</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ANDREW NAIRNE SCHULTZ</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KERRY JOHN ROWE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STEPHEN ROSS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ANTONY SCOTT RILSTONE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MAX POLACCO</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LESLIE A POLKINGHORNE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BARRY POWER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JENNIFER M PURTELL</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lastRenderedPageBreak/>
        <w:t>Respondent:</w:t>
      </w:r>
      <w:r w:rsidRPr="007A5B02">
        <w:rPr>
          <w:rFonts w:cs="Arial"/>
          <w:noProof/>
          <w:sz w:val="22"/>
          <w:szCs w:val="22"/>
        </w:rPr>
        <w:tab/>
        <w:t>BENVENUTO ROBERT RIGONI</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WILLIAM PERCY RITTER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CON J RETSAS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GREGORY J PICKERING</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PHILIP PENALURICK</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KYM PENALURICK</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ALAN PAYNE</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K PALEOLOGOUDIAS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HOWARD J SLEEP</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TREVOR SMITH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RODNEY GRAHAM SMITH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HELEN I SMITH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NIGEL D SMITH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EDWARD THOMAS SMITH</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T GARNAUT NOMINEES PTY LTD</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W M SPENCER</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JEFFREY PAUL WAIT</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GRAHAM MARK TAPLEY</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ANNE ELIZABETH TAPLEY</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DARYL MARK SPENCER</w:t>
      </w:r>
    </w:p>
    <w:p w:rsidR="00340CE9" w:rsidRPr="007A5B02" w:rsidRDefault="00340CE9" w:rsidP="00340CE9">
      <w:pPr>
        <w:suppressAutoHyphens/>
        <w:spacing w:before="120" w:after="120"/>
        <w:ind w:left="3600" w:hanging="3600"/>
        <w:rPr>
          <w:rFonts w:cs="Arial"/>
          <w:noProof/>
          <w:sz w:val="22"/>
          <w:szCs w:val="22"/>
          <w:lang w:val="fr-FR"/>
        </w:rPr>
      </w:pPr>
      <w:r w:rsidRPr="007A5B02">
        <w:rPr>
          <w:rFonts w:cs="Arial"/>
          <w:noProof/>
          <w:sz w:val="22"/>
          <w:szCs w:val="22"/>
          <w:lang w:val="fr-FR"/>
        </w:rPr>
        <w:t>Respondent:</w:t>
      </w:r>
      <w:r w:rsidRPr="007A5B02">
        <w:rPr>
          <w:rFonts w:cs="Arial"/>
          <w:noProof/>
          <w:sz w:val="22"/>
          <w:szCs w:val="22"/>
          <w:lang w:val="fr-FR"/>
        </w:rPr>
        <w:tab/>
        <w:t>GRAHAM LESLIE WALDEN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GEOFFREY MAXWELL SWANN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JOHN THEAKSTONE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WEST COAST PRAWN FISHERIES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WAYROB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LELAND RICHARD WARNER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ALBERT THOMAS WHITTLE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NEVILLE VAROOE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lastRenderedPageBreak/>
        <w:t>Respondent:</w:t>
      </w:r>
      <w:r w:rsidRPr="007A5B02">
        <w:rPr>
          <w:rFonts w:cs="Arial"/>
          <w:noProof/>
          <w:sz w:val="22"/>
          <w:szCs w:val="22"/>
        </w:rPr>
        <w:tab/>
        <w:t>MURRAY TURNER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JACQUELINE TURNER</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JOHN SOUTH</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BRENTON SYMONS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w:t>
      </w:r>
      <w:r>
        <w:rPr>
          <w:rFonts w:cs="Arial"/>
          <w:noProof/>
          <w:sz w:val="22"/>
          <w:szCs w:val="22"/>
        </w:rPr>
        <w:t>t:</w:t>
      </w:r>
      <w:r>
        <w:rPr>
          <w:rFonts w:cs="Arial"/>
          <w:noProof/>
          <w:sz w:val="22"/>
          <w:szCs w:val="22"/>
        </w:rPr>
        <w:tab/>
        <w:t>SA POWER NETWORKS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MICHAEL H WILDE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JAMES PATRICK WILLIS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DAIMON J EDMUNDS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LEON CHARLES WRIGHT</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WINSHAW FISHERIES</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ALAN ROY WILSON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ROBERT J WILSON</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GYPSUM RESOURCES AUST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AJ &amp; PA MCBRIDE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LADY BUICK FISHERIES (ALBERT WHITTLE)</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CONGABIE PTY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SOUTH AUSTRALIAN APIARISTS ASSOCIATION INC</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SOUTH AUSTRALIAN NATIVE TITLE SERVICES LTD</w:t>
      </w:r>
    </w:p>
    <w:p w:rsidR="00340CE9" w:rsidRPr="007A5B02" w:rsidRDefault="00340CE9" w:rsidP="00340CE9">
      <w:pPr>
        <w:suppressAutoHyphens/>
        <w:spacing w:before="120" w:after="120"/>
        <w:ind w:left="3600" w:hanging="3600"/>
        <w:rPr>
          <w:rFonts w:cs="Arial"/>
          <w:noProof/>
          <w:sz w:val="22"/>
          <w:szCs w:val="22"/>
        </w:rPr>
      </w:pPr>
      <w:r w:rsidRPr="007A5B02">
        <w:rPr>
          <w:rFonts w:cs="Arial"/>
          <w:noProof/>
          <w:sz w:val="22"/>
          <w:szCs w:val="22"/>
        </w:rPr>
        <w:t>Respondent:</w:t>
      </w:r>
      <w:r w:rsidRPr="007A5B02">
        <w:rPr>
          <w:rFonts w:cs="Arial"/>
          <w:noProof/>
          <w:sz w:val="22"/>
          <w:szCs w:val="22"/>
        </w:rPr>
        <w:tab/>
        <w:t>COMMONWEALTH OF AUSTRALIA</w:t>
      </w:r>
    </w:p>
    <w:p w:rsidR="00340CE9" w:rsidRPr="00340CE9" w:rsidRDefault="00340CE9" w:rsidP="00340CE9">
      <w:pPr>
        <w:pStyle w:val="NoNum"/>
        <w:rPr>
          <w:b/>
        </w:rPr>
      </w:pPr>
      <w:r w:rsidRPr="007A5B02">
        <w:rPr>
          <w:rFonts w:cs="Arial"/>
          <w:noProof/>
          <w:sz w:val="22"/>
          <w:szCs w:val="22"/>
        </w:rPr>
        <w:t>Respondent:</w:t>
      </w:r>
      <w:r w:rsidRPr="007A5B02">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r>
      <w:r w:rsidRPr="007A5B02">
        <w:rPr>
          <w:rFonts w:cs="Arial"/>
          <w:noProof/>
          <w:sz w:val="22"/>
          <w:szCs w:val="22"/>
        </w:rPr>
        <w:t>TELSTRA CORPORATION LIMITED</w:t>
      </w:r>
    </w:p>
    <w:p w:rsidR="005271CD" w:rsidRDefault="001932FA" w:rsidP="00675E68">
      <w:pPr>
        <w:pStyle w:val="NoNum"/>
      </w:pPr>
      <w:r>
        <w:t xml:space="preserve"> </w:t>
      </w:r>
      <w:bookmarkEnd w:id="21"/>
    </w:p>
    <w:p w:rsidR="00F21406" w:rsidRDefault="00F21406" w:rsidP="00F21406">
      <w:pPr>
        <w:spacing w:before="60" w:after="60"/>
      </w:pPr>
    </w:p>
    <w:p w:rsidR="00F21406" w:rsidRDefault="00F21406" w:rsidP="00F21406">
      <w:pPr>
        <w:spacing w:before="60" w:after="60"/>
      </w:pPr>
    </w:p>
    <w:p w:rsidR="00AB3A68" w:rsidRPr="00875372" w:rsidRDefault="00AB3A68" w:rsidP="00AB3A68">
      <w:pPr>
        <w:ind w:left="708" w:hangingChars="322" w:hanging="708"/>
        <w:rPr>
          <w:sz w:val="22"/>
          <w:szCs w:val="22"/>
        </w:rPr>
      </w:pPr>
      <w:r w:rsidRPr="00875372">
        <w:rPr>
          <w:sz w:val="22"/>
          <w:szCs w:val="22"/>
        </w:rPr>
        <w:t>Note:</w:t>
      </w:r>
      <w:r w:rsidRPr="00875372">
        <w:rPr>
          <w:sz w:val="22"/>
          <w:szCs w:val="22"/>
        </w:rPr>
        <w:tab/>
        <w:t xml:space="preserve">Entry of orders is dealt with in Rule 39.32 of the </w:t>
      </w:r>
      <w:r w:rsidRPr="00AE74CE">
        <w:rPr>
          <w:i/>
          <w:sz w:val="22"/>
          <w:szCs w:val="22"/>
        </w:rPr>
        <w:t>Federal Court Rules 2011</w:t>
      </w:r>
      <w:r w:rsidRPr="00875372">
        <w:rPr>
          <w:sz w:val="22"/>
          <w:szCs w:val="22"/>
        </w:rPr>
        <w:t>.</w:t>
      </w:r>
    </w:p>
    <w:p w:rsidR="008916D1" w:rsidRDefault="008916D1"/>
    <w:p w:rsidR="00DD54E8" w:rsidRDefault="00DD54E8"/>
    <w:p w:rsidR="005271CD" w:rsidRDefault="005271CD">
      <w:pPr>
        <w:pStyle w:val="NormalHeadings"/>
        <w:spacing w:before="240" w:after="120"/>
        <w:rPr>
          <w:b w:val="0"/>
        </w:rPr>
        <w:sectPr w:rsidR="005271CD">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c>
          <w:tcPr>
            <w:tcW w:w="6771" w:type="dxa"/>
          </w:tcPr>
          <w:p w:rsidR="005271CD" w:rsidRPr="00884B15" w:rsidRDefault="005271CD">
            <w:pPr>
              <w:pStyle w:val="NormalHeadings"/>
              <w:spacing w:after="120"/>
              <w:jc w:val="left"/>
              <w:rPr>
                <w:caps/>
                <w:szCs w:val="24"/>
              </w:rPr>
            </w:pPr>
            <w:bookmarkStart w:id="22" w:name="ReasonsPage"/>
            <w:bookmarkEnd w:id="22"/>
            <w:r w:rsidRPr="00884B15">
              <w:rPr>
                <w:caps/>
                <w:szCs w:val="24"/>
              </w:rPr>
              <w:lastRenderedPageBreak/>
              <w:t>IN THE FEDERAL COURT OF AUSTRALIA</w:t>
            </w:r>
          </w:p>
        </w:tc>
        <w:tc>
          <w:tcPr>
            <w:tcW w:w="2471" w:type="dxa"/>
          </w:tcPr>
          <w:p w:rsidR="005271CD" w:rsidRDefault="005271CD">
            <w:pPr>
              <w:pStyle w:val="NormalHeadings"/>
            </w:pPr>
          </w:p>
        </w:tc>
      </w:tr>
      <w:tr w:rsidR="005271CD">
        <w:tc>
          <w:tcPr>
            <w:tcW w:w="6771"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State</w:instrText>
            </w:r>
            <w:r w:rsidR="00884B15">
              <w:rPr>
                <w:caps/>
                <w:szCs w:val="24"/>
              </w:rPr>
              <w:instrText xml:space="preserve"> \* MERGEFORMAT </w:instrText>
            </w:r>
            <w:r w:rsidRPr="00884B15">
              <w:rPr>
                <w:caps/>
                <w:szCs w:val="24"/>
              </w:rPr>
              <w:fldChar w:fldCharType="separate"/>
            </w:r>
            <w:r w:rsidR="00EB66DD">
              <w:rPr>
                <w:caps/>
                <w:szCs w:val="24"/>
              </w:rPr>
              <w:t>SOUTH AUSTRALIA</w:t>
            </w:r>
            <w:r w:rsidRPr="00884B15">
              <w:rPr>
                <w:caps/>
                <w:szCs w:val="24"/>
              </w:rPr>
              <w:fldChar w:fldCharType="end"/>
            </w:r>
            <w:r w:rsidRPr="00884B15">
              <w:rPr>
                <w:caps/>
                <w:szCs w:val="24"/>
              </w:rPr>
              <w:t xml:space="preserve"> </w:t>
            </w:r>
            <w:r w:rsidR="005271CD" w:rsidRPr="00884B15">
              <w:rPr>
                <w:caps/>
                <w:szCs w:val="24"/>
              </w:rPr>
              <w:t>DISTRICT REGISTRY</w:t>
            </w:r>
          </w:p>
        </w:tc>
        <w:tc>
          <w:tcPr>
            <w:tcW w:w="2471" w:type="dxa"/>
          </w:tcPr>
          <w:p w:rsidR="005271CD" w:rsidRPr="00145F70" w:rsidRDefault="005271CD">
            <w:pPr>
              <w:pStyle w:val="NormalHeadings"/>
              <w:tabs>
                <w:tab w:val="right" w:pos="3609"/>
              </w:tabs>
              <w:jc w:val="right"/>
              <w:rPr>
                <w:caps/>
                <w:szCs w:val="24"/>
              </w:rPr>
            </w:pPr>
          </w:p>
        </w:tc>
      </w:tr>
      <w:tr w:rsidR="00923905">
        <w:tc>
          <w:tcPr>
            <w:tcW w:w="6771" w:type="dxa"/>
          </w:tcPr>
          <w:p w:rsidR="00923905" w:rsidRPr="00884B15" w:rsidRDefault="0092390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EB66DD">
              <w:rPr>
                <w:caps/>
                <w:szCs w:val="24"/>
              </w:rPr>
              <w:t>GENERAL DIVISION</w:t>
            </w:r>
            <w:r>
              <w:rPr>
                <w:caps/>
                <w:szCs w:val="24"/>
              </w:rPr>
              <w:fldChar w:fldCharType="end"/>
            </w:r>
          </w:p>
        </w:tc>
        <w:tc>
          <w:tcPr>
            <w:tcW w:w="2471" w:type="dxa"/>
          </w:tcPr>
          <w:p w:rsidR="00923905" w:rsidRPr="00145F70" w:rsidRDefault="00923905" w:rsidP="00EE76E8">
            <w:pPr>
              <w:pStyle w:val="NormalHeadings"/>
              <w:tabs>
                <w:tab w:val="right" w:pos="3609"/>
              </w:tabs>
              <w:jc w:val="right"/>
              <w:rPr>
                <w:caps/>
                <w:szCs w:val="24"/>
              </w:rPr>
            </w:pPr>
            <w:r w:rsidRPr="00145F70">
              <w:rPr>
                <w:caps/>
                <w:szCs w:val="24"/>
              </w:rPr>
              <w:fldChar w:fldCharType="begin" w:fldLock="1"/>
            </w:r>
            <w:r w:rsidRPr="00145F70">
              <w:rPr>
                <w:caps/>
                <w:szCs w:val="24"/>
              </w:rPr>
              <w:instrText xml:space="preserve"> REF  Num </w:instrText>
            </w:r>
            <w:r>
              <w:rPr>
                <w:caps/>
                <w:szCs w:val="24"/>
              </w:rPr>
              <w:instrText xml:space="preserve"> \* MERGEFORMAT </w:instrText>
            </w:r>
            <w:r w:rsidRPr="00145F70">
              <w:rPr>
                <w:caps/>
                <w:szCs w:val="24"/>
              </w:rPr>
              <w:fldChar w:fldCharType="separate"/>
            </w:r>
            <w:r w:rsidR="00EB66DD" w:rsidRPr="00EB66DD">
              <w:rPr>
                <w:caps/>
                <w:szCs w:val="24"/>
              </w:rPr>
              <w:t>SAD</w:t>
            </w:r>
            <w:r w:rsidR="00EB66DD">
              <w:rPr>
                <w:szCs w:val="24"/>
              </w:rPr>
              <w:t xml:space="preserve"> 6008 of 1998</w:t>
            </w:r>
            <w:r w:rsidRPr="00145F70">
              <w:rPr>
                <w:caps/>
                <w:szCs w:val="24"/>
              </w:rPr>
              <w:fldChar w:fldCharType="end"/>
            </w:r>
          </w:p>
        </w:tc>
      </w:tr>
    </w:tbl>
    <w:p w:rsidR="005271CD" w:rsidRDefault="00EF4F7D" w:rsidP="00867153">
      <w:pPr>
        <w:pStyle w:val="AppealTable"/>
      </w:pPr>
      <w:r>
        <w:fldChar w:fldCharType="begin" w:fldLock="1"/>
      </w:r>
      <w:r>
        <w:instrText xml:space="preserve"> Ref AppealTable </w:instrText>
      </w:r>
      <w:r w:rsidR="00867153">
        <w:instrText xml:space="preserve"> \* MERGEFORMAT </w:instrText>
      </w:r>
      <w:r>
        <w:fldChar w:fldCharType="separate"/>
      </w:r>
      <w:r w:rsidR="00EB66DD" w:rsidRPr="00EB66DD">
        <w:rPr>
          <w:sz w:val="24"/>
        </w:rPr>
        <w:t xml:space="preserve"> </w:t>
      </w:r>
      <w:r>
        <w:fldChar w:fldCharType="end"/>
      </w:r>
    </w:p>
    <w:tbl>
      <w:tblPr>
        <w:tblW w:w="0" w:type="auto"/>
        <w:tblLayout w:type="fixed"/>
        <w:tblLook w:val="0000" w:firstRow="0" w:lastRow="0" w:firstColumn="0" w:lastColumn="0" w:noHBand="0" w:noVBand="0"/>
      </w:tblPr>
      <w:tblGrid>
        <w:gridCol w:w="2376"/>
        <w:gridCol w:w="6866"/>
      </w:tblGrid>
      <w:tr w:rsidR="005271CD">
        <w:trPr>
          <w:trHeight w:val="386"/>
        </w:trPr>
        <w:tc>
          <w:tcPr>
            <w:tcW w:w="2376" w:type="dxa"/>
          </w:tcPr>
          <w:p w:rsidR="005271CD" w:rsidRPr="00B76E4F" w:rsidRDefault="005271CD" w:rsidP="00E04ACD">
            <w:pPr>
              <w:pStyle w:val="NormalHeadings"/>
              <w:jc w:val="left"/>
              <w:rPr>
                <w:caps/>
                <w:szCs w:val="24"/>
              </w:rPr>
            </w:pPr>
            <w:r w:rsidRPr="00B76E4F">
              <w:rPr>
                <w:caps/>
                <w:szCs w:val="24"/>
              </w:rPr>
              <w:t>BETWEEN:</w:t>
            </w:r>
          </w:p>
        </w:tc>
        <w:tc>
          <w:tcPr>
            <w:tcW w:w="6866" w:type="dxa"/>
          </w:tcPr>
          <w:p w:rsidR="00AF0634" w:rsidRDefault="00AF0634" w:rsidP="00EC74B1">
            <w:pPr>
              <w:pStyle w:val="NormalHeadings"/>
              <w:jc w:val="left"/>
              <w:rPr>
                <w:caps/>
                <w:szCs w:val="24"/>
              </w:rPr>
            </w:pPr>
            <w:r>
              <w:rPr>
                <w:caps/>
                <w:szCs w:val="24"/>
              </w:rPr>
              <w:t>FAR WEST COAST NATIVE TITLE CLAIM</w:t>
            </w:r>
          </w:p>
          <w:p w:rsidR="00EB66DD" w:rsidRDefault="00C741C6"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sidR="00884B15">
              <w:rPr>
                <w:caps/>
                <w:szCs w:val="24"/>
              </w:rPr>
              <w:instrText xml:space="preserve"> \* MERGEFORMAT </w:instrText>
            </w:r>
            <w:r w:rsidRPr="00884B15">
              <w:rPr>
                <w:caps/>
                <w:szCs w:val="24"/>
              </w:rPr>
              <w:fldChar w:fldCharType="separate"/>
            </w:r>
            <w:r w:rsidR="00EB66DD">
              <w:rPr>
                <w:szCs w:val="24"/>
              </w:rPr>
              <w:t>KENNETH GORDON ROBERTS</w:t>
            </w:r>
            <w:r w:rsidR="00AF0634">
              <w:rPr>
                <w:szCs w:val="24"/>
              </w:rPr>
              <w:t xml:space="preserve"> &amp; OTHERS</w:t>
            </w:r>
          </w:p>
          <w:p w:rsidR="00EB66DD" w:rsidRDefault="00EB66DD" w:rsidP="00EC74B1">
            <w:pPr>
              <w:pStyle w:val="NormalHeadings"/>
              <w:jc w:val="left"/>
              <w:rPr>
                <w:szCs w:val="24"/>
              </w:rPr>
            </w:pPr>
            <w:r>
              <w:rPr>
                <w:szCs w:val="24"/>
              </w:rPr>
              <w:t>Applicant</w:t>
            </w:r>
          </w:p>
          <w:p w:rsidR="007848D7" w:rsidRDefault="007848D7" w:rsidP="00EC74B1">
            <w:pPr>
              <w:pStyle w:val="NormalHeadings"/>
              <w:jc w:val="left"/>
              <w:rPr>
                <w:szCs w:val="24"/>
              </w:rPr>
            </w:pPr>
          </w:p>
          <w:p w:rsidR="005271CD" w:rsidRDefault="00C741C6">
            <w:pPr>
              <w:pStyle w:val="NormalHeadings"/>
              <w:jc w:val="left"/>
              <w:rPr>
                <w:b w:val="0"/>
                <w:caps/>
                <w:sz w:val="22"/>
                <w:szCs w:val="24"/>
              </w:rPr>
            </w:pPr>
            <w:r w:rsidRPr="00884B15">
              <w:rPr>
                <w:caps/>
                <w:szCs w:val="24"/>
              </w:rPr>
              <w:fldChar w:fldCharType="end"/>
            </w:r>
            <w:r w:rsidR="002877DF">
              <w:rPr>
                <w:b w:val="0"/>
                <w:caps/>
                <w:sz w:val="22"/>
                <w:szCs w:val="24"/>
              </w:rPr>
              <w:t>[</w:t>
            </w:r>
            <w:r w:rsidR="007848D7">
              <w:rPr>
                <w:b w:val="0"/>
                <w:sz w:val="22"/>
                <w:szCs w:val="24"/>
              </w:rPr>
              <w:t>See Schedule 12 for Full List of Applicants]</w:t>
            </w:r>
          </w:p>
          <w:p w:rsidR="002877DF" w:rsidRPr="002877DF" w:rsidRDefault="002877DF">
            <w:pPr>
              <w:pStyle w:val="NormalHeadings"/>
              <w:jc w:val="left"/>
              <w:rPr>
                <w:b w:val="0"/>
                <w:caps/>
                <w:sz w:val="22"/>
                <w:szCs w:val="24"/>
              </w:rPr>
            </w:pPr>
          </w:p>
        </w:tc>
      </w:tr>
      <w:tr w:rsidR="005271CD">
        <w:trPr>
          <w:trHeight w:val="386"/>
        </w:trPr>
        <w:tc>
          <w:tcPr>
            <w:tcW w:w="2376" w:type="dxa"/>
          </w:tcPr>
          <w:p w:rsidR="005271CD" w:rsidRPr="00B76E4F" w:rsidRDefault="005271CD" w:rsidP="00E04ACD">
            <w:pPr>
              <w:pStyle w:val="NormalHeadings"/>
              <w:jc w:val="left"/>
              <w:rPr>
                <w:caps/>
                <w:szCs w:val="24"/>
              </w:rPr>
            </w:pPr>
            <w:r w:rsidRPr="00B76E4F">
              <w:rPr>
                <w:caps/>
                <w:szCs w:val="24"/>
              </w:rPr>
              <w:t>AND:</w:t>
            </w:r>
          </w:p>
        </w:tc>
        <w:tc>
          <w:tcPr>
            <w:tcW w:w="6866" w:type="dxa"/>
          </w:tcPr>
          <w:p w:rsidR="00EB66DD" w:rsidRDefault="00C741C6"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sidR="00884B15">
              <w:rPr>
                <w:caps/>
                <w:szCs w:val="24"/>
              </w:rPr>
              <w:instrText xml:space="preserve"> \* MERGEFORMAT </w:instrText>
            </w:r>
            <w:r w:rsidRPr="00884B15">
              <w:rPr>
                <w:caps/>
                <w:szCs w:val="24"/>
              </w:rPr>
              <w:fldChar w:fldCharType="separate"/>
            </w:r>
            <w:r w:rsidR="00EB66DD" w:rsidRPr="00EB66DD">
              <w:rPr>
                <w:caps/>
                <w:szCs w:val="24"/>
              </w:rPr>
              <w:t>STATE</w:t>
            </w:r>
            <w:r w:rsidR="00EB66DD">
              <w:rPr>
                <w:szCs w:val="24"/>
              </w:rPr>
              <w:t xml:space="preserve"> OF SOUTH AUSTRALIA</w:t>
            </w:r>
            <w:r w:rsidR="00AF0634">
              <w:rPr>
                <w:szCs w:val="24"/>
              </w:rPr>
              <w:t xml:space="preserve"> &amp; OTHERS</w:t>
            </w:r>
          </w:p>
          <w:p w:rsidR="00EB66DD" w:rsidRDefault="00EB66DD" w:rsidP="00000427">
            <w:pPr>
              <w:pStyle w:val="NormalHeadings"/>
              <w:jc w:val="left"/>
              <w:rPr>
                <w:szCs w:val="24"/>
              </w:rPr>
            </w:pPr>
            <w:r>
              <w:rPr>
                <w:szCs w:val="24"/>
              </w:rPr>
              <w:t>Respondent</w:t>
            </w:r>
          </w:p>
          <w:p w:rsidR="007848D7" w:rsidRDefault="007848D7" w:rsidP="00000427">
            <w:pPr>
              <w:pStyle w:val="NormalHeadings"/>
              <w:jc w:val="left"/>
              <w:rPr>
                <w:szCs w:val="24"/>
              </w:rPr>
            </w:pPr>
          </w:p>
          <w:p w:rsidR="005271CD" w:rsidRPr="002877DF" w:rsidRDefault="00C741C6">
            <w:pPr>
              <w:pStyle w:val="NormalHeadings"/>
              <w:jc w:val="left"/>
              <w:rPr>
                <w:b w:val="0"/>
                <w:caps/>
                <w:szCs w:val="24"/>
              </w:rPr>
            </w:pPr>
            <w:r w:rsidRPr="00884B15">
              <w:rPr>
                <w:caps/>
                <w:szCs w:val="24"/>
              </w:rPr>
              <w:fldChar w:fldCharType="end"/>
            </w:r>
            <w:r w:rsidR="002877DF" w:rsidRPr="002877DF">
              <w:rPr>
                <w:b w:val="0"/>
                <w:caps/>
                <w:sz w:val="22"/>
                <w:szCs w:val="24"/>
              </w:rPr>
              <w:t>[</w:t>
            </w:r>
            <w:r w:rsidR="007848D7">
              <w:rPr>
                <w:b w:val="0"/>
                <w:sz w:val="22"/>
                <w:szCs w:val="24"/>
              </w:rPr>
              <w:t>See Schedule 12 for Full List o</w:t>
            </w:r>
            <w:r w:rsidR="007848D7" w:rsidRPr="002877DF">
              <w:rPr>
                <w:b w:val="0"/>
                <w:sz w:val="22"/>
                <w:szCs w:val="24"/>
              </w:rPr>
              <w:t>f Respondents]</w:t>
            </w:r>
          </w:p>
        </w:tc>
      </w:tr>
    </w:tbl>
    <w:p w:rsidR="005271CD" w:rsidRDefault="005271CD">
      <w:pPr>
        <w:pStyle w:val="NormalHeadings"/>
      </w:pPr>
    </w:p>
    <w:tbl>
      <w:tblPr>
        <w:tblW w:w="0" w:type="auto"/>
        <w:tblLayout w:type="fixed"/>
        <w:tblLook w:val="0000" w:firstRow="0" w:lastRow="0" w:firstColumn="0" w:lastColumn="0" w:noHBand="0" w:noVBand="0"/>
      </w:tblPr>
      <w:tblGrid>
        <w:gridCol w:w="2376"/>
        <w:gridCol w:w="6866"/>
      </w:tblGrid>
      <w:tr w:rsidR="005271CD">
        <w:tc>
          <w:tcPr>
            <w:tcW w:w="2376"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JudgeText </w:instrText>
            </w:r>
            <w:r w:rsidR="00884B15" w:rsidRPr="00884B15">
              <w:rPr>
                <w:caps/>
                <w:szCs w:val="24"/>
              </w:rPr>
              <w:instrText xml:space="preserve"> \* MERGEFORMAT </w:instrText>
            </w:r>
            <w:r w:rsidRPr="00884B15">
              <w:rPr>
                <w:caps/>
                <w:szCs w:val="24"/>
              </w:rPr>
              <w:fldChar w:fldCharType="separate"/>
            </w:r>
            <w:r w:rsidR="00EB66DD">
              <w:rPr>
                <w:caps/>
                <w:szCs w:val="24"/>
              </w:rPr>
              <w:t>JUDGE</w:t>
            </w:r>
            <w:r w:rsidRPr="00884B15">
              <w:rPr>
                <w:caps/>
                <w:szCs w:val="24"/>
              </w:rPr>
              <w:fldChar w:fldCharType="end"/>
            </w:r>
            <w:r w:rsidR="005271CD" w:rsidRPr="00884B15">
              <w:rPr>
                <w:caps/>
                <w:szCs w:val="24"/>
              </w:rPr>
              <w:t>:</w:t>
            </w:r>
          </w:p>
        </w:tc>
        <w:tc>
          <w:tcPr>
            <w:tcW w:w="6866" w:type="dxa"/>
          </w:tcPr>
          <w:p w:rsidR="005271CD" w:rsidRPr="00884B15" w:rsidRDefault="004E2080">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EB66DD">
              <w:rPr>
                <w:caps/>
                <w:szCs w:val="24"/>
              </w:rPr>
              <w:t>MANSFIELD J</w:t>
            </w:r>
            <w:r>
              <w:rPr>
                <w:caps/>
                <w:szCs w:val="24"/>
              </w:rPr>
              <w:fldChar w:fldCharType="end"/>
            </w:r>
          </w:p>
        </w:tc>
      </w:tr>
      <w:tr w:rsidR="005271CD">
        <w:tc>
          <w:tcPr>
            <w:tcW w:w="2376" w:type="dxa"/>
          </w:tcPr>
          <w:p w:rsidR="005271CD" w:rsidRPr="00884B15" w:rsidRDefault="005271CD">
            <w:pPr>
              <w:pStyle w:val="NormalHeadings"/>
              <w:spacing w:after="120"/>
              <w:jc w:val="left"/>
              <w:rPr>
                <w:caps/>
                <w:szCs w:val="24"/>
              </w:rPr>
            </w:pPr>
            <w:r w:rsidRPr="00884B15">
              <w:rPr>
                <w:caps/>
                <w:szCs w:val="24"/>
              </w:rPr>
              <w:t>DATE:</w:t>
            </w:r>
          </w:p>
        </w:tc>
        <w:tc>
          <w:tcPr>
            <w:tcW w:w="6866" w:type="dxa"/>
          </w:tcPr>
          <w:p w:rsidR="005271CD" w:rsidRPr="00884B15" w:rsidRDefault="00C741C6">
            <w:pPr>
              <w:pStyle w:val="NormalHeadings"/>
              <w:rPr>
                <w:caps/>
                <w:szCs w:val="24"/>
              </w:rPr>
            </w:pPr>
            <w:r w:rsidRPr="00884B15">
              <w:rPr>
                <w:caps/>
                <w:szCs w:val="24"/>
              </w:rPr>
              <w:fldChar w:fldCharType="begin" w:fldLock="1"/>
            </w:r>
            <w:r w:rsidRPr="00884B15">
              <w:rPr>
                <w:caps/>
                <w:szCs w:val="24"/>
              </w:rPr>
              <w:instrText xml:space="preserve"> REF Judgment_Dated </w:instrText>
            </w:r>
            <w:r w:rsidR="00884B15">
              <w:rPr>
                <w:caps/>
                <w:szCs w:val="24"/>
              </w:rPr>
              <w:instrText xml:space="preserve"> \* MERGEFORMAT </w:instrText>
            </w:r>
            <w:r w:rsidRPr="00884B15">
              <w:rPr>
                <w:caps/>
                <w:szCs w:val="24"/>
              </w:rPr>
              <w:fldChar w:fldCharType="separate"/>
            </w:r>
            <w:r w:rsidR="00EB66DD">
              <w:rPr>
                <w:caps/>
                <w:szCs w:val="24"/>
              </w:rPr>
              <w:t>5 DECEMBER 2013</w:t>
            </w:r>
            <w:r w:rsidRPr="00884B15">
              <w:rPr>
                <w:caps/>
                <w:szCs w:val="24"/>
              </w:rPr>
              <w:fldChar w:fldCharType="end"/>
            </w:r>
          </w:p>
        </w:tc>
      </w:tr>
      <w:tr w:rsidR="005271CD">
        <w:tc>
          <w:tcPr>
            <w:tcW w:w="2376" w:type="dxa"/>
          </w:tcPr>
          <w:p w:rsidR="005271CD" w:rsidRPr="00884B15" w:rsidRDefault="005271CD">
            <w:pPr>
              <w:pStyle w:val="NormalHeadings"/>
              <w:spacing w:after="120"/>
              <w:jc w:val="left"/>
              <w:rPr>
                <w:caps/>
                <w:szCs w:val="24"/>
              </w:rPr>
            </w:pPr>
            <w:r w:rsidRPr="00884B15">
              <w:rPr>
                <w:caps/>
                <w:szCs w:val="24"/>
              </w:rPr>
              <w:t>PLACE:</w:t>
            </w:r>
          </w:p>
        </w:tc>
        <w:tc>
          <w:tcPr>
            <w:tcW w:w="6866" w:type="dxa"/>
          </w:tcPr>
          <w:p w:rsidR="005271CD" w:rsidRPr="00012E32" w:rsidRDefault="007C3C76">
            <w:pPr>
              <w:pStyle w:val="NormalHeadings"/>
              <w:rPr>
                <w:caps/>
                <w:szCs w:val="24"/>
              </w:rPr>
            </w:pPr>
            <w:r>
              <w:rPr>
                <w:caps/>
                <w:szCs w:val="24"/>
              </w:rPr>
              <w:t>lake pidinga</w:t>
            </w:r>
          </w:p>
        </w:tc>
      </w:tr>
    </w:tbl>
    <w:p w:rsidR="005271CD" w:rsidRDefault="005271CD"/>
    <w:p w:rsidR="005271CD" w:rsidRDefault="005271CD" w:rsidP="00E116B6">
      <w:pPr>
        <w:pStyle w:val="StyleBold"/>
        <w:jc w:val="center"/>
        <w:rPr>
          <w:b/>
        </w:rPr>
      </w:pPr>
      <w:r w:rsidRPr="00687B23">
        <w:rPr>
          <w:b/>
        </w:rPr>
        <w:t>REASONS FOR JUDGMENT</w:t>
      </w:r>
    </w:p>
    <w:p w:rsidR="003609E8" w:rsidRDefault="006568BA" w:rsidP="003609E8">
      <w:pPr>
        <w:pStyle w:val="ParaNumbering"/>
      </w:pPr>
      <w:r>
        <w:t>These reasons explain why I have made orders in t</w:t>
      </w:r>
      <w:r w:rsidR="003609E8">
        <w:t xml:space="preserve">his proceeding pursuant to </w:t>
      </w:r>
      <w:r w:rsidR="00716145">
        <w:t>s</w:t>
      </w:r>
      <w:r w:rsidR="003609E8">
        <w:t xml:space="preserve"> 87 of the </w:t>
      </w:r>
      <w:r w:rsidR="003609E8" w:rsidRPr="00716145">
        <w:rPr>
          <w:i/>
        </w:rPr>
        <w:t>Na</w:t>
      </w:r>
      <w:r w:rsidR="00716145" w:rsidRPr="00716145">
        <w:rPr>
          <w:i/>
        </w:rPr>
        <w:t>tive Title Act 1993</w:t>
      </w:r>
      <w:r w:rsidR="00716145">
        <w:t xml:space="preserve"> (Cth) (NTA</w:t>
      </w:r>
      <w:r w:rsidR="003609E8">
        <w:t xml:space="preserve">) </w:t>
      </w:r>
      <w:r>
        <w:t>with the consent of the parties recognising that the Far West Coast Native Title Claim Group hold</w:t>
      </w:r>
      <w:r w:rsidR="000E41E2">
        <w:t>s</w:t>
      </w:r>
      <w:r>
        <w:t xml:space="preserve"> traditional indigenous interests in the Far West Coast area of South Australia.</w:t>
      </w:r>
    </w:p>
    <w:p w:rsidR="003609E8" w:rsidRDefault="003609E8" w:rsidP="003609E8">
      <w:pPr>
        <w:pStyle w:val="ParaNumbering"/>
      </w:pPr>
      <w:r>
        <w:t>The Far West Coast Native Title Claim is an amalgamation of five previous, partially overl</w:t>
      </w:r>
      <w:r w:rsidR="006568BA">
        <w:t>apping claims, being the Edward/</w:t>
      </w:r>
      <w:r w:rsidR="006D4338">
        <w:t>Ted Roberts n</w:t>
      </w:r>
      <w:r>
        <w:t>ative title claim (SG 6005/1998), Maralinga Tjarutja native title claim (SG</w:t>
      </w:r>
      <w:r w:rsidR="006D4338">
        <w:t xml:space="preserve"> </w:t>
      </w:r>
      <w:r>
        <w:t>6008/1998), Mirning native title claim (WAG 6016/1998), Wirangu #1 native title claim (SG</w:t>
      </w:r>
      <w:r w:rsidR="006D4338">
        <w:t xml:space="preserve"> </w:t>
      </w:r>
      <w:r>
        <w:t>6018/1998) and Yalata native title claim (SG</w:t>
      </w:r>
      <w:r w:rsidR="006D4338">
        <w:t xml:space="preserve"> </w:t>
      </w:r>
      <w:r>
        <w:t>6009/1998).</w:t>
      </w:r>
    </w:p>
    <w:p w:rsidR="006568BA" w:rsidRDefault="006568BA" w:rsidP="003609E8">
      <w:pPr>
        <w:pStyle w:val="ParaNumbering"/>
      </w:pPr>
      <w:r>
        <w:t xml:space="preserve">When the dust first settled on the claims for recognition of traditional rights and interests over the various parts of South Australia, the picture was not a clear one. The </w:t>
      </w:r>
      <w:r w:rsidR="000E41E2">
        <w:t>NTA</w:t>
      </w:r>
      <w:r>
        <w:t xml:space="preserve"> said there could be only one decision recognising those rights over any particular country, but there were a lot of claims which overlapped, including over the Far West Coast area. Some people called it a daisy chain, because of the “loops” of country which intersected.</w:t>
      </w:r>
    </w:p>
    <w:p w:rsidR="006568BA" w:rsidRDefault="00270432" w:rsidP="003609E8">
      <w:pPr>
        <w:pStyle w:val="ParaNumbering"/>
      </w:pPr>
      <w:r>
        <w:t>In 2003 a</w:t>
      </w:r>
      <w:r w:rsidR="006568BA">
        <w:t xml:space="preserve"> proposal was first made by the Aboriginal Legal Rights Moveme</w:t>
      </w:r>
      <w:r>
        <w:t>nt Inc (ALRM) Native Title Unit to address those problems.</w:t>
      </w:r>
      <w:r w:rsidR="006568BA">
        <w:t xml:space="preserve"> It was then the representative body for </w:t>
      </w:r>
      <w:r w:rsidR="006568BA">
        <w:lastRenderedPageBreak/>
        <w:t xml:space="preserve">South Australia under </w:t>
      </w:r>
      <w:r>
        <w:t xml:space="preserve">Part 11 of </w:t>
      </w:r>
      <w:r w:rsidR="006568BA">
        <w:t>the NTA. Its successor is South Australia</w:t>
      </w:r>
      <w:r w:rsidR="000E41E2">
        <w:t>n</w:t>
      </w:r>
      <w:r w:rsidR="006568BA">
        <w:t xml:space="preserve"> Native Title Services Inc (SANTS)</w:t>
      </w:r>
      <w:r>
        <w:t xml:space="preserve">. The proposal was put to </w:t>
      </w:r>
      <w:r w:rsidR="006568BA">
        <w:t xml:space="preserve">the National Native Title Tribunal (NNTT) </w:t>
      </w:r>
      <w:r>
        <w:t xml:space="preserve">in South Australia. The NNTT through </w:t>
      </w:r>
      <w:r w:rsidR="006D4338">
        <w:t>its</w:t>
      </w:r>
      <w:r w:rsidR="006568BA">
        <w:t xml:space="preserve"> Deputy </w:t>
      </w:r>
      <w:r>
        <w:t xml:space="preserve">President, the Hon Chris Sumner, </w:t>
      </w:r>
      <w:r w:rsidR="006568BA">
        <w:t xml:space="preserve">developed with ALRM a mediation strategy to try and reduce the overlaps. It was formally called the Central West South Australia Mediation Strategy, and </w:t>
      </w:r>
      <w:r>
        <w:t>culminated in the</w:t>
      </w:r>
      <w:r w:rsidR="006568BA">
        <w:t xml:space="preserve"> popularly called Spear Creek meeting.</w:t>
      </w:r>
    </w:p>
    <w:p w:rsidR="006568BA" w:rsidRDefault="000E41E2" w:rsidP="003609E8">
      <w:pPr>
        <w:pStyle w:val="ParaNumbering"/>
      </w:pPr>
      <w:r>
        <w:t>A three-</w:t>
      </w:r>
      <w:r w:rsidR="006568BA">
        <w:t xml:space="preserve">day workshop in Adelaide </w:t>
      </w:r>
      <w:r w:rsidR="00270432">
        <w:t xml:space="preserve">in late 2003 started </w:t>
      </w:r>
      <w:r w:rsidR="006568BA">
        <w:t xml:space="preserve">detailed planning for the Spear Creek meeting near Port Augusta. There was then extensive consultation to make sure the meeting operated effectively. </w:t>
      </w:r>
      <w:r>
        <w:t>In attendance</w:t>
      </w:r>
      <w:r w:rsidR="006568BA">
        <w:t xml:space="preserve"> were nine native title claim groups involved. The Spear Creek meeting took place on 20-25 May 2004. There were representatives of all the claim group</w:t>
      </w:r>
      <w:r w:rsidR="00270432">
        <w:t>s</w:t>
      </w:r>
      <w:r w:rsidR="006568BA">
        <w:t xml:space="preserve"> and many senior Aboriginal people, w</w:t>
      </w:r>
      <w:r w:rsidR="00270432">
        <w:t xml:space="preserve">ho acted as consultants of </w:t>
      </w:r>
      <w:r w:rsidR="006568BA">
        <w:t>ALRM</w:t>
      </w:r>
      <w:r>
        <w:t>, as well as</w:t>
      </w:r>
      <w:r w:rsidR="006568BA">
        <w:t xml:space="preserve"> a number of anthropologists and </w:t>
      </w:r>
      <w:r>
        <w:t>ALRM’s</w:t>
      </w:r>
      <w:r w:rsidR="006568BA">
        <w:t xml:space="preserve"> legal consultants, Deputy President Chris Sumner and other representatives of the NNTT, including its mapping team, and Mr Peter Hall for the State.</w:t>
      </w:r>
    </w:p>
    <w:p w:rsidR="006568BA" w:rsidRDefault="006568BA" w:rsidP="003609E8">
      <w:pPr>
        <w:pStyle w:val="ParaNumbering"/>
      </w:pPr>
      <w:r>
        <w:t>The detail of the process is recorded elsewhere.</w:t>
      </w:r>
    </w:p>
    <w:p w:rsidR="006568BA" w:rsidRDefault="006568BA" w:rsidP="003609E8">
      <w:pPr>
        <w:pStyle w:val="ParaNumbering"/>
      </w:pPr>
      <w:r>
        <w:t>Importantly, for present purposes, the report</w:t>
      </w:r>
      <w:r w:rsidR="004B0ABD">
        <w:t xml:space="preserve"> of the NNTT was that there remained only the Far West Coast claim and the Mirning claim over the area now to be the subject of the determination, and the representatives of those two claims had agreed that they be combined. The combination of the two claims was then formally authorised through separate meetings of the Far West Coast claimants and the Mirning claimants, at</w:t>
      </w:r>
      <w:r w:rsidR="00270432">
        <w:t xml:space="preserve"> separate meetings at Ceduna and at the Standpipe Hotel at Port Augusta respectively and at</w:t>
      </w:r>
      <w:r w:rsidR="004B0ABD">
        <w:t xml:space="preserve"> </w:t>
      </w:r>
      <w:r w:rsidR="000E41E2">
        <w:t>a</w:t>
      </w:r>
      <w:r w:rsidR="004B0ABD">
        <w:t xml:space="preserve"> joint meeting in Ceduna in December 2005.</w:t>
      </w:r>
    </w:p>
    <w:p w:rsidR="003609E8" w:rsidRDefault="003609E8" w:rsidP="003609E8">
      <w:pPr>
        <w:pStyle w:val="ParaNumbering"/>
      </w:pPr>
      <w:r>
        <w:t xml:space="preserve">In 2006, </w:t>
      </w:r>
      <w:r w:rsidR="004B0ABD">
        <w:t>the two claims were formally</w:t>
      </w:r>
      <w:r>
        <w:t xml:space="preserve"> combined to form the current claim</w:t>
      </w:r>
      <w:r w:rsidR="004B0ABD">
        <w:t xml:space="preserve"> and some</w:t>
      </w:r>
      <w:r w:rsidR="000E41E2">
        <w:t xml:space="preserve"> w</w:t>
      </w:r>
      <w:r>
        <w:t xml:space="preserve">estern Kokatha People </w:t>
      </w:r>
      <w:r w:rsidR="004B0ABD">
        <w:t>were</w:t>
      </w:r>
      <w:r>
        <w:t xml:space="preserve"> also included in this combined claim.</w:t>
      </w:r>
      <w:r w:rsidR="004B0ABD">
        <w:t xml:space="preserve"> </w:t>
      </w:r>
      <w:r>
        <w:t xml:space="preserve">The native title </w:t>
      </w:r>
      <w:r w:rsidR="000E41E2">
        <w:t>claim</w:t>
      </w:r>
      <w:r>
        <w:t xml:space="preserve"> group identify primarily as Mirning, Wirangu and Kokatha.  As a result of inter-marriage, many have affiliations with more than one group. </w:t>
      </w:r>
    </w:p>
    <w:p w:rsidR="003609E8" w:rsidRDefault="003609E8" w:rsidP="003609E8">
      <w:pPr>
        <w:pStyle w:val="ParaNumbering"/>
      </w:pPr>
      <w:r>
        <w:t>The Far West Coast Applicant, the State of South Australia, the Commonwealth of Australia, and a range of pastoral, fishing, mining and other interests within the Determination Area who are parties to the proceedings have come to an agreement as to the orders that should be made by the Court and no</w:t>
      </w:r>
      <w:r w:rsidR="000E41E2">
        <w:t>w apply to the Court to make a c</w:t>
      </w:r>
      <w:r>
        <w:t xml:space="preserve">onsent </w:t>
      </w:r>
      <w:r w:rsidR="000E41E2">
        <w:lastRenderedPageBreak/>
        <w:t>d</w:t>
      </w:r>
      <w:r>
        <w:t>etermination under s</w:t>
      </w:r>
      <w:r w:rsidR="00716145">
        <w:t xml:space="preserve"> </w:t>
      </w:r>
      <w:r>
        <w:t xml:space="preserve">87 of the </w:t>
      </w:r>
      <w:r w:rsidR="000E41E2">
        <w:t>NTA in terms of the attached M</w:t>
      </w:r>
      <w:r>
        <w:t>inute of Consent Determination.</w:t>
      </w:r>
    </w:p>
    <w:p w:rsidR="003609E8" w:rsidRDefault="003609E8" w:rsidP="00716145">
      <w:pPr>
        <w:pStyle w:val="Heading2"/>
      </w:pPr>
      <w:r>
        <w:t xml:space="preserve">The </w:t>
      </w:r>
      <w:r w:rsidR="000E41E2">
        <w:t>NTA</w:t>
      </w:r>
      <w:r>
        <w:t xml:space="preserve"> requirements</w:t>
      </w:r>
    </w:p>
    <w:p w:rsidR="003609E8" w:rsidRDefault="003609E8" w:rsidP="003609E8">
      <w:pPr>
        <w:pStyle w:val="ParaNumbering"/>
      </w:pPr>
      <w:r>
        <w:t xml:space="preserve">Section 87 </w:t>
      </w:r>
      <w:r w:rsidR="00716145">
        <w:t xml:space="preserve">of the </w:t>
      </w:r>
      <w:r w:rsidR="000E41E2">
        <w:t>NTA empowers the c</w:t>
      </w:r>
      <w:r>
        <w:t xml:space="preserve">ourt to make orders by consent for the determination of native title if certain conditions have been satisfied.   </w:t>
      </w:r>
    </w:p>
    <w:p w:rsidR="003609E8" w:rsidRDefault="003609E8" w:rsidP="003609E8">
      <w:pPr>
        <w:pStyle w:val="ParaNumbering"/>
      </w:pPr>
      <w:r>
        <w:t xml:space="preserve">Section 87(1) </w:t>
      </w:r>
      <w:r w:rsidR="00716145">
        <w:t xml:space="preserve">of the </w:t>
      </w:r>
      <w:r>
        <w:t xml:space="preserve">NTA requires that, for the court to make the proposed consent determination of native title without a hearing, it must be satisfied that an order in, or consistent with, those terms would be within the power of the Court.  Section 87(2) requires the court to be satisfied that it would be appropriate to make the orders sought. </w:t>
      </w:r>
    </w:p>
    <w:p w:rsidR="003609E8" w:rsidRDefault="003609E8" w:rsidP="003609E8">
      <w:pPr>
        <w:pStyle w:val="ParaNumbering"/>
      </w:pPr>
      <w:r>
        <w:t xml:space="preserve">The orders sought must comply with </w:t>
      </w:r>
      <w:r w:rsidR="0080245A">
        <w:t>s</w:t>
      </w:r>
      <w:r>
        <w:t xml:space="preserve"> 94A </w:t>
      </w:r>
      <w:r w:rsidR="004E6DCF">
        <w:t xml:space="preserve">of the </w:t>
      </w:r>
      <w:r>
        <w:t xml:space="preserve">NTA, which requires that details of the matters mentioned in </w:t>
      </w:r>
      <w:r w:rsidR="0080245A">
        <w:t>s</w:t>
      </w:r>
      <w:r>
        <w:t xml:space="preserve"> 225 of the NTA be set out.  Se</w:t>
      </w:r>
      <w:r w:rsidR="000E41E2">
        <w:t>ction 225 of the NTA defines a d</w:t>
      </w:r>
      <w:r>
        <w:t>etermination of native title, and sets out the matters which must be addressed by</w:t>
      </w:r>
      <w:r w:rsidR="0080245A">
        <w:t xml:space="preserve"> that determination.  The term “</w:t>
      </w:r>
      <w:r>
        <w:t>native title</w:t>
      </w:r>
      <w:r w:rsidR="0080245A">
        <w:t>”</w:t>
      </w:r>
      <w:r>
        <w:t xml:space="preserve"> is defined at </w:t>
      </w:r>
      <w:r w:rsidR="0080245A">
        <w:t>s</w:t>
      </w:r>
      <w:r>
        <w:t xml:space="preserve"> 223 of the NTA.</w:t>
      </w:r>
    </w:p>
    <w:p w:rsidR="003609E8" w:rsidRDefault="004B0ABD" w:rsidP="003609E8">
      <w:pPr>
        <w:pStyle w:val="ParaNumbering"/>
      </w:pPr>
      <w:r>
        <w:t xml:space="preserve">The Court has considered the submissions of </w:t>
      </w:r>
      <w:r w:rsidR="000E41E2">
        <w:t>the p</w:t>
      </w:r>
      <w:r w:rsidR="003609E8">
        <w:t xml:space="preserve">arties that the requirements of </w:t>
      </w:r>
      <w:r w:rsidR="0080245A">
        <w:t>ss</w:t>
      </w:r>
      <w:r>
        <w:t> </w:t>
      </w:r>
      <w:r w:rsidR="003609E8">
        <w:t>223 and 225 of the NTA are satisfied, and why it is appropriate and within the power of the Court to make the orders sought.</w:t>
      </w:r>
      <w:r>
        <w:t xml:space="preserve"> As appears below, the Court is satisfied of those matters.</w:t>
      </w:r>
    </w:p>
    <w:p w:rsidR="003609E8" w:rsidRDefault="003609E8" w:rsidP="0080245A">
      <w:pPr>
        <w:pStyle w:val="Heading2"/>
      </w:pPr>
      <w:r>
        <w:t>The State’s Role</w:t>
      </w:r>
    </w:p>
    <w:p w:rsidR="003609E8" w:rsidRDefault="003609E8" w:rsidP="003609E8">
      <w:pPr>
        <w:pStyle w:val="ParaNumbering"/>
      </w:pPr>
      <w:r>
        <w:t xml:space="preserve">In </w:t>
      </w:r>
      <w:r w:rsidR="004E6DCF" w:rsidRPr="0080245A">
        <w:rPr>
          <w:i/>
        </w:rPr>
        <w:t>Munn v Queensland</w:t>
      </w:r>
      <w:r w:rsidR="004E6DCF">
        <w:t xml:space="preserve"> (2001) 115 FCR 109</w:t>
      </w:r>
      <w:r>
        <w:t xml:space="preserve">, Emmett J expressed the view that the Court needs to be satisfied at least that the State, through competent legal representation, is satisfied as to the cogency of the Applicant’s evidence and has considered the interests of the community generally.  </w:t>
      </w:r>
    </w:p>
    <w:p w:rsidR="003609E8" w:rsidRDefault="003609E8" w:rsidP="003609E8">
      <w:pPr>
        <w:pStyle w:val="ParaNumbering"/>
      </w:pPr>
      <w:r>
        <w:t xml:space="preserve">The Court has, in other cases determined pursuant to </w:t>
      </w:r>
      <w:r w:rsidR="0080245A">
        <w:t>s</w:t>
      </w:r>
      <w:r>
        <w:t xml:space="preserve"> 87 </w:t>
      </w:r>
      <w:r w:rsidR="0080245A">
        <w:t>of the NTA</w:t>
      </w:r>
      <w:r>
        <w:t>, been prepared to rely upon</w:t>
      </w:r>
      <w:r w:rsidR="000E41E2">
        <w:t xml:space="preserve"> the processes of the relevant S</w:t>
      </w:r>
      <w:r>
        <w:t xml:space="preserve">tate or territory government about the requirements of </w:t>
      </w:r>
      <w:r w:rsidR="000E41E2">
        <w:t>s</w:t>
      </w:r>
      <w:r>
        <w:t xml:space="preserve"> 223 being met to be satisfied that the making of the agreed orders is appropriate.  </w:t>
      </w:r>
    </w:p>
    <w:p w:rsidR="003609E8" w:rsidRDefault="003609E8" w:rsidP="003609E8">
      <w:pPr>
        <w:pStyle w:val="ParaNumbering"/>
      </w:pPr>
      <w:r>
        <w:t xml:space="preserve">The State of South Australia has developed a rigorous process for assessing the evidence in native title claims against the requirements of the NTA.  This process is outlined in the State’s published policy document </w:t>
      </w:r>
      <w:r w:rsidRPr="0017256F">
        <w:rPr>
          <w:i/>
        </w:rPr>
        <w:t>Consent Determinations in South Australia:</w:t>
      </w:r>
      <w:r>
        <w:t xml:space="preserve"> </w:t>
      </w:r>
      <w:r w:rsidRPr="0080245A">
        <w:rPr>
          <w:i/>
        </w:rPr>
        <w:t>A Guide to Preparing Native Title Reports</w:t>
      </w:r>
      <w:r w:rsidR="002F07EB">
        <w:t xml:space="preserve"> (</w:t>
      </w:r>
      <w:r>
        <w:t xml:space="preserve">CD Policy). </w:t>
      </w:r>
    </w:p>
    <w:p w:rsidR="003609E8" w:rsidRDefault="003609E8" w:rsidP="003609E8">
      <w:pPr>
        <w:pStyle w:val="ParaNumbering"/>
      </w:pPr>
      <w:r>
        <w:lastRenderedPageBreak/>
        <w:t>The State has conducted a lengthy and rigorous assessment of the evidence provided in support of this claim in accordance with its published CD Policy.  It has assessed anthropological and historical evidence submitted by the claimants, and has made its own independent inquiries.</w:t>
      </w:r>
    </w:p>
    <w:p w:rsidR="003609E8" w:rsidRDefault="003609E8" w:rsidP="003609E8">
      <w:pPr>
        <w:pStyle w:val="ParaNumbering"/>
      </w:pPr>
      <w:r>
        <w:t>This Court has made several comments in recent times as to the appropriate standards to be applied by parties in deciding whether to resolve claims by agreement and wi</w:t>
      </w:r>
      <w:r w:rsidR="0080245A">
        <w:t xml:space="preserve">thout trial.  For instance, in </w:t>
      </w:r>
      <w:r w:rsidR="004E6DCF" w:rsidRPr="0080245A">
        <w:rPr>
          <w:i/>
        </w:rPr>
        <w:t xml:space="preserve">Nelson v Northern Territory </w:t>
      </w:r>
      <w:r w:rsidR="004E6DCF">
        <w:t>(2010) 190 FCR 344; [2010] FCA 1343</w:t>
      </w:r>
      <w:r w:rsidR="0017256F">
        <w:t>,</w:t>
      </w:r>
      <w:r w:rsidR="002F07EB">
        <w:t xml:space="preserve"> </w:t>
      </w:r>
      <w:r>
        <w:t xml:space="preserve">Reeves </w:t>
      </w:r>
      <w:r w:rsidR="004B0ABD">
        <w:t xml:space="preserve">J at [12] and [13] </w:t>
      </w:r>
      <w:r>
        <w:t>made the following comments:</w:t>
      </w:r>
    </w:p>
    <w:p w:rsidR="003609E8" w:rsidRDefault="003609E8" w:rsidP="0080245A">
      <w:pPr>
        <w:pStyle w:val="Quote1"/>
      </w:pPr>
      <w:r>
        <w:t xml:space="preserve">It is appropriate to make some comments about the difficult balance a State party needs to strike between its role in protecting the community’s interests, including the stringency of the process it follows in assessing the underlying evidence going to the existence of native title, and its role in the native title system as a whole, to ensure that it, like the Court and all other parties, takes a flexible approach that is aimed at facilitating negotiation and achieving agreement.  </w:t>
      </w:r>
      <w:r w:rsidR="004B0ABD">
        <w:t xml:space="preserve">… </w:t>
      </w:r>
    </w:p>
    <w:p w:rsidR="004B0ABD" w:rsidRDefault="004B0ABD" w:rsidP="0080245A">
      <w:pPr>
        <w:pStyle w:val="Quote1"/>
      </w:pPr>
    </w:p>
    <w:p w:rsidR="004B0ABD" w:rsidRDefault="0017256F" w:rsidP="004B0ABD">
      <w:pPr>
        <w:pStyle w:val="Quote1"/>
      </w:pPr>
      <w:r>
        <w:t xml:space="preserve">… </w:t>
      </w:r>
      <w:r w:rsidR="004B0ABD">
        <w:t xml:space="preserve">In my view, it would be perverse to replace a trial before the Court with a trial conducted by </w:t>
      </w:r>
      <w:r>
        <w:t>the</w:t>
      </w:r>
      <w:r w:rsidR="004B0ABD">
        <w:t xml:space="preserve"> State party respondent and I do not consider that is what is intended by the provisions of s 87 of the Act.</w:t>
      </w:r>
    </w:p>
    <w:p w:rsidR="003609E8" w:rsidRDefault="003609E8" w:rsidP="004B0ABD">
      <w:pPr>
        <w:pStyle w:val="Quote1"/>
        <w:ind w:left="0"/>
      </w:pPr>
    </w:p>
    <w:p w:rsidR="004B0ABD" w:rsidRDefault="004B0ABD" w:rsidP="003609E8">
      <w:pPr>
        <w:pStyle w:val="ParaNumbering"/>
      </w:pPr>
      <w:r>
        <w:t xml:space="preserve">In that case, Reeves J at [13] specifically agreed with the remarks of North J in </w:t>
      </w:r>
      <w:r w:rsidR="004E6DCF">
        <w:rPr>
          <w:i/>
        </w:rPr>
        <w:t xml:space="preserve">Lovett on behalf of the Gunditjmara People v State of Victoria </w:t>
      </w:r>
      <w:r w:rsidR="004E6DCF">
        <w:t>[2007] FCA 474</w:t>
      </w:r>
      <w:r>
        <w:t xml:space="preserve"> at [37] and [38] as follows:</w:t>
      </w:r>
    </w:p>
    <w:p w:rsidR="004B0ABD" w:rsidRDefault="004B0ABD" w:rsidP="004B0ABD">
      <w:pPr>
        <w:pStyle w:val="Quote1"/>
      </w:pPr>
      <w:r>
        <w:t>…There is a question as to how far a State party is required to investigate in order to satisfy itself of a credible basis for an application.  One reason for the often inordinate time taken to resolve some of these cases is the overly demanding nature of the investigation conducted by State parties.  The scope of these investigations demanded by some States is reflected in the complex connection guidelines published by some States.</w:t>
      </w:r>
    </w:p>
    <w:p w:rsidR="004B0ABD" w:rsidRDefault="004B0ABD" w:rsidP="004B0ABD">
      <w:pPr>
        <w:pStyle w:val="Quote1"/>
      </w:pPr>
    </w:p>
    <w:p w:rsidR="004B0ABD" w:rsidRDefault="004B0ABD" w:rsidP="004B0ABD">
      <w:pPr>
        <w:pStyle w:val="Quote1"/>
      </w:pPr>
      <w:r>
        <w:t>The power conferred by the Act on the Court to approve agreements is given in order to avoid lengthy hearings before the Court.  The Act does not intend to substitute a trial, in effect, conducted by State parties for a trial before the Court.  Thus, something significantly less than the material necessary to justify a judicial determination is sufficient to satisfy a State party of a credible basis for an application.  The Act contemplates a more flexible process than is often undertaken in some cases.</w:t>
      </w:r>
    </w:p>
    <w:p w:rsidR="004B0ABD" w:rsidRDefault="004B0ABD" w:rsidP="004B0ABD">
      <w:pPr>
        <w:pStyle w:val="Quote1"/>
      </w:pPr>
    </w:p>
    <w:p w:rsidR="004B0ABD" w:rsidRDefault="004B0ABD" w:rsidP="003609E8">
      <w:pPr>
        <w:pStyle w:val="ParaNumbering"/>
      </w:pPr>
      <w:r>
        <w:t>There are many decisions now to similar effect.</w:t>
      </w:r>
    </w:p>
    <w:p w:rsidR="003609E8" w:rsidRDefault="003609E8" w:rsidP="003609E8">
      <w:pPr>
        <w:pStyle w:val="ParaNumbering"/>
      </w:pPr>
      <w:r>
        <w:t xml:space="preserve">After assessing all of the material available to it in accordance with the State’s CD Policy, the State is satisfied that a consent determination is appropriate in the terms set out in the attached Minute of Consent Determination.  </w:t>
      </w:r>
    </w:p>
    <w:p w:rsidR="003609E8" w:rsidRDefault="003609E8" w:rsidP="0080245A">
      <w:pPr>
        <w:pStyle w:val="Heading2"/>
      </w:pPr>
      <w:r>
        <w:lastRenderedPageBreak/>
        <w:t>The Determination Area</w:t>
      </w:r>
    </w:p>
    <w:p w:rsidR="003609E8" w:rsidRDefault="003609E8" w:rsidP="003609E8">
      <w:pPr>
        <w:pStyle w:val="ParaNumbering"/>
      </w:pPr>
      <w:r>
        <w:t>The Determination A</w:t>
      </w:r>
      <w:r w:rsidR="0017256F">
        <w:t>rea is located in the far south-</w:t>
      </w:r>
      <w:r>
        <w:t>west of the State of South Australia.  The area to be covered by the consent determination is approximately 75,249</w:t>
      </w:r>
      <w:r w:rsidR="004E6DCF">
        <w:t xml:space="preserve"> </w:t>
      </w:r>
      <w:r>
        <w:t>km</w:t>
      </w:r>
      <w:r w:rsidRPr="004E6DCF">
        <w:rPr>
          <w:vertAlign w:val="superscript"/>
        </w:rPr>
        <w:t>2</w:t>
      </w:r>
      <w:r>
        <w:t xml:space="preserve"> and extends from the coast north of Streaky Bay to the Western Australia border, abutting the Maralinga Tjarutja lands to the north.  </w:t>
      </w:r>
      <w:r w:rsidR="004B0ABD">
        <w:t>It includes the towns of Ceduna/</w:t>
      </w:r>
      <w:r>
        <w:t xml:space="preserve">Thevenard, Denial Bay, Smoky Bay, Penong, Fowlers Bay and Coorabie.  </w:t>
      </w:r>
    </w:p>
    <w:p w:rsidR="003609E8" w:rsidRDefault="003609E8" w:rsidP="003609E8">
      <w:pPr>
        <w:pStyle w:val="ParaNumbering"/>
      </w:pPr>
      <w:r>
        <w:t>The Determination Area does not include wa</w:t>
      </w:r>
      <w:r w:rsidR="0017256F">
        <w:t>ters on the seaward side of the low water m</w:t>
      </w:r>
      <w:r>
        <w:t>ark.  To the extent that the area covered by the applicat</w:t>
      </w:r>
      <w:r w:rsidR="0017256F">
        <w:t>ion includes waters beyond the low water m</w:t>
      </w:r>
      <w:r>
        <w:t>ark, it is being dismissed by the Consent Determination (paragraph 3).</w:t>
      </w:r>
      <w:r w:rsidR="004B0ABD">
        <w:t xml:space="preserve"> That is n</w:t>
      </w:r>
      <w:r w:rsidR="0017256F">
        <w:t>ot a d</w:t>
      </w:r>
      <w:r w:rsidR="004B0ABD">
        <w:t>etermination that no native title rights and interests exist in that excluded area: cf ss 13(1), 61(1) and 225 of the NTA.</w:t>
      </w:r>
    </w:p>
    <w:p w:rsidR="003609E8" w:rsidRDefault="003609E8" w:rsidP="003609E8">
      <w:pPr>
        <w:pStyle w:val="ParaNumbering"/>
      </w:pPr>
      <w:r>
        <w:t>The Determination Area encompasses three quite distinct but adjacent landscape types.  There is the comparatively fertile granite, limestone and coastal country in the east and south-east of the Determination Area, and encompassing the sand-dune country of the Yellabinna Regional Reserve.  There is the wooded coastal plain and largely treeless, infertile and waterless Nullarbor Pla</w:t>
      </w:r>
      <w:r w:rsidR="0017256F">
        <w:t>in through the centre and south-</w:t>
      </w:r>
      <w:r>
        <w:t>west of the Determination Area, and north of the Nullarbor Plain and across the north and north-eastern margin of the Determination Area, there is the dry inland salt lake, soak and sandhill country.</w:t>
      </w:r>
    </w:p>
    <w:p w:rsidR="003609E8" w:rsidRDefault="003609E8" w:rsidP="003609E8">
      <w:pPr>
        <w:pStyle w:val="ParaNumbering"/>
      </w:pPr>
      <w:r>
        <w:t>The first recorded contacts between Europeans and the Aboriginal inhabitants of the Far West Co</w:t>
      </w:r>
      <w:r w:rsidR="0017256F">
        <w:t>ast region occurred in the 1860</w:t>
      </w:r>
      <w:r>
        <w:t xml:space="preserve">s in the course of early expeditions by the explorers Warburton, R.T Maurice and W.H. Tietkins.  Pastoral settlement of the area followed some decades after.  </w:t>
      </w:r>
    </w:p>
    <w:p w:rsidR="003609E8" w:rsidRDefault="003609E8" w:rsidP="003609E8">
      <w:pPr>
        <w:pStyle w:val="ParaNumbering"/>
      </w:pPr>
      <w:r>
        <w:t xml:space="preserve">The Determination Area includes many sites of significance to the native title holders which continue to play an important role in the </w:t>
      </w:r>
      <w:r w:rsidR="0017256F">
        <w:t>observance</w:t>
      </w:r>
      <w:r>
        <w:t xml:space="preserve"> and maintenance of law and custom across the Determination Area.  Lake Pidinga itself is a site of cultural significance.  While the details of the story are restricted to senior initiated men, it can be said that the story associated with the site conn</w:t>
      </w:r>
      <w:r w:rsidR="0017256F">
        <w:t>ects the people of the southern-</w:t>
      </w:r>
      <w:r>
        <w:t>western desert to the people of the coast.  The site itself marks the travels of a giant serpent known to the native title holders as Wanampi, and the resources found at the site play an important role in the ceremonial life of the Law men of the Determination Area.  Some native title holders know and recall living at Pidinga Tanks, and it remains an important stopping place for people on their way to Ooldea and Oak Valley, just north of the Determination Area.</w:t>
      </w:r>
    </w:p>
    <w:p w:rsidR="003609E8" w:rsidRDefault="003609E8" w:rsidP="003609E8">
      <w:pPr>
        <w:pStyle w:val="ParaNumbering"/>
      </w:pPr>
      <w:r>
        <w:lastRenderedPageBreak/>
        <w:t xml:space="preserve">Over 85% of the area where native title is being recognised now includes land which is dedicated as national park, reserve or wilderness area under the </w:t>
      </w:r>
      <w:r w:rsidR="004E6DCF" w:rsidRPr="00D5727E">
        <w:rPr>
          <w:i/>
        </w:rPr>
        <w:t>National Parks and Wildlife Act 197</w:t>
      </w:r>
      <w:r w:rsidR="0017256F">
        <w:rPr>
          <w:i/>
        </w:rPr>
        <w:t>2</w:t>
      </w:r>
      <w:r w:rsidR="004E6DCF">
        <w:t xml:space="preserve"> (SA) or the </w:t>
      </w:r>
      <w:r w:rsidR="0017256F">
        <w:rPr>
          <w:i/>
        </w:rPr>
        <w:t>Wilderness Protection Act 1992</w:t>
      </w:r>
      <w:r w:rsidR="004E6DCF">
        <w:t xml:space="preserve"> </w:t>
      </w:r>
      <w:r w:rsidR="0017256F">
        <w:t>(</w:t>
      </w:r>
      <w:r w:rsidR="004E6DCF">
        <w:t>SA</w:t>
      </w:r>
      <w:r w:rsidR="0017256F">
        <w:t>)</w:t>
      </w:r>
      <w:r>
        <w:t>.  This includes the Nullabor Regional Reserve and Wilderness Protection Area, as well as the Yellabinna Regional Reserve and Wilderness Protection Area.  The Determination Area also includes the Yalata Lands, held by the Aboriginal Lands Trust.</w:t>
      </w:r>
    </w:p>
    <w:p w:rsidR="003609E8" w:rsidRDefault="003609E8" w:rsidP="00D5727E">
      <w:pPr>
        <w:pStyle w:val="Heading2"/>
      </w:pPr>
      <w:r>
        <w:t>The Evidence</w:t>
      </w:r>
    </w:p>
    <w:p w:rsidR="003609E8" w:rsidRDefault="003609E8" w:rsidP="003609E8">
      <w:pPr>
        <w:pStyle w:val="ParaNumbering"/>
      </w:pPr>
      <w:r>
        <w:t xml:space="preserve">Dr Kingsley Palmer, an expert anthropologist engaged by the Applicant, prepared an expert report (the Report) which was submitted to the State of South Australia in support of negotiations for a consent determination of native title. The Report annexed genealogical material prepared by Lyn Coad, an anthropologist </w:t>
      </w:r>
      <w:r w:rsidR="0017256F">
        <w:t>SANTS</w:t>
      </w:r>
      <w:r>
        <w:t>.</w:t>
      </w:r>
    </w:p>
    <w:p w:rsidR="003609E8" w:rsidRDefault="003609E8" w:rsidP="003609E8">
      <w:pPr>
        <w:pStyle w:val="ParaNumbering"/>
      </w:pPr>
      <w:r>
        <w:t xml:space="preserve">Dr Palmer is a consultant anthropologist with considerable professional and academic experience, both generally and with regard to native title.  </w:t>
      </w:r>
    </w:p>
    <w:p w:rsidR="003609E8" w:rsidRDefault="003609E8" w:rsidP="003609E8">
      <w:pPr>
        <w:pStyle w:val="ParaNumbering"/>
      </w:pPr>
      <w:r>
        <w:t xml:space="preserve">The conclusions of Dr Palmer in the Report are based on a comprehensive assessment of the historical and ethnographic literature relating to the area and its surrounds, as well as information gathered during periods of fieldwork in the claim area.  </w:t>
      </w:r>
    </w:p>
    <w:p w:rsidR="003609E8" w:rsidRDefault="003609E8" w:rsidP="003609E8">
      <w:pPr>
        <w:pStyle w:val="ParaNumbering"/>
      </w:pPr>
      <w:r>
        <w:t>The above material was also supplemented by histo</w:t>
      </w:r>
      <w:r w:rsidR="00D5727E">
        <w:t>rical research undertaken by Mr </w:t>
      </w:r>
      <w:r>
        <w:t>Tom Gara.  Mr Gara is a professional historian who has specialised in native title matters since 1995.  He published a number of papers in relation to the Dete</w:t>
      </w:r>
      <w:r w:rsidR="0017256F">
        <w:t>rmination Area in the late 1980s and early 1990</w:t>
      </w:r>
      <w:r>
        <w:t xml:space="preserve">s. </w:t>
      </w:r>
    </w:p>
    <w:p w:rsidR="003609E8" w:rsidRDefault="003609E8" w:rsidP="003609E8">
      <w:pPr>
        <w:pStyle w:val="ParaNumbering"/>
      </w:pPr>
      <w:r>
        <w:t>The State obtained an independent anthropological assessment of Dr Palmer’s Report, which was undertaken by Dr Scott Cane.  Dr Cane is a consultant anthropologist with substantial experience working in the south-west of South Australia and in other western</w:t>
      </w:r>
      <w:r w:rsidR="0017256F">
        <w:t xml:space="preserve">­desert </w:t>
      </w:r>
      <w:r>
        <w:t>communities.  He has significant experience in native title matters.</w:t>
      </w:r>
    </w:p>
    <w:p w:rsidR="003609E8" w:rsidRDefault="003609E8" w:rsidP="003609E8">
      <w:pPr>
        <w:pStyle w:val="ParaNumbering"/>
      </w:pPr>
      <w:r>
        <w:t>The expert material submitted by the Applicant, the historical reports, and Dr Cane’s assessment were considered by the Solicitor-General for the State of South Austra</w:t>
      </w:r>
      <w:r w:rsidR="0017256F">
        <w:t>lia, Martin Hinton QC.  It was c</w:t>
      </w:r>
      <w:r>
        <w:t>ounsel’s considered opinion that a decision by the State to consent to orders recognising native title over the landward portion of the claim area would be justifiable on the material available to the State.</w:t>
      </w:r>
    </w:p>
    <w:p w:rsidR="003609E8" w:rsidRDefault="003609E8" w:rsidP="003609E8">
      <w:pPr>
        <w:pStyle w:val="ParaNumbering"/>
      </w:pPr>
      <w:r>
        <w:lastRenderedPageBreak/>
        <w:t xml:space="preserve">A position paper explaining the basis for the State’s view was distributed to all other respondent parties in September 2012.   </w:t>
      </w:r>
    </w:p>
    <w:p w:rsidR="003609E8" w:rsidRDefault="003609E8" w:rsidP="00D5727E">
      <w:pPr>
        <w:pStyle w:val="Heading2"/>
      </w:pPr>
      <w:r>
        <w:t xml:space="preserve">Section 223 </w:t>
      </w:r>
      <w:r w:rsidR="0017256F">
        <w:t xml:space="preserve">of the </w:t>
      </w:r>
      <w:r>
        <w:t xml:space="preserve">NTA </w:t>
      </w:r>
    </w:p>
    <w:p w:rsidR="003609E8" w:rsidRDefault="003609E8" w:rsidP="003609E8">
      <w:pPr>
        <w:pStyle w:val="ParaNumbering"/>
      </w:pPr>
      <w:r>
        <w:t>Section 223</w:t>
      </w:r>
      <w:r w:rsidR="0017256F">
        <w:t>(1)</w:t>
      </w:r>
      <w:r>
        <w:t xml:space="preserve"> </w:t>
      </w:r>
      <w:r w:rsidR="00D5727E">
        <w:t xml:space="preserve">of the </w:t>
      </w:r>
      <w:r>
        <w:t>NTA defines native title as:</w:t>
      </w:r>
    </w:p>
    <w:p w:rsidR="003609E8" w:rsidRDefault="00D5727E" w:rsidP="0017256F">
      <w:pPr>
        <w:pStyle w:val="Quote1"/>
      </w:pPr>
      <w:r>
        <w:t>.</w:t>
      </w:r>
      <w:r w:rsidR="003609E8">
        <w:t>..</w:t>
      </w:r>
      <w:r>
        <w:t xml:space="preserve"> </w:t>
      </w:r>
      <w:r w:rsidR="003609E8">
        <w:t>the communal, group or individual rights and interests of Aboriginal peoples … in relation to land or waters, where:</w:t>
      </w:r>
    </w:p>
    <w:p w:rsidR="00D5727E" w:rsidRDefault="00D5727E" w:rsidP="00D5727E">
      <w:pPr>
        <w:pStyle w:val="Quote1"/>
        <w:ind w:left="1442"/>
      </w:pPr>
    </w:p>
    <w:p w:rsidR="003609E8" w:rsidRDefault="003609E8" w:rsidP="0017256F">
      <w:pPr>
        <w:pStyle w:val="Quote2"/>
        <w:ind w:left="1457" w:hanging="720"/>
      </w:pPr>
      <w:r>
        <w:t>(a)</w:t>
      </w:r>
      <w:r>
        <w:tab/>
        <w:t xml:space="preserve">the rights and interests are possessed under the traditional laws acknowledged, and the traditional customs observed, by the Aboriginal peoples …; and </w:t>
      </w:r>
    </w:p>
    <w:p w:rsidR="00D5727E" w:rsidRDefault="00D5727E" w:rsidP="0017256F">
      <w:pPr>
        <w:pStyle w:val="Quote2"/>
        <w:ind w:left="1457" w:hanging="720"/>
      </w:pPr>
    </w:p>
    <w:p w:rsidR="003609E8" w:rsidRDefault="003609E8" w:rsidP="0017256F">
      <w:pPr>
        <w:pStyle w:val="Quote2"/>
        <w:ind w:left="1457" w:hanging="720"/>
      </w:pPr>
      <w:r>
        <w:t>(b)</w:t>
      </w:r>
      <w:r>
        <w:tab/>
        <w:t>the Aboriginal peoples …, by those laws and customs, have a connection with the land or waters; and</w:t>
      </w:r>
    </w:p>
    <w:p w:rsidR="00D5727E" w:rsidRDefault="00D5727E" w:rsidP="0017256F">
      <w:pPr>
        <w:pStyle w:val="Quote2"/>
        <w:ind w:left="1457" w:hanging="720"/>
      </w:pPr>
    </w:p>
    <w:p w:rsidR="003609E8" w:rsidRDefault="003609E8" w:rsidP="0017256F">
      <w:pPr>
        <w:pStyle w:val="Quote2"/>
        <w:ind w:left="1457" w:hanging="720"/>
      </w:pPr>
      <w:r>
        <w:t>(c)</w:t>
      </w:r>
      <w:r>
        <w:tab/>
        <w:t xml:space="preserve">the rights and interests are recognised </w:t>
      </w:r>
      <w:r w:rsidR="00D5727E">
        <w:t>by the common law of Australia.</w:t>
      </w:r>
    </w:p>
    <w:p w:rsidR="00D5727E" w:rsidRDefault="00D5727E" w:rsidP="0017256F">
      <w:pPr>
        <w:pStyle w:val="Quote2"/>
        <w:ind w:left="1457" w:hanging="720"/>
      </w:pPr>
    </w:p>
    <w:p w:rsidR="003609E8" w:rsidRDefault="003609E8" w:rsidP="003609E8">
      <w:pPr>
        <w:pStyle w:val="ParaNumbering"/>
      </w:pPr>
      <w:r>
        <w:t>Section 223(1)</w:t>
      </w:r>
      <w:r w:rsidR="00D5727E">
        <w:t xml:space="preserve"> of the</w:t>
      </w:r>
      <w:r>
        <w:t xml:space="preserve"> NTA has been considered extensively by the High Court, most notably</w:t>
      </w:r>
      <w:r w:rsidR="00D5727E">
        <w:t xml:space="preserve"> in </w:t>
      </w:r>
      <w:r w:rsidR="004E6DCF" w:rsidRPr="00D5727E">
        <w:rPr>
          <w:i/>
        </w:rPr>
        <w:t>Yorta Yorta</w:t>
      </w:r>
      <w:r w:rsidR="004E6DCF">
        <w:rPr>
          <w:i/>
        </w:rPr>
        <w:t xml:space="preserve"> Aboriginal Community v Victoria </w:t>
      </w:r>
      <w:r w:rsidR="004E6DCF">
        <w:t xml:space="preserve">(2002) 77 ALJR 356 </w:t>
      </w:r>
      <w:r w:rsidR="00D5727E">
        <w:t>(</w:t>
      </w:r>
      <w:r w:rsidR="00D5727E">
        <w:rPr>
          <w:i/>
        </w:rPr>
        <w:t>Yorta Yorta</w:t>
      </w:r>
      <w:r w:rsidR="00D5727E">
        <w:t xml:space="preserve">).  </w:t>
      </w:r>
      <w:r>
        <w:t xml:space="preserve">Subsequently, several Federal Court Judges have summarised the relevant principles, including in </w:t>
      </w:r>
      <w:r w:rsidR="004E6DCF" w:rsidRPr="00D5727E">
        <w:rPr>
          <w:i/>
        </w:rPr>
        <w:t>Risk v Northern Territory</w:t>
      </w:r>
      <w:r w:rsidR="004E6DCF">
        <w:t xml:space="preserve"> [2006] FCA 404 </w:t>
      </w:r>
      <w:r w:rsidR="00D5727E">
        <w:t>(</w:t>
      </w:r>
      <w:r w:rsidR="00D5727E">
        <w:rPr>
          <w:i/>
        </w:rPr>
        <w:t>Risk</w:t>
      </w:r>
      <w:r w:rsidR="00D5727E">
        <w:t>)</w:t>
      </w:r>
      <w:r>
        <w:t xml:space="preserve">.   </w:t>
      </w:r>
    </w:p>
    <w:p w:rsidR="003609E8" w:rsidRDefault="003609E8" w:rsidP="003609E8">
      <w:pPr>
        <w:pStyle w:val="ParaNumbering"/>
      </w:pPr>
      <w:r>
        <w:t>The State conducted its assessment of the evidence in light of the State’s CD Policy (which reflects the state of the law post-</w:t>
      </w:r>
      <w:r w:rsidRPr="002F07EB">
        <w:rPr>
          <w:i/>
        </w:rPr>
        <w:t>Yorta Yorta</w:t>
      </w:r>
      <w:r>
        <w:t>) and subsequent cases.</w:t>
      </w:r>
    </w:p>
    <w:p w:rsidR="003609E8" w:rsidRDefault="003609E8" w:rsidP="003609E8">
      <w:pPr>
        <w:pStyle w:val="ParaNumbering"/>
      </w:pPr>
      <w:r>
        <w:t>A threshold requirement is that the evidence show that there is a recognisable group or society that presently recognises and observes traditional laws and customs in the Determination Area.  In defining that group or society, the following must also be addressed:</w:t>
      </w:r>
    </w:p>
    <w:p w:rsidR="003609E8" w:rsidRDefault="003609E8" w:rsidP="00D5727E">
      <w:pPr>
        <w:pStyle w:val="ListNo"/>
        <w:numPr>
          <w:ilvl w:val="0"/>
          <w:numId w:val="38"/>
        </w:numPr>
        <w:tabs>
          <w:tab w:val="clear" w:pos="720"/>
        </w:tabs>
      </w:pPr>
      <w:r>
        <w:t>that they are a society united in and by their acknowledgement and observance of a body of accepted laws and customs;</w:t>
      </w:r>
    </w:p>
    <w:p w:rsidR="003609E8" w:rsidRDefault="003609E8" w:rsidP="00D5727E">
      <w:pPr>
        <w:pStyle w:val="ListNo"/>
        <w:numPr>
          <w:ilvl w:val="0"/>
          <w:numId w:val="38"/>
        </w:numPr>
        <w:tabs>
          <w:tab w:val="clear" w:pos="720"/>
        </w:tabs>
      </w:pPr>
      <w:r>
        <w:t>that the present day body of accepted laws and customs of the society, in essence, is the same body of laws and customs acknowledged and observed by the ancestors or members of the society adapted to modern circumstances; and</w:t>
      </w:r>
    </w:p>
    <w:p w:rsidR="003609E8" w:rsidRDefault="003609E8" w:rsidP="00D5727E">
      <w:pPr>
        <w:pStyle w:val="ListNo"/>
        <w:numPr>
          <w:ilvl w:val="0"/>
          <w:numId w:val="38"/>
        </w:numPr>
        <w:tabs>
          <w:tab w:val="clear" w:pos="720"/>
        </w:tabs>
      </w:pPr>
      <w:r>
        <w:t xml:space="preserve">that the acknowledgement and observance of those laws and customs has continued substantially uninterrupted by each generation since sovereignty and that the society has continued to exist throughout that period as a body united in and by its acknowledgment and observance of those laws and customs. </w:t>
      </w:r>
    </w:p>
    <w:p w:rsidR="003609E8" w:rsidRDefault="003609E8" w:rsidP="003609E8">
      <w:pPr>
        <w:pStyle w:val="ParaNumbering"/>
      </w:pPr>
      <w:r>
        <w:lastRenderedPageBreak/>
        <w:t xml:space="preserve">The claimants must show that they still possess rights and interests under the traditional laws acknowledged and the traditional customs observed by them and that those laws and customs give them a connection to the land. </w:t>
      </w:r>
    </w:p>
    <w:p w:rsidR="003609E8" w:rsidRDefault="003609E8" w:rsidP="00D5727E">
      <w:pPr>
        <w:pStyle w:val="Heading2"/>
      </w:pPr>
      <w:r>
        <w:t>The relevant society for the purposes of s</w:t>
      </w:r>
      <w:r w:rsidR="00D5727E">
        <w:t xml:space="preserve"> 223 of the </w:t>
      </w:r>
      <w:r>
        <w:t>NTA</w:t>
      </w:r>
    </w:p>
    <w:p w:rsidR="003609E8" w:rsidRDefault="003609E8" w:rsidP="003609E8">
      <w:pPr>
        <w:pStyle w:val="ParaNumbering"/>
      </w:pPr>
      <w:r>
        <w:t>What constitutes a society or group that acknowledges and observes a body of traditional laws and customs is a question of fact.  Ther</w:t>
      </w:r>
      <w:r w:rsidR="00D5727E">
        <w:t>e are a number of decided cases</w:t>
      </w:r>
      <w:r w:rsidR="00000E57">
        <w:t xml:space="preserve"> </w:t>
      </w:r>
      <w:r>
        <w:t>in which composite communities or groups such as different language or estate holding groups have been found to constitute a wider community or group of peoples that have acknowledged the traditional laws and observed the traditional customs from which the native title rights of members of the composite g</w:t>
      </w:r>
      <w:r w:rsidR="00000E57">
        <w:t xml:space="preserve">roup are derived. </w:t>
      </w:r>
    </w:p>
    <w:p w:rsidR="003609E8" w:rsidRDefault="003609E8" w:rsidP="003609E8">
      <w:pPr>
        <w:pStyle w:val="ParaNumbering"/>
      </w:pPr>
      <w:r>
        <w:t>A society can exist on a number of levels, and at each level there arise norms that bind the membership.  For native title purposes, the relevant level is that at which the norms which bind membership give rise to the relevant rights, title and interest</w:t>
      </w:r>
      <w:r w:rsidR="0017256F">
        <w:t>s</w:t>
      </w:r>
      <w:r>
        <w:t xml:space="preserve"> in relation to land and waters.</w:t>
      </w:r>
    </w:p>
    <w:p w:rsidR="003609E8" w:rsidRDefault="003609E8" w:rsidP="003609E8">
      <w:pPr>
        <w:pStyle w:val="ParaNumbering"/>
      </w:pPr>
      <w:r>
        <w:t>There are three language groups within the Determination Area, being Kokatha, Mirning and Wirangu.  An individual native title holder cites descent as the means by which a language identity is derived, being filiative links traced through either father or mother.</w:t>
      </w:r>
    </w:p>
    <w:p w:rsidR="003609E8" w:rsidRDefault="003609E8" w:rsidP="003609E8">
      <w:pPr>
        <w:pStyle w:val="ParaNumbering"/>
      </w:pPr>
      <w:r>
        <w:t>The evidence suggests that members of these three language groups form constituent members of</w:t>
      </w:r>
      <w:r w:rsidR="0017256F">
        <w:t xml:space="preserve"> a single regional society, who</w:t>
      </w:r>
      <w:r>
        <w:t xml:space="preserve"> together hold the communal rights, title and interest</w:t>
      </w:r>
      <w:r w:rsidR="0017256F">
        <w:t>s</w:t>
      </w:r>
      <w:r>
        <w:t xml:space="preserve"> in the Determination Area.  </w:t>
      </w:r>
    </w:p>
    <w:p w:rsidR="003609E8" w:rsidRDefault="003609E8" w:rsidP="003609E8">
      <w:pPr>
        <w:pStyle w:val="ParaNumbering"/>
      </w:pPr>
      <w:r>
        <w:t xml:space="preserve">The evidence demonstrates that there is, between members of the three language groups, a commonality of laws, customs, religious and spiritual matters and kinship such that they form one integrated polity.  Furthermore, there is a commonality of customs and beliefs that are shared with the Western Desert peoples to the north of the Determination Area, many of whom now reside at Yalata (within the Determination Area) and Oak Valley (on the Maralinga Tjarutja lands immediately to the north of the Determination Area). Some descendants of these Western Desert people, who were born on the Determination Area and have knowledge of and ritual responsibility for it, are also members of the native title </w:t>
      </w:r>
      <w:r w:rsidR="0017256F">
        <w:t>claim</w:t>
      </w:r>
      <w:r>
        <w:t xml:space="preserve"> group.</w:t>
      </w:r>
    </w:p>
    <w:p w:rsidR="003609E8" w:rsidRDefault="003609E8" w:rsidP="003609E8">
      <w:pPr>
        <w:pStyle w:val="ParaNumbering"/>
      </w:pPr>
      <w:r>
        <w:t xml:space="preserve">While identification with these three language groups is an important part of the way that members of the native title </w:t>
      </w:r>
      <w:r w:rsidR="0017256F">
        <w:t>claim</w:t>
      </w:r>
      <w:r>
        <w:t xml:space="preserve"> group situate themselves in relation to others, the </w:t>
      </w:r>
      <w:r>
        <w:lastRenderedPageBreak/>
        <w:t>evidence suggests that contemporary language group identity is in large part a matter of choice, occasioned by knowledge of country and its mythology, and social orientation.  This is because most native title holders are able to trace descent from ancestors whom they identify with different language groups.  Given the multiple language speaking groups of forebears, and the past (and present) inter-marriage between language group members, many native title holders today have ancestors in common, even though they may identify by reference to different language groups.</w:t>
      </w:r>
    </w:p>
    <w:p w:rsidR="003609E8" w:rsidRDefault="003609E8" w:rsidP="003609E8">
      <w:pPr>
        <w:pStyle w:val="ParaNumbering"/>
      </w:pPr>
      <w:r>
        <w:t xml:space="preserve">Language group identity is not, according to the evidence, the critical factor in determining native title rights and interests in the area.  </w:t>
      </w:r>
    </w:p>
    <w:p w:rsidR="003609E8" w:rsidRDefault="003609E8" w:rsidP="003609E8">
      <w:pPr>
        <w:pStyle w:val="ParaNumbering"/>
      </w:pPr>
      <w:r>
        <w:t xml:space="preserve">The experts agree that there are three principal means whereby persons may obtain native title rights and interests in the Determination Area.  </w:t>
      </w:r>
    </w:p>
    <w:p w:rsidR="003609E8" w:rsidRDefault="003609E8" w:rsidP="003609E8">
      <w:pPr>
        <w:pStyle w:val="ParaNumbering"/>
      </w:pPr>
      <w:r>
        <w:t>The first is</w:t>
      </w:r>
      <w:r w:rsidR="004B0ABD">
        <w:t xml:space="preserve"> through cognatic </w:t>
      </w:r>
      <w:r>
        <w:t>descent from an ancestor who was in possession of country within the Determination Area at or around the time of sovereignty.  Rights gained through descent are differentiated as to degree.  The realisation and thus effective exercise of these rights requires knowledge of the country and its spirituality.  Potential rights inherited from ancestors are transmissible to subsequent generations.</w:t>
      </w:r>
    </w:p>
    <w:p w:rsidR="003609E8" w:rsidRDefault="003609E8" w:rsidP="003609E8">
      <w:pPr>
        <w:pStyle w:val="ParaNumbering"/>
      </w:pPr>
      <w:r>
        <w:t>The second relies on place of birth of an individual.  Again rights deriving from place of birth within the Determination Area are potential rights only, and to give rise to rights in land must be realised through subsequent knowledge, association and familiarity with the country.</w:t>
      </w:r>
    </w:p>
    <w:p w:rsidR="003609E8" w:rsidRDefault="003609E8" w:rsidP="003609E8">
      <w:pPr>
        <w:pStyle w:val="ParaNumbering"/>
      </w:pPr>
      <w:r>
        <w:t>The experts also agree that rights in the Determination Area arise from totemic and ritual attachment.  These rights derive through ritual and mythical knowledge of and attachment to sites and strings of sites within the Determination Area that are associated with mythic beings.</w:t>
      </w:r>
    </w:p>
    <w:p w:rsidR="003609E8" w:rsidRDefault="003609E8" w:rsidP="003609E8">
      <w:pPr>
        <w:pStyle w:val="ParaNumbering"/>
      </w:pPr>
      <w:r>
        <w:t>The experts consider that rights gained solely by birth in the Determination Area or through ritual knowledge and experience are not automatically transmissible to subsequent generations unless accompanied by concomitant knowledge of the country by members of the subsequent generation.  In this regard there is a fundamental difference between claiming rights to country through descent, and that made by reference to birth or ritual attachment.</w:t>
      </w:r>
    </w:p>
    <w:p w:rsidR="003609E8" w:rsidRDefault="003609E8" w:rsidP="003609E8">
      <w:pPr>
        <w:pStyle w:val="ParaNumbering"/>
      </w:pPr>
      <w:r>
        <w:t xml:space="preserve">The </w:t>
      </w:r>
      <w:r w:rsidR="004B0ABD">
        <w:t>proposed</w:t>
      </w:r>
      <w:r>
        <w:t xml:space="preserve"> Consent Determination describes, in accordance with the evidence, those persons who are members of the native title holding group.  </w:t>
      </w:r>
      <w:r w:rsidR="004B0ABD">
        <w:t>The Court accepts</w:t>
      </w:r>
      <w:r>
        <w:t xml:space="preserve"> that the </w:t>
      </w:r>
      <w:r>
        <w:lastRenderedPageBreak/>
        <w:t>description is sufficient to identify the native title holding group and its society, and satisfies the requirements of the NTA.</w:t>
      </w:r>
    </w:p>
    <w:p w:rsidR="003609E8" w:rsidRDefault="003609E8" w:rsidP="00000E57">
      <w:pPr>
        <w:pStyle w:val="Heading2"/>
      </w:pPr>
      <w:r>
        <w:t>The relationship between the claim group’s society and the society in the Determination Area at sovereignty</w:t>
      </w:r>
    </w:p>
    <w:p w:rsidR="003609E8" w:rsidRDefault="003609E8" w:rsidP="003609E8">
      <w:pPr>
        <w:pStyle w:val="ParaNumbering"/>
      </w:pPr>
      <w:r>
        <w:t>The date of sovereignty for this area was 1825.  However, the period of first sustained contact with Europeans in the Determinatio</w:t>
      </w:r>
      <w:r w:rsidR="00000E57">
        <w:t>n Area was not until the 1870’</w:t>
      </w:r>
      <w:r>
        <w:t xml:space="preserve">s.  </w:t>
      </w:r>
    </w:p>
    <w:p w:rsidR="003609E8" w:rsidRDefault="003609E8" w:rsidP="003609E8">
      <w:pPr>
        <w:pStyle w:val="ParaNumbering"/>
      </w:pPr>
      <w:r>
        <w:t xml:space="preserve">The evidence supports a conclusion that at the time of sovereignty there were three language groups, Mirning, Kokatha and Wirangu in occupation of what is now the Determination Area.  While these groups were from discernible geographic parts of the Determination Area, there was in place between them a regional system of laws and customs that governed interaction between the Mirning and Wirangu, between the Mirning and the desert peoples to the north, between the Wirangu and the Kokatha, and between the Wirangu and the desert peoples to the north. This system of laws and customs extended to governing trade, access to country, use rights, shared ritual and mythology and possibly the exchange of boys for initiation.  </w:t>
      </w:r>
    </w:p>
    <w:p w:rsidR="003609E8" w:rsidRDefault="003609E8" w:rsidP="003609E8">
      <w:pPr>
        <w:pStyle w:val="ParaNumbering"/>
      </w:pPr>
      <w:r>
        <w:t>The evidence establishes that the three distinct geographic areas within the Determination Area were linked by trails of water holes, defined and located in shared mythical narratives.  The evidence also establishes that there was shared trade, ceremonial and social communication across the three geographic areas, such that each of the three language groups was not isolated or independent from each other.</w:t>
      </w:r>
    </w:p>
    <w:p w:rsidR="003609E8" w:rsidRDefault="003609E8" w:rsidP="003609E8">
      <w:pPr>
        <w:pStyle w:val="ParaNumbering"/>
      </w:pPr>
      <w:r>
        <w:t xml:space="preserve">Post sovereignty, the movement of people around the Determination Area occasioned by the arrival and effect of European settlement, and the coming together of members of the native title group first at Ooldea, and later at Koonibba and Yalata, markedly increased the level of social interaction and inter-marriage between the three language groups, and increased </w:t>
      </w:r>
      <w:r w:rsidR="0017256F">
        <w:t xml:space="preserve">the </w:t>
      </w:r>
      <w:r>
        <w:t>focus on shared cultural attributes, beliefs and practices.</w:t>
      </w:r>
    </w:p>
    <w:p w:rsidR="003609E8" w:rsidRDefault="003609E8" w:rsidP="003609E8">
      <w:pPr>
        <w:pStyle w:val="ParaNumbering"/>
      </w:pPr>
      <w:r>
        <w:t xml:space="preserve">As a consequence, what was pre-sovereignty likely to have been three </w:t>
      </w:r>
      <w:r w:rsidR="004B0ABD">
        <w:t xml:space="preserve">more </w:t>
      </w:r>
      <w:r>
        <w:t>distinct groups associated with distinct territorial areas but bound by a common regional set of laws and customs governing interaction between them has evolved, in a process that was in accordance with, and is the product of, the pre-sovereignty system of laws and customs of the native title holding group, into an integrated society</w:t>
      </w:r>
      <w:r w:rsidR="00000E57">
        <w:t xml:space="preserve">: </w:t>
      </w:r>
      <w:r w:rsidR="0030112B">
        <w:rPr>
          <w:i/>
        </w:rPr>
        <w:t xml:space="preserve">Akiba v Queensland (No </w:t>
      </w:r>
      <w:r w:rsidR="0017256F">
        <w:rPr>
          <w:i/>
        </w:rPr>
        <w:t>3</w:t>
      </w:r>
      <w:r w:rsidR="0030112B">
        <w:rPr>
          <w:i/>
        </w:rPr>
        <w:t xml:space="preserve">) </w:t>
      </w:r>
      <w:r w:rsidR="0017256F">
        <w:t>(2010) 204 FCR 1</w:t>
      </w:r>
      <w:r w:rsidR="0030112B">
        <w:t xml:space="preserve">; </w:t>
      </w:r>
      <w:r w:rsidR="0030112B">
        <w:rPr>
          <w:i/>
        </w:rPr>
        <w:t xml:space="preserve">Sampi on behalf of the Bardi and Jawi People v Western Australia </w:t>
      </w:r>
      <w:r w:rsidR="0030112B">
        <w:t>[2005] FCA 777</w:t>
      </w:r>
      <w:r>
        <w:t xml:space="preserve">.  </w:t>
      </w:r>
    </w:p>
    <w:p w:rsidR="003609E8" w:rsidRDefault="003609E8" w:rsidP="003609E8">
      <w:pPr>
        <w:pStyle w:val="ParaNumbering"/>
      </w:pPr>
      <w:r>
        <w:lastRenderedPageBreak/>
        <w:t>Dr Palmer in the Report concludes that each of the three principles extant in the Determination Area today whereby persons may obtain native title rights in country, being descent, the importance of place of birth, and the principle of gaining rights through a totemic attachment, were traditionally part of the customary and normative reference of the native title holding group, and are likely to have been operating in the Determination Area at the time of sovereignty.</w:t>
      </w:r>
    </w:p>
    <w:p w:rsidR="003609E8" w:rsidRDefault="003609E8" w:rsidP="003609E8">
      <w:pPr>
        <w:pStyle w:val="ParaNumbering"/>
      </w:pPr>
      <w:r>
        <w:t xml:space="preserve">In relation to descent, Dr Palmer is of the opinion that while the evidence suggests that traditionally there was a preference for patrifiliation, there is some indication that rights could be gained within a mother’s country through totemic association, and within country other than the father’s country. </w:t>
      </w:r>
    </w:p>
    <w:p w:rsidR="003609E8" w:rsidRDefault="003609E8" w:rsidP="003609E8">
      <w:pPr>
        <w:pStyle w:val="ParaNumbering"/>
      </w:pPr>
      <w:r>
        <w:t>The evidence produced by the Applicant includes an analysis of the historic literature relevant to the area and claimant family histories of the apical ancestors included in the claimant application.</w:t>
      </w:r>
    </w:p>
    <w:p w:rsidR="003609E8" w:rsidRDefault="003609E8" w:rsidP="003609E8">
      <w:pPr>
        <w:pStyle w:val="ParaNumbering"/>
      </w:pPr>
      <w:r>
        <w:t>Noting that descent from apical ancestors is not the only means of obtaining rights within the Determination Area, as a result of this analysis Dr Palmer was able to demonstrate that at least 23 of the claimants’ ancestors were born in the Deter</w:t>
      </w:r>
      <w:r w:rsidR="0017256F">
        <w:t>mination Area prior to the 1870</w:t>
      </w:r>
      <w:r>
        <w:t xml:space="preserve">s.  It is reasonable to infer, for the purposes of reaching an agreement under </w:t>
      </w:r>
      <w:r w:rsidR="00000E57">
        <w:t>s</w:t>
      </w:r>
      <w:r>
        <w:t xml:space="preserve"> 87 </w:t>
      </w:r>
      <w:r w:rsidR="00000E57">
        <w:t xml:space="preserve">of the </w:t>
      </w:r>
      <w:r>
        <w:t xml:space="preserve">NTA, that those persons identified by the experts as being born in the area at or prior to the 1870’s derived, through a traditional process of transmission, rights and interests in the Determination Area from those persons who held them at sovereignty. </w:t>
      </w:r>
      <w:r w:rsidR="004B0ABD">
        <w:t>I am satisfied of that matter.</w:t>
      </w:r>
    </w:p>
    <w:p w:rsidR="003609E8" w:rsidRDefault="003609E8" w:rsidP="00000E57">
      <w:pPr>
        <w:pStyle w:val="Heading2"/>
      </w:pPr>
      <w:r>
        <w:t>Has there been substantially uninterrupted observance of traditional laws and customs since sovereignty?</w:t>
      </w:r>
    </w:p>
    <w:p w:rsidR="003609E8" w:rsidRDefault="003609E8" w:rsidP="003609E8">
      <w:pPr>
        <w:pStyle w:val="ParaNumbering"/>
      </w:pPr>
      <w:r>
        <w:t xml:space="preserve">The continued existence and vitality of laws and customs regarding membership and rights to country of the native title holding group is discussed above.  </w:t>
      </w:r>
    </w:p>
    <w:p w:rsidR="003609E8" w:rsidRDefault="003609E8" w:rsidP="003609E8">
      <w:pPr>
        <w:pStyle w:val="ParaNumbering"/>
      </w:pPr>
      <w:r>
        <w:t>The evidence suggests that whilst the current native title holding society is not identical to that which was likely to have been in the Determination Area at sovereignty, the laws and customs which govern membership to the contemporary native title holding society, and which give rise to rights and interests in the land, are traditional and are based in the customary practices evidenced in the Determination Area at the time of sovereignty.</w:t>
      </w:r>
    </w:p>
    <w:p w:rsidR="003609E8" w:rsidRDefault="003609E8" w:rsidP="003609E8">
      <w:pPr>
        <w:pStyle w:val="ParaNumbering"/>
      </w:pPr>
      <w:r>
        <w:lastRenderedPageBreak/>
        <w:t xml:space="preserve">There is evidence that mythical and ritual knowledge for the Determination Area is well maintained and practiced by a substantial number of members of the native title </w:t>
      </w:r>
      <w:r w:rsidR="0017256F">
        <w:t xml:space="preserve">claim </w:t>
      </w:r>
      <w:r>
        <w:t>group, and continues to be transmitted to younger generations.</w:t>
      </w:r>
    </w:p>
    <w:p w:rsidR="003609E8" w:rsidRDefault="003609E8" w:rsidP="003609E8">
      <w:pPr>
        <w:pStyle w:val="ParaNumbering"/>
      </w:pPr>
      <w:r>
        <w:t>Dr Palmer compares narratives of mythic beings recorded by earlier writers with those recorded by him in the course of his fieldwork, and concludes that they share ‘common themes, protagonists, story motifs and identify the same places in the countryside’. He concludes that whilst they show differences of detail and emphasis, they are part of a continuing oral tradition.</w:t>
      </w:r>
    </w:p>
    <w:p w:rsidR="003609E8" w:rsidRDefault="003609E8" w:rsidP="003609E8">
      <w:pPr>
        <w:pStyle w:val="ParaNumbering"/>
      </w:pPr>
      <w:r>
        <w:t>The Report documents involvement in ritual activity both on and off the Determination Area during the period of Dr Palmer’s research, the main focus being the initiation of boys to men.  Similar practices are documented in early literature.  While not all current claimants take part in initiations there is almost universal knowledge of the ongoing rituals.  Some limited evidence is also provided in relation to women’s law in the Determination Area, and to ritual activity occurring at specified sites in and near the Determination Area.  The evidence suggests that younger people of both genders are being taught mythical and ritual knowledge, undergoing ritual induction and initiations and participating in ritual activity although it is noted that some aspects of ritual practice have changed or disappeared.</w:t>
      </w:r>
    </w:p>
    <w:p w:rsidR="003609E8" w:rsidRDefault="003609E8" w:rsidP="003609E8">
      <w:pPr>
        <w:pStyle w:val="ParaNumbering"/>
      </w:pPr>
      <w:r>
        <w:t xml:space="preserve">For the purposes of reaching an agreement under </w:t>
      </w:r>
      <w:r w:rsidR="0030112B">
        <w:t>s</w:t>
      </w:r>
      <w:r>
        <w:t xml:space="preserve"> 87</w:t>
      </w:r>
      <w:r w:rsidR="0017256F">
        <w:t xml:space="preserve"> of the</w:t>
      </w:r>
      <w:r>
        <w:t xml:space="preserve"> NTA, and on the basis of the evidence provided, it would be appropriate to infer that the incidents of these beliefs and practices indicates the continuity of th</w:t>
      </w:r>
      <w:r w:rsidR="004B0ABD">
        <w:t>eir occurrence from sovereignty, and I draw that inference.</w:t>
      </w:r>
    </w:p>
    <w:p w:rsidR="003609E8" w:rsidRDefault="003609E8" w:rsidP="003609E8">
      <w:pPr>
        <w:pStyle w:val="ParaNumbering"/>
      </w:pPr>
      <w:r>
        <w:t>The Report provides evidence that much of the behaviour of contemporary members of the native title holding group is also regulated or influenced by laws and customs which have been handed down from previous generations.</w:t>
      </w:r>
    </w:p>
    <w:p w:rsidR="003609E8" w:rsidRDefault="003609E8" w:rsidP="003609E8">
      <w:pPr>
        <w:pStyle w:val="ParaNumbering"/>
      </w:pPr>
      <w:r>
        <w:t>The Report provides evidence of knowledge and use of natural resources across the Determination Area which the State accepts constitutes a body of customary knowledge.  The evidence supports a conclusion that this knowledge has been learnt by the native title holders from their parents, grandparents and elders, and as such demonstrates a continuous process of transmission of knowledge, which the State is prepared to infer has continued from sovereignty.</w:t>
      </w:r>
    </w:p>
    <w:p w:rsidR="003609E8" w:rsidRDefault="003609E8" w:rsidP="003609E8">
      <w:pPr>
        <w:pStyle w:val="ParaNumbering"/>
      </w:pPr>
      <w:r>
        <w:lastRenderedPageBreak/>
        <w:t>Evidence is provided about obligations and practices surroun</w:t>
      </w:r>
      <w:r w:rsidR="00000E57">
        <w:t xml:space="preserve">ding bereavement and funerals, </w:t>
      </w:r>
      <w:r>
        <w:t>kinship, including evidence of English equivalents for classification of kin where the language terms for kin have been lost, authority structures, and beliefs in the spirit world.</w:t>
      </w:r>
    </w:p>
    <w:p w:rsidR="003609E8" w:rsidRDefault="003609E8" w:rsidP="00000E57">
      <w:pPr>
        <w:pStyle w:val="Heading2"/>
      </w:pPr>
      <w:r>
        <w:t>Connection to the Determination Area by traditional laws and customs</w:t>
      </w:r>
    </w:p>
    <w:p w:rsidR="003609E8" w:rsidRDefault="003609E8" w:rsidP="003609E8">
      <w:pPr>
        <w:pStyle w:val="ParaNumbering"/>
      </w:pPr>
      <w:r>
        <w:t xml:space="preserve">The experts agreed, on the basis of the evidence, that there are three ways in which rights to land can be obtained.  These are through descent from someone who was associated with the Determination Area at or around the time of sovereignty, by birth on the Determination Area, and through ritual association and knowledge.  Rights obtained through descent or birth are potential rights only, and to give rise to rights in land must be ‘realised’ through subsequent knowledge, association and familiarity with the Determination Area.  </w:t>
      </w:r>
    </w:p>
    <w:p w:rsidR="003609E8" w:rsidRDefault="003609E8" w:rsidP="003609E8">
      <w:pPr>
        <w:pStyle w:val="ParaNumbering"/>
      </w:pPr>
      <w:r>
        <w:t>In Dr Palmer’s expert opinion, there is a differentiation of rights in relation to land within the Determination Area held by different members of the native title holding grou</w:t>
      </w:r>
      <w:r w:rsidR="00000E57">
        <w:t>p.  Dr Palmer has termed these “</w:t>
      </w:r>
      <w:r>
        <w:t>use rights</w:t>
      </w:r>
      <w:r w:rsidR="00270432">
        <w:t>” and “</w:t>
      </w:r>
      <w:r w:rsidR="00000E57">
        <w:t>f</w:t>
      </w:r>
      <w:r>
        <w:t>undamental rights</w:t>
      </w:r>
      <w:r w:rsidR="00000E57">
        <w:t>”.  “</w:t>
      </w:r>
      <w:r>
        <w:t>Use rights</w:t>
      </w:r>
      <w:r w:rsidR="00000E57">
        <w:t>”</w:t>
      </w:r>
      <w:r>
        <w:t xml:space="preserve"> are available to all members of the native title holding group who have realised potential rights obtained through descent or birth in the Determination Area.  These consist of rights to access the country and utilise its resources.  Economic exploitation of the Determination Area requires knowledge of the country and its potentialities and dangers.</w:t>
      </w:r>
    </w:p>
    <w:p w:rsidR="003609E8" w:rsidRDefault="003609E8" w:rsidP="003609E8">
      <w:pPr>
        <w:pStyle w:val="ParaNumbering"/>
      </w:pPr>
      <w:r>
        <w:t>Considerable evidence w</w:t>
      </w:r>
      <w:r w:rsidR="00000E57">
        <w:t>as provided of the exercise of “</w:t>
      </w:r>
      <w:r>
        <w:t>use rights</w:t>
      </w:r>
      <w:r w:rsidR="00000E57">
        <w:t>”</w:t>
      </w:r>
      <w:r>
        <w:t xml:space="preserve"> in the Determination Area by a number of members of the native title holding group.</w:t>
      </w:r>
    </w:p>
    <w:p w:rsidR="003609E8" w:rsidRDefault="003609E8" w:rsidP="003609E8">
      <w:pPr>
        <w:pStyle w:val="ParaNumbering"/>
      </w:pPr>
      <w:r>
        <w:t>Although individual native title holders mention strong connections to particular local areas within the Determination Area, (such as their parents’ country or where they were born or raised) there is no evidence to suggest</w:t>
      </w:r>
      <w:r w:rsidR="00000E57">
        <w:t xml:space="preserve"> the existence of any specific “</w:t>
      </w:r>
      <w:r>
        <w:t>estates</w:t>
      </w:r>
      <w:r w:rsidR="00000E57">
        <w:t>”</w:t>
      </w:r>
      <w:r>
        <w:t xml:space="preserve"> or sub-areas within the Determination Area where particular sub-groups of native title holders have pre-eminent use rights.  Conversely, the evidence is that free access is available to all members of the native title holding group, subject, however, to adherence with certain religious restrictions.</w:t>
      </w:r>
    </w:p>
    <w:p w:rsidR="003609E8" w:rsidRDefault="003609E8" w:rsidP="003609E8">
      <w:pPr>
        <w:pStyle w:val="ParaNumbering"/>
      </w:pPr>
      <w:r>
        <w:t>According to Dr Palmer’s evid</w:t>
      </w:r>
      <w:r w:rsidR="00000E57">
        <w:t>ence, “</w:t>
      </w:r>
      <w:r>
        <w:t>fundamental rights</w:t>
      </w:r>
      <w:r w:rsidR="00000E57">
        <w:t>”</w:t>
      </w:r>
      <w:r>
        <w:t xml:space="preserve"> are righ</w:t>
      </w:r>
      <w:r w:rsidR="00000E57">
        <w:t>ts to make decisions about, or “</w:t>
      </w:r>
      <w:r>
        <w:t>speak for</w:t>
      </w:r>
      <w:r w:rsidR="00000E57">
        <w:t>”</w:t>
      </w:r>
      <w:r>
        <w:t xml:space="preserve"> country.  Fundamental rights are held only by those who possess the requisite ritual knowledge.  Dr Palmer acknowledges that in the contemporary native title </w:t>
      </w:r>
      <w:r w:rsidR="00000E57">
        <w:t>holding society “</w:t>
      </w:r>
      <w:r>
        <w:t>fundamental rights</w:t>
      </w:r>
      <w:r w:rsidR="00000E57">
        <w:t>”</w:t>
      </w:r>
      <w:r>
        <w:t xml:space="preserve"> are largely held by those who trace their descent from desert groups to the nor</w:t>
      </w:r>
      <w:r w:rsidR="00000E57">
        <w:t xml:space="preserve">th of the Determination Area.  </w:t>
      </w:r>
      <w:r>
        <w:t xml:space="preserve">The evidence provides various </w:t>
      </w:r>
      <w:r>
        <w:lastRenderedPageBreak/>
        <w:t>examples of individual members of the native title holding group naming the people who needed to be consulted about decisions relating to different parts of the Determination Area, including the requirement to consult senior men and women at Yalata and Oak Valley for guidance when it came to hunting and gathering on milmilpa (restricted) country.  In D</w:t>
      </w:r>
      <w:r w:rsidR="00000E57">
        <w:t>r </w:t>
      </w:r>
      <w:r>
        <w:t>Palmer’s opinion this represents a change in the way in which the exercise of rights to country would have been organised, which has resulted from the consequence of the diminution of ritual activity on the Determination Area as a result of European settlement and subsequent administration of the area. However it is Dr Palmer’s opinion that this change is not founded upon an innovative system, but is rooted in customary practice.</w:t>
      </w:r>
    </w:p>
    <w:p w:rsidR="003609E8" w:rsidRDefault="003609E8" w:rsidP="003609E8">
      <w:pPr>
        <w:pStyle w:val="ParaNumbering"/>
      </w:pPr>
      <w:r>
        <w:t>Evidence was also provided that members of the native title holding group exercise responsibilities in relation to the Determination Area including maintaining the integrity of the dreamings for country, greeting country and protecting strangers, and maintaining rockholes.</w:t>
      </w:r>
    </w:p>
    <w:p w:rsidR="003609E8" w:rsidRDefault="003609E8" w:rsidP="00000E57">
      <w:pPr>
        <w:pStyle w:val="Heading2"/>
      </w:pPr>
      <w:r>
        <w:t>The relationship between the traditional laws and customs of the relevant society and the rights and interests claimed by the Applicant</w:t>
      </w:r>
    </w:p>
    <w:p w:rsidR="003609E8" w:rsidRDefault="003609E8" w:rsidP="003609E8">
      <w:pPr>
        <w:pStyle w:val="ParaNumbering"/>
      </w:pPr>
      <w:r>
        <w:t xml:space="preserve">The rights and interests to be recognised are set out at paragraph 10 of the </w:t>
      </w:r>
      <w:r w:rsidR="004B0ABD">
        <w:t xml:space="preserve">proposed </w:t>
      </w:r>
      <w:r>
        <w:t>Consent Determination agreed by the parties.</w:t>
      </w:r>
    </w:p>
    <w:p w:rsidR="003609E8" w:rsidRDefault="003609E8" w:rsidP="003609E8">
      <w:pPr>
        <w:pStyle w:val="ParaNumbering"/>
      </w:pPr>
      <w:r>
        <w:t xml:space="preserve">The rights and interests recognised are consistent with the rights and interests that would have been observed traditionally.  They are also consistent with rights recognised by the Federal Court </w:t>
      </w:r>
      <w:r w:rsidR="004B0ABD">
        <w:t>in determinations made relating to other areas</w:t>
      </w:r>
      <w:r>
        <w:t xml:space="preserve"> in South Australia.   </w:t>
      </w:r>
    </w:p>
    <w:p w:rsidR="003609E8" w:rsidRDefault="003609E8" w:rsidP="003609E8">
      <w:pPr>
        <w:pStyle w:val="ParaNumbering"/>
      </w:pPr>
      <w:r>
        <w:t>The Far West Coast claim is unique in South Australia for the high number of native title holders who actually live on the Determination Are</w:t>
      </w:r>
      <w:r w:rsidR="00000E57">
        <w:t>a.  It has been estimated by Dr </w:t>
      </w:r>
      <w:r>
        <w:t xml:space="preserve">Palmer and </w:t>
      </w:r>
      <w:r w:rsidR="004B0ABD">
        <w:t xml:space="preserve">SANTS </w:t>
      </w:r>
      <w:r>
        <w:t xml:space="preserve">that there are in the vicinity of 2000 members of the native title holding group currently living on the Determination Area.   </w:t>
      </w:r>
    </w:p>
    <w:p w:rsidR="003609E8" w:rsidRDefault="003609E8" w:rsidP="003609E8">
      <w:pPr>
        <w:pStyle w:val="ParaNumbering"/>
      </w:pPr>
      <w:r>
        <w:t>There is evidence that a number of native title holders continue to regularly access and move about the Determination Area, including for the purpose of camping, hunting and gathering, and that their actions whilst undertaking these activities are governed by traditional laws and customs.</w:t>
      </w:r>
    </w:p>
    <w:p w:rsidR="003609E8" w:rsidRDefault="003609E8" w:rsidP="003609E8">
      <w:pPr>
        <w:pStyle w:val="ParaNumbering"/>
      </w:pPr>
      <w:r>
        <w:t xml:space="preserve">Evidence was provided of continued knowledge of bush and other resources of the Determination Area, and their utilisation by members of the native title holding group.  There </w:t>
      </w:r>
      <w:r>
        <w:lastRenderedPageBreak/>
        <w:t>was also evidence that this knowledge has been transmitted to the current generation of native title holders from previous generations.  Such evidence includes:</w:t>
      </w:r>
    </w:p>
    <w:p w:rsidR="003609E8" w:rsidRDefault="003609E8" w:rsidP="00582F6B">
      <w:pPr>
        <w:pStyle w:val="ListNo"/>
        <w:numPr>
          <w:ilvl w:val="0"/>
          <w:numId w:val="41"/>
        </w:numPr>
        <w:tabs>
          <w:tab w:val="clear" w:pos="720"/>
        </w:tabs>
      </w:pPr>
      <w:r>
        <w:t>the collection of blue-tongue lizards and the cleaning out and cooking in ashes of blue-tongue lizard;</w:t>
      </w:r>
    </w:p>
    <w:p w:rsidR="003609E8" w:rsidRDefault="003609E8" w:rsidP="00582F6B">
      <w:pPr>
        <w:pStyle w:val="ListNo"/>
        <w:numPr>
          <w:ilvl w:val="0"/>
          <w:numId w:val="41"/>
        </w:numPr>
        <w:tabs>
          <w:tab w:val="clear" w:pos="720"/>
        </w:tabs>
      </w:pPr>
      <w:r>
        <w:t>regular hunting for wombat, bush turkey, lizards and kangaroo and the sharing of the catch with community members;</w:t>
      </w:r>
    </w:p>
    <w:p w:rsidR="003609E8" w:rsidRDefault="003609E8" w:rsidP="00582F6B">
      <w:pPr>
        <w:pStyle w:val="ListNo"/>
        <w:numPr>
          <w:ilvl w:val="0"/>
          <w:numId w:val="41"/>
        </w:numPr>
        <w:tabs>
          <w:tab w:val="clear" w:pos="720"/>
        </w:tabs>
      </w:pPr>
      <w:r>
        <w:t>the preparation and eating of wombat fat and wombat liver;</w:t>
      </w:r>
    </w:p>
    <w:p w:rsidR="003609E8" w:rsidRDefault="003609E8" w:rsidP="00582F6B">
      <w:pPr>
        <w:pStyle w:val="ListNo"/>
        <w:numPr>
          <w:ilvl w:val="0"/>
          <w:numId w:val="41"/>
        </w:numPr>
        <w:tabs>
          <w:tab w:val="clear" w:pos="720"/>
        </w:tabs>
      </w:pPr>
      <w:r>
        <w:t>evidence of the catching of crabs and collection of shellfish, including evidence as to transmission of laws and customs regarding the traditional method for doing so from senior native title holders to younger members of the group;</w:t>
      </w:r>
    </w:p>
    <w:p w:rsidR="003609E8" w:rsidRDefault="003609E8" w:rsidP="00582F6B">
      <w:pPr>
        <w:pStyle w:val="ListNo"/>
        <w:numPr>
          <w:ilvl w:val="0"/>
          <w:numId w:val="41"/>
        </w:numPr>
        <w:tabs>
          <w:tab w:val="clear" w:pos="720"/>
        </w:tabs>
      </w:pPr>
      <w:r>
        <w:t xml:space="preserve">knowledge of vegetable resources still gathered in the area (when ripe) including yam,  kuwana,  </w:t>
      </w:r>
      <w:r w:rsidR="00270432">
        <w:t>a wild grape known as wanyari, “</w:t>
      </w:r>
      <w:r>
        <w:t>kangaroo apple</w:t>
      </w:r>
      <w:r w:rsidR="00270432">
        <w:t>”</w:t>
      </w:r>
      <w:r>
        <w:t>, quandong, walka (bush tomato), bush raisins and bush banana;</w:t>
      </w:r>
    </w:p>
    <w:p w:rsidR="003609E8" w:rsidRDefault="003609E8" w:rsidP="00582F6B">
      <w:pPr>
        <w:pStyle w:val="ListNo"/>
        <w:numPr>
          <w:ilvl w:val="0"/>
          <w:numId w:val="41"/>
        </w:numPr>
        <w:tabs>
          <w:tab w:val="clear" w:pos="720"/>
        </w:tabs>
      </w:pPr>
      <w:r>
        <w:t>the use of a bush (referred to as irmangka) used to make a medicinal ointment for treating cuts, sores and stiffness and the observation of quantities of this bush in the houses of some native title holders;</w:t>
      </w:r>
    </w:p>
    <w:p w:rsidR="003609E8" w:rsidRDefault="003609E8" w:rsidP="00582F6B">
      <w:pPr>
        <w:pStyle w:val="ListNo"/>
        <w:numPr>
          <w:ilvl w:val="0"/>
          <w:numId w:val="41"/>
        </w:numPr>
        <w:tabs>
          <w:tab w:val="clear" w:pos="720"/>
        </w:tabs>
      </w:pPr>
      <w:r>
        <w:t>evidence of a bush that grows around Ceduna which is steamed and used as an infusion for colds and stuffed sinuses, and a reed growing in sandhill country, the inner stem of which is chewed to relieve sore throats; and</w:t>
      </w:r>
    </w:p>
    <w:p w:rsidR="003609E8" w:rsidRDefault="003609E8" w:rsidP="00582F6B">
      <w:pPr>
        <w:pStyle w:val="ListNo"/>
        <w:numPr>
          <w:ilvl w:val="0"/>
          <w:numId w:val="41"/>
        </w:numPr>
        <w:tabs>
          <w:tab w:val="clear" w:pos="720"/>
        </w:tabs>
      </w:pPr>
      <w:r>
        <w:t>a mistletoe like plant called parkaparka, which is eaten to cleanse the mouth and intestines.</w:t>
      </w:r>
    </w:p>
    <w:p w:rsidR="003609E8" w:rsidRDefault="003609E8" w:rsidP="003609E8">
      <w:pPr>
        <w:pStyle w:val="ParaNumbering"/>
      </w:pPr>
      <w:r>
        <w:t>Evidence was provided of the continued conduct of ceremonies and cultural activities on the Determination Area, of the transmission of knowledge and of the visiting and maintaining of sites and places of cultural and religious significance.  Evidence was also provided of grave sites on the area.</w:t>
      </w:r>
    </w:p>
    <w:p w:rsidR="003609E8" w:rsidRDefault="003609E8" w:rsidP="00582F6B">
      <w:pPr>
        <w:pStyle w:val="Heading2"/>
      </w:pPr>
      <w:r>
        <w:t xml:space="preserve">Section 225 </w:t>
      </w:r>
      <w:r w:rsidR="00005072">
        <w:t xml:space="preserve">of the </w:t>
      </w:r>
      <w:r>
        <w:t>NTA</w:t>
      </w:r>
    </w:p>
    <w:p w:rsidR="003609E8" w:rsidRDefault="003609E8" w:rsidP="003609E8">
      <w:pPr>
        <w:pStyle w:val="ParaNumbering"/>
      </w:pPr>
      <w:r>
        <w:t>Section 225</w:t>
      </w:r>
      <w:r w:rsidR="00582F6B">
        <w:t xml:space="preserve"> of the</w:t>
      </w:r>
      <w:r>
        <w:t xml:space="preserve"> NTA </w:t>
      </w:r>
      <w:r w:rsidR="00005072">
        <w:t>stipulates what</w:t>
      </w:r>
      <w:r>
        <w:t xml:space="preserve"> </w:t>
      </w:r>
      <w:r w:rsidR="004B0ABD">
        <w:t>a</w:t>
      </w:r>
      <w:r w:rsidR="00005072">
        <w:t xml:space="preserve"> consent d</w:t>
      </w:r>
      <w:r>
        <w:t xml:space="preserve">etermination must include.  </w:t>
      </w:r>
      <w:r w:rsidR="004B0ABD">
        <w:t>I am satisfied</w:t>
      </w:r>
      <w:r>
        <w:t xml:space="preserve"> that the </w:t>
      </w:r>
      <w:r w:rsidR="004B0ABD">
        <w:t xml:space="preserve">proposed </w:t>
      </w:r>
      <w:r>
        <w:t>Consent Determination complies with each requirement of that section.</w:t>
      </w:r>
    </w:p>
    <w:p w:rsidR="003609E8" w:rsidRDefault="003609E8" w:rsidP="003609E8">
      <w:pPr>
        <w:pStyle w:val="ParaNumbering"/>
      </w:pPr>
      <w:r>
        <w:t xml:space="preserve">The </w:t>
      </w:r>
      <w:r w:rsidR="004B0ABD">
        <w:t xml:space="preserve">proposed </w:t>
      </w:r>
      <w:r>
        <w:t xml:space="preserve">Consent Determination describes the external boundaries of the Determination Area, and sets out with particularity those areas where native title exists </w:t>
      </w:r>
      <w:r>
        <w:lastRenderedPageBreak/>
        <w:t xml:space="preserve">(Native Title Land) (paragraphs 4, 5 and 6), and those areas within the Determination Area where native title is extinguished (paragraphs 7 and 8). </w:t>
      </w:r>
    </w:p>
    <w:p w:rsidR="003609E8" w:rsidRDefault="003609E8" w:rsidP="003609E8">
      <w:pPr>
        <w:pStyle w:val="ParaNumbering"/>
      </w:pPr>
      <w:r>
        <w:t xml:space="preserve">For the purpose of </w:t>
      </w:r>
      <w:r w:rsidR="00582F6B">
        <w:t>s</w:t>
      </w:r>
      <w:r>
        <w:t xml:space="preserve"> 225(a) </w:t>
      </w:r>
      <w:r w:rsidR="00582F6B">
        <w:t xml:space="preserve">of the </w:t>
      </w:r>
      <w:r>
        <w:t>NTA, paragraph 9 of the Consent Determination defines the group of native title holders and the criteria by which they have group membership.</w:t>
      </w:r>
    </w:p>
    <w:p w:rsidR="003609E8" w:rsidRDefault="003609E8" w:rsidP="003609E8">
      <w:pPr>
        <w:pStyle w:val="ParaNumbering"/>
      </w:pPr>
      <w:r>
        <w:t xml:space="preserve">For the purpose of </w:t>
      </w:r>
      <w:r w:rsidR="00582F6B">
        <w:t>s</w:t>
      </w:r>
      <w:r>
        <w:t xml:space="preserve"> 225(b) </w:t>
      </w:r>
      <w:r w:rsidR="00582F6B">
        <w:t xml:space="preserve">of the </w:t>
      </w:r>
      <w:r>
        <w:t xml:space="preserve">NTA, paragraph 10 of the Consent Determination sets out the nature and extent of the native title rights and interests in the Determination Area.  Paragraphs 11 to 14 set out the general limitations on their exercise.  Following the decision of the High Court of Australia in </w:t>
      </w:r>
      <w:r w:rsidR="0030112B" w:rsidRPr="00582F6B">
        <w:rPr>
          <w:i/>
        </w:rPr>
        <w:t>Karpany v Dietman</w:t>
      </w:r>
      <w:r w:rsidR="0030112B">
        <w:t xml:space="preserve"> [2013] HCA 47</w:t>
      </w:r>
      <w:r>
        <w:t>, the native title rights and interests include the right to fish.</w:t>
      </w:r>
    </w:p>
    <w:p w:rsidR="003609E8" w:rsidRDefault="003609E8" w:rsidP="003609E8">
      <w:pPr>
        <w:pStyle w:val="ParaNumbering"/>
      </w:pPr>
      <w:r>
        <w:t xml:space="preserve">For the purpose of </w:t>
      </w:r>
      <w:r w:rsidR="00582F6B">
        <w:t>s</w:t>
      </w:r>
      <w:r>
        <w:t xml:space="preserve"> 225(c) </w:t>
      </w:r>
      <w:r w:rsidR="00582F6B">
        <w:t xml:space="preserve">of the </w:t>
      </w:r>
      <w:r>
        <w:t>NTA, paragraph 15 of the Consent Determination sets out the nature and extent of other interests in the Native Title Land.  The content of this paragraph has been informed through tenure searches undertaken by the State and input from other respondent parties to the claim. There has been ample oppo</w:t>
      </w:r>
      <w:r w:rsidR="00005072">
        <w:t>rtunity for any other interest h</w:t>
      </w:r>
      <w:r>
        <w:t>olders in the area to identify themselves and join as parties to the claim. The State’s comprehensive tenure searches have not identified any other relevant interest holders in the Determination Area.</w:t>
      </w:r>
    </w:p>
    <w:p w:rsidR="003609E8" w:rsidRDefault="003609E8" w:rsidP="003609E8">
      <w:pPr>
        <w:pStyle w:val="ParaNumbering"/>
      </w:pPr>
      <w:r>
        <w:t xml:space="preserve">For the purpose of </w:t>
      </w:r>
      <w:r w:rsidR="00582F6B">
        <w:t>s</w:t>
      </w:r>
      <w:r>
        <w:t xml:space="preserve"> 225(d) NTA, paragraph 16 of the Consent Determination describes the relationship between the native title rights in Paragraph 9 and those other rights in Paragraph 15.</w:t>
      </w:r>
    </w:p>
    <w:p w:rsidR="003609E8" w:rsidRDefault="003609E8" w:rsidP="003609E8">
      <w:pPr>
        <w:pStyle w:val="ParaNumbering"/>
      </w:pPr>
      <w:r>
        <w:t xml:space="preserve">For the purpose of </w:t>
      </w:r>
      <w:r w:rsidR="00582F6B">
        <w:t>s</w:t>
      </w:r>
      <w:r>
        <w:t xml:space="preserve"> 225(e) </w:t>
      </w:r>
      <w:r w:rsidR="00005072">
        <w:t xml:space="preserve">of the </w:t>
      </w:r>
      <w:r>
        <w:t>NTA, with the exception of  those parts of th</w:t>
      </w:r>
      <w:r w:rsidR="00005072">
        <w:t>e Native Title Land set out in S</w:t>
      </w:r>
      <w:r>
        <w:t xml:space="preserve">chedule 4 (being areas to which </w:t>
      </w:r>
      <w:r w:rsidR="00582F6B">
        <w:t>s</w:t>
      </w:r>
      <w:r>
        <w:t xml:space="preserve"> 47A of the NTA applies to disregard prior extinguishment of native title), the native title rights a</w:t>
      </w:r>
      <w:r w:rsidR="00005072">
        <w:t>nd interests recognised in the d</w:t>
      </w:r>
      <w:r>
        <w:t>etermination are non-exclusive.  Paragraph 13 of the Consent Determination provides that in rela</w:t>
      </w:r>
      <w:r w:rsidR="00005072">
        <w:t>tion to those lands set out in S</w:t>
      </w:r>
      <w:r>
        <w:t xml:space="preserve">chedule 4, the native title rights and interests are an entitlement to possession, occupation, use and enjoyment of those land and waters to the exclusion of all others, subject to the application of the non-extinguishment principle as provided for at </w:t>
      </w:r>
      <w:r w:rsidR="00582F6B">
        <w:t>s</w:t>
      </w:r>
      <w:r>
        <w:t xml:space="preserve"> 47A(3)(b) </w:t>
      </w:r>
      <w:r w:rsidR="00582F6B">
        <w:t xml:space="preserve">of the </w:t>
      </w:r>
      <w:r>
        <w:t>NTA.</w:t>
      </w:r>
    </w:p>
    <w:p w:rsidR="003609E8" w:rsidRDefault="003609E8" w:rsidP="00582F6B">
      <w:pPr>
        <w:pStyle w:val="Heading2"/>
      </w:pPr>
      <w:r>
        <w:lastRenderedPageBreak/>
        <w:t xml:space="preserve">Section 87 </w:t>
      </w:r>
      <w:r w:rsidR="00005072">
        <w:t xml:space="preserve">of the </w:t>
      </w:r>
      <w:r>
        <w:t>NTA</w:t>
      </w:r>
    </w:p>
    <w:p w:rsidR="003609E8" w:rsidRDefault="003609E8" w:rsidP="003609E8">
      <w:pPr>
        <w:pStyle w:val="ParaNumbering"/>
      </w:pPr>
      <w:r>
        <w:t>Agreement has been reached between the principal parties to these proceedings on the terms of the Consent Determination and signed copies of that Determination have been filed with the Court.</w:t>
      </w:r>
    </w:p>
    <w:p w:rsidR="003609E8" w:rsidRDefault="003609E8" w:rsidP="003609E8">
      <w:pPr>
        <w:pStyle w:val="ParaNumbering"/>
      </w:pPr>
      <w:r>
        <w:t xml:space="preserve">This includes </w:t>
      </w:r>
      <w:r w:rsidR="002877DF">
        <w:t>SANTS as</w:t>
      </w:r>
      <w:r>
        <w:t xml:space="preserve"> the native title service provider for the Determination Area, the Commonwealth of Australia, the District Council of Ceduna, Telstra Corporation Limited, SA Power Networks and a number of represented fishing, pastoral and mining interests.  </w:t>
      </w:r>
    </w:p>
    <w:p w:rsidR="00270432" w:rsidRDefault="00270432" w:rsidP="00270432">
      <w:pPr>
        <w:pStyle w:val="ParaNumbering"/>
      </w:pPr>
      <w:r>
        <w:t xml:space="preserve">The combined application was filed with this Court on 4 January 2006, and full notification by the </w:t>
      </w:r>
      <w:r w:rsidR="00005072">
        <w:t>NNTT</w:t>
      </w:r>
      <w:r>
        <w:t xml:space="preserve"> under s 66 </w:t>
      </w:r>
      <w:r w:rsidR="00005072">
        <w:t xml:space="preserve">of the </w:t>
      </w:r>
      <w:r>
        <w:t>NTA (using tenure data provided by the State current at the time) closed on 4 October 2006. On 16 August 2013 the Court made orders requiring all respondent parties to update their address for service and confirm their respondent party status by 12 September 2013. All respondents support the proposed Consent Determination.</w:t>
      </w:r>
    </w:p>
    <w:p w:rsidR="003609E8" w:rsidRDefault="003609E8" w:rsidP="003609E8">
      <w:pPr>
        <w:pStyle w:val="ParaNumbering"/>
      </w:pPr>
      <w:r>
        <w:t>On the basis of the evidence</w:t>
      </w:r>
      <w:r w:rsidR="002877DF">
        <w:t xml:space="preserve"> it is clear that it is both appropriate </w:t>
      </w:r>
      <w:r>
        <w:t xml:space="preserve">and within its power, for the Court to make orders pursuant to </w:t>
      </w:r>
      <w:r w:rsidR="00270432">
        <w:t>s</w:t>
      </w:r>
      <w:r>
        <w:t xml:space="preserve"> 87. </w:t>
      </w:r>
    </w:p>
    <w:p w:rsidR="003609E8" w:rsidRDefault="003609E8" w:rsidP="00582F6B">
      <w:pPr>
        <w:pStyle w:val="Heading2"/>
      </w:pPr>
      <w:r>
        <w:t>Representation</w:t>
      </w:r>
    </w:p>
    <w:p w:rsidR="003609E8" w:rsidRDefault="002877DF" w:rsidP="003609E8">
      <w:pPr>
        <w:pStyle w:val="ParaNumbering"/>
      </w:pPr>
      <w:r>
        <w:t>T</w:t>
      </w:r>
      <w:r w:rsidR="00005072">
        <w:t>he parties to the d</w:t>
      </w:r>
      <w:r w:rsidR="003609E8">
        <w:t>etermination have had independent and competent legal advice in the proceeding</w:t>
      </w:r>
      <w:r>
        <w:t>, other than</w:t>
      </w:r>
      <w:r w:rsidR="003609E8">
        <w:t xml:space="preserve"> several respondents who were not legally represented.  There is no reason to believe that the lack of representation will have disadvantaged any unrepresented respondent such that a final determination should not be made.</w:t>
      </w:r>
    </w:p>
    <w:p w:rsidR="003609E8" w:rsidRDefault="003609E8" w:rsidP="00582F6B">
      <w:pPr>
        <w:pStyle w:val="Heading2"/>
      </w:pPr>
      <w:r>
        <w:t>Extinguishment</w:t>
      </w:r>
    </w:p>
    <w:p w:rsidR="003609E8" w:rsidRDefault="003609E8" w:rsidP="003609E8">
      <w:pPr>
        <w:pStyle w:val="ParaNumbering"/>
      </w:pPr>
      <w:r>
        <w:t>A full tenure history of the claim area was provided by the State, and made available to all the parties to the claim.  The State has carried out a detailed analysis of both historic and current tenure which informed the consent determination negotiations. This has allowed the State and the Applicant to agree those areas where native title has been extinguished by prior grant of tenure and to record those areas with specificity in the Consent Determination.  These are recorded in Schedule 7 and Schedule 11 to the Consent Determination.</w:t>
      </w:r>
    </w:p>
    <w:p w:rsidR="003609E8" w:rsidRDefault="003609E8" w:rsidP="003609E8">
      <w:pPr>
        <w:pStyle w:val="ParaNumbering"/>
      </w:pPr>
      <w:r>
        <w:lastRenderedPageBreak/>
        <w:t xml:space="preserve">The Consent Determination also records where, by virtue of </w:t>
      </w:r>
      <w:r w:rsidR="00582F6B">
        <w:t>ss</w:t>
      </w:r>
      <w:r>
        <w:t xml:space="preserve"> 47A and 47B of the NTA, prior extinguishment of native title is to be disregarded.  Those areas are described in Schedules 4 and 5 of the Determination. </w:t>
      </w:r>
    </w:p>
    <w:p w:rsidR="003609E8" w:rsidRDefault="003609E8" w:rsidP="003609E8">
      <w:pPr>
        <w:pStyle w:val="ParaNumbering"/>
      </w:pPr>
      <w:r>
        <w:t>The Consent Determination provides liberty to apply in relation to those parcels</w:t>
      </w:r>
      <w:r w:rsidR="00005072">
        <w:t xml:space="preserve"> set out in Schedule 11 to the d</w:t>
      </w:r>
      <w:r>
        <w:t xml:space="preserve">etermination. This is for the purpose of the Applicant being able to adduce evidence going to the application of </w:t>
      </w:r>
      <w:r w:rsidR="00582F6B">
        <w:t>s</w:t>
      </w:r>
      <w:r>
        <w:t xml:space="preserve"> 47A </w:t>
      </w:r>
      <w:r w:rsidR="00582F6B">
        <w:t xml:space="preserve">of the </w:t>
      </w:r>
      <w:r>
        <w:t xml:space="preserve">NTA to any of those parcels in the event that the law in relation to that section is clarified by a decision of the Court in </w:t>
      </w:r>
      <w:r w:rsidRPr="00F60B6E">
        <w:rPr>
          <w:i/>
        </w:rPr>
        <w:t>Adnyamathanha People Native Title Claim #3 v South Australia</w:t>
      </w:r>
      <w:r w:rsidR="00005072">
        <w:t xml:space="preserve"> (</w:t>
      </w:r>
      <w:r>
        <w:t>SAD</w:t>
      </w:r>
      <w:r w:rsidR="0030112B">
        <w:t xml:space="preserve"> </w:t>
      </w:r>
      <w:r>
        <w:t>69 of 2010</w:t>
      </w:r>
      <w:r w:rsidR="00005072">
        <w:t>)</w:t>
      </w:r>
      <w:r>
        <w:t>.</w:t>
      </w:r>
    </w:p>
    <w:p w:rsidR="003609E8" w:rsidRDefault="003609E8" w:rsidP="00582F6B">
      <w:pPr>
        <w:pStyle w:val="Heading2"/>
      </w:pPr>
      <w:r>
        <w:t>The Far West Coast Settlement ILUA</w:t>
      </w:r>
    </w:p>
    <w:p w:rsidR="003609E8" w:rsidRDefault="003609E8" w:rsidP="003609E8">
      <w:pPr>
        <w:pStyle w:val="ParaNumbering"/>
      </w:pPr>
      <w:r>
        <w:t>Immediate</w:t>
      </w:r>
      <w:r w:rsidR="00005072">
        <w:t>ly following the making of the d</w:t>
      </w:r>
      <w:r>
        <w:t>etermination, the State, the Applicant and the nominated native title holding body will execute the Far West Coast Settlement ILUA.</w:t>
      </w:r>
    </w:p>
    <w:p w:rsidR="003609E8" w:rsidRDefault="003609E8" w:rsidP="003609E8">
      <w:pPr>
        <w:pStyle w:val="ParaNumbering"/>
      </w:pPr>
      <w:r>
        <w:t xml:space="preserve">Under the terms of this ILUA, the State of South Australia and the Applicant have agreed, pursuant to </w:t>
      </w:r>
      <w:r w:rsidR="00582F6B">
        <w:t>s</w:t>
      </w:r>
      <w:r>
        <w:t xml:space="preserve"> 24EBA </w:t>
      </w:r>
      <w:r w:rsidR="00582F6B">
        <w:t xml:space="preserve">of the </w:t>
      </w:r>
      <w:r>
        <w:t xml:space="preserve">NTA, to change the effect on native title of the vesting of adjacent and subjacent land in the Minister under </w:t>
      </w:r>
      <w:r w:rsidR="00582F6B">
        <w:t>s</w:t>
      </w:r>
      <w:r>
        <w:t xml:space="preserve"> 15(1)(a) of the </w:t>
      </w:r>
      <w:r w:rsidRPr="00582F6B">
        <w:rPr>
          <w:i/>
        </w:rPr>
        <w:t>Harbors and Navigation Act 1993</w:t>
      </w:r>
      <w:r>
        <w:t xml:space="preserve"> (SA), which is, for the purpose of the NTA, a category A intermediate period act which extinguishes native title.  The effect of registration of that ILUA will be that the extinguishing effect of the vesting will be changed and the non-extinguishment principle will apply to the vesting of adjacent land in the Determination Area.  This is recorded at paragraph 6 of the Consent Determination.</w:t>
      </w:r>
    </w:p>
    <w:p w:rsidR="003609E8" w:rsidRDefault="003609E8" w:rsidP="003609E8">
      <w:pPr>
        <w:pStyle w:val="ParaNumbering"/>
      </w:pPr>
      <w:r>
        <w:t xml:space="preserve">Under the terms of this ILUA the Far West Coast people have also consented to surrender their native title rights over a number of land parcels which are described at Schedule 8 to the Consent Determination. The surrender and consequent extinguishment of native title over those areas will take place upon the registration of the ILUA by the </w:t>
      </w:r>
      <w:r w:rsidR="00005072">
        <w:t>NNTT</w:t>
      </w:r>
      <w:r>
        <w:t>.  This is recorded at paragraph 8 of the Consent Determination.</w:t>
      </w:r>
    </w:p>
    <w:p w:rsidR="003609E8" w:rsidRDefault="003609E8" w:rsidP="003609E8">
      <w:pPr>
        <w:pStyle w:val="ParaNumbering"/>
      </w:pPr>
      <w:r>
        <w:t>In the event that the ILUA is not registered within 12 months of</w:t>
      </w:r>
      <w:r w:rsidR="00005072">
        <w:t xml:space="preserve"> the date of the making of the d</w:t>
      </w:r>
      <w:r>
        <w:t xml:space="preserve">etermination, the Consent Determination reserves liberty to apply to the Court to determine the status of the land set out in paragraphs 6 and 8 of the Consent Determination. </w:t>
      </w:r>
    </w:p>
    <w:p w:rsidR="003609E8" w:rsidRDefault="003609E8" w:rsidP="003609E8">
      <w:pPr>
        <w:pStyle w:val="ParaNumbering"/>
      </w:pPr>
      <w:r>
        <w:t>The Far West Coast Settlement ILUA also provides for a process, as the alternative to Division 3 Part 2 of the NTA, pursuant to which the State may undertake future acts on Native Title Land in the Determination Area.</w:t>
      </w:r>
    </w:p>
    <w:p w:rsidR="003609E8" w:rsidRDefault="003609E8" w:rsidP="003609E8">
      <w:pPr>
        <w:pStyle w:val="ParaNumbering"/>
      </w:pPr>
      <w:r>
        <w:lastRenderedPageBreak/>
        <w:t>In addition, the Far West Coast Settlement ILUA addresses th</w:t>
      </w:r>
      <w:r w:rsidR="00582F6B">
        <w:t xml:space="preserve">e provision of compensation in </w:t>
      </w:r>
      <w:r>
        <w:t xml:space="preserve">full and final settlement of the State’s existing compensation liability pursuant to the NTA in relation to the Determination Area. </w:t>
      </w:r>
    </w:p>
    <w:p w:rsidR="003609E8" w:rsidRDefault="003609E8" w:rsidP="00582F6B">
      <w:pPr>
        <w:pStyle w:val="Heading1"/>
      </w:pPr>
      <w:r>
        <w:t>Conclusion</w:t>
      </w:r>
    </w:p>
    <w:p w:rsidR="002877DF" w:rsidRDefault="002877DF" w:rsidP="002877DF">
      <w:pPr>
        <w:pStyle w:val="ParaNumbering"/>
      </w:pPr>
      <w:r>
        <w:t>The NTA encourages the resolution by agreement of claims for determinations of native title. For the reasons set out above, the State and the Applicant consider that the Consent Determination, in conjunction with the Far West Coast Settlement ILUA, is appropriate and should be made in this proceeding. By signing the Minute of Consent Determin</w:t>
      </w:r>
      <w:r w:rsidR="00005072">
        <w:t>ation of native t</w:t>
      </w:r>
      <w:r>
        <w:t>itle, the other parties to the proceeding have indicated their agreement.</w:t>
      </w:r>
    </w:p>
    <w:p w:rsidR="002877DF" w:rsidRPr="002877DF" w:rsidRDefault="002877DF" w:rsidP="002877DF">
      <w:pPr>
        <w:pStyle w:val="ParaNumbering"/>
      </w:pPr>
      <w:r>
        <w:t>I am amply sa</w:t>
      </w:r>
      <w:r w:rsidR="00005072">
        <w:t>tisfied that I should make the d</w:t>
      </w:r>
      <w:r>
        <w:t>etermination in accordance with the Consent Determination. That order is now made.</w:t>
      </w:r>
    </w:p>
    <w:p w:rsidR="00582F6B" w:rsidRDefault="00582F6B" w:rsidP="00EB66DD">
      <w:bookmarkStart w:id="23" w:name="Certification"/>
    </w:p>
    <w:tbl>
      <w:tblPr>
        <w:tblW w:w="0" w:type="auto"/>
        <w:tblLook w:val="04A0" w:firstRow="1" w:lastRow="0" w:firstColumn="1" w:lastColumn="0" w:noHBand="0" w:noVBand="1"/>
      </w:tblPr>
      <w:tblGrid>
        <w:gridCol w:w="3794"/>
      </w:tblGrid>
      <w:tr w:rsidR="00582F6B" w:rsidRPr="00582F6B" w:rsidTr="00EB66DD">
        <w:tc>
          <w:tcPr>
            <w:tcW w:w="3794" w:type="dxa"/>
            <w:shd w:val="clear" w:color="auto" w:fill="auto"/>
          </w:tcPr>
          <w:p w:rsidR="00582F6B" w:rsidRPr="00582F6B" w:rsidRDefault="00582F6B" w:rsidP="00582F6B">
            <w:pPr>
              <w:pStyle w:val="Normal1linespace"/>
              <w:jc w:val="left"/>
            </w:pPr>
            <w:r w:rsidRPr="00582F6B">
              <w:t xml:space="preserve">I certify that the preceding </w:t>
            </w:r>
            <w:bookmarkStart w:id="24" w:name="NumberWord"/>
            <w:r w:rsidR="00270432">
              <w:t>one hundred and five</w:t>
            </w:r>
            <w:bookmarkEnd w:id="24"/>
            <w:r w:rsidRPr="00582F6B">
              <w:t xml:space="preserve"> (</w:t>
            </w:r>
            <w:bookmarkStart w:id="25" w:name="NumberNumeral"/>
            <w:r w:rsidR="00270432">
              <w:t>105</w:t>
            </w:r>
            <w:bookmarkEnd w:id="25"/>
            <w:r w:rsidRPr="00582F6B">
              <w:t xml:space="preserve">) numbered </w:t>
            </w:r>
            <w:bookmarkStart w:id="26" w:name="CertPara"/>
            <w:r w:rsidR="00270432">
              <w:t>paragraphs are</w:t>
            </w:r>
            <w:bookmarkEnd w:id="26"/>
            <w:r w:rsidRPr="00582F6B">
              <w:t xml:space="preserve"> a true copy of the Reasons for Judgment herein of the Honourable </w:t>
            </w:r>
            <w:bookmarkStart w:id="27" w:name="Justice"/>
            <w:r w:rsidR="009B52E6">
              <w:t>Justice Mansfield</w:t>
            </w:r>
            <w:bookmarkEnd w:id="27"/>
            <w:r w:rsidRPr="00582F6B">
              <w:t>.</w:t>
            </w:r>
          </w:p>
        </w:tc>
      </w:tr>
    </w:tbl>
    <w:p w:rsidR="00582F6B" w:rsidRDefault="00582F6B" w:rsidP="00EB66DD"/>
    <w:p w:rsidR="00582F6B" w:rsidRDefault="00582F6B">
      <w:pPr>
        <w:suppressAutoHyphens/>
      </w:pPr>
      <w:r>
        <w:t>Associate:</w:t>
      </w:r>
    </w:p>
    <w:p w:rsidR="00582F6B" w:rsidRDefault="00582F6B">
      <w:pPr>
        <w:suppressAutoHyphens/>
      </w:pPr>
    </w:p>
    <w:p w:rsidR="00582F6B" w:rsidRDefault="00582F6B">
      <w:pPr>
        <w:tabs>
          <w:tab w:val="left" w:pos="1134"/>
        </w:tabs>
        <w:suppressAutoHyphens/>
      </w:pPr>
      <w:r>
        <w:t>Dated:</w:t>
      </w:r>
      <w:r>
        <w:tab/>
      </w:r>
      <w:bookmarkStart w:id="28" w:name="CertifyDated"/>
      <w:r w:rsidR="009B52E6">
        <w:t>5 December 2013</w:t>
      </w:r>
      <w:bookmarkEnd w:id="28"/>
    </w:p>
    <w:bookmarkEnd w:id="23"/>
    <w:p w:rsidR="00582F6B" w:rsidRPr="003609E8" w:rsidRDefault="00582F6B" w:rsidP="00582F6B">
      <w:pPr>
        <w:pStyle w:val="NoNum"/>
      </w:pPr>
    </w:p>
    <w:sectPr w:rsidR="00582F6B" w:rsidRPr="003609E8">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C4" w:rsidRDefault="00BC62C4">
      <w:pPr>
        <w:spacing w:line="20" w:lineRule="exact"/>
      </w:pPr>
    </w:p>
    <w:p w:rsidR="00BC62C4" w:rsidRDefault="00BC62C4"/>
    <w:p w:rsidR="00BC62C4" w:rsidRDefault="00BC62C4"/>
  </w:endnote>
  <w:endnote w:type="continuationSeparator" w:id="0">
    <w:p w:rsidR="00BC62C4" w:rsidRDefault="00BC62C4">
      <w:r>
        <w:t xml:space="preserve"> </w:t>
      </w:r>
    </w:p>
    <w:p w:rsidR="00BC62C4" w:rsidRDefault="00BC62C4"/>
    <w:p w:rsidR="00BC62C4" w:rsidRDefault="00BC62C4"/>
  </w:endnote>
  <w:endnote w:type="continuationNotice" w:id="1">
    <w:p w:rsidR="00BC62C4" w:rsidRDefault="00BC62C4">
      <w:r>
        <w:t xml:space="preserve"> </w:t>
      </w:r>
    </w:p>
    <w:p w:rsidR="00BC62C4" w:rsidRDefault="00BC62C4"/>
    <w:p w:rsidR="00BC62C4" w:rsidRDefault="00BC6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Pr="00005072" w:rsidRDefault="00BC62C4" w:rsidP="00005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Pr="002E0C81" w:rsidRDefault="00BC62C4" w:rsidP="002E0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C4" w:rsidRDefault="00BC62C4"/>
    <w:p w:rsidR="00BC62C4" w:rsidRDefault="00BC62C4"/>
    <w:p w:rsidR="00BC62C4" w:rsidRDefault="00BC62C4"/>
  </w:footnote>
  <w:footnote w:type="continuationSeparator" w:id="0">
    <w:p w:rsidR="00BC62C4" w:rsidRDefault="00BC62C4">
      <w:r>
        <w:continuationSeparator/>
      </w:r>
    </w:p>
    <w:p w:rsidR="00BC62C4" w:rsidRDefault="00BC62C4"/>
    <w:p w:rsidR="00BC62C4" w:rsidRDefault="00BC62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Default="00BC62C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CF2A50">
      <w:rPr>
        <w:noProof/>
        <w:spacing w:val="-3"/>
      </w:rPr>
      <w:t>3</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Default="00BC62C4">
    <w:pPr>
      <w:tabs>
        <w:tab w:val="center" w:pos="4512"/>
      </w:tabs>
      <w:suppressAutoHyphens/>
    </w:pPr>
    <w:r>
      <w:tab/>
      <w:t xml:space="preserve">- </w:t>
    </w:r>
    <w:r>
      <w:fldChar w:fldCharType="begin"/>
    </w:r>
    <w:r>
      <w:instrText>page \* arabic</w:instrText>
    </w:r>
    <w:r>
      <w:fldChar w:fldCharType="separate"/>
    </w:r>
    <w:r w:rsidR="00CF2A50">
      <w:rPr>
        <w:noProof/>
      </w:rPr>
      <w:t>164</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Default="00BC62C4" w:rsidP="00320622">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Default="00BC62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Default="00BC62C4">
    <w:pPr>
      <w:tabs>
        <w:tab w:val="center" w:pos="4512"/>
      </w:tabs>
      <w:suppressAutoHyphens/>
    </w:pPr>
    <w:r>
      <w:tab/>
      <w:t xml:space="preserve">- </w:t>
    </w:r>
    <w:r>
      <w:fldChar w:fldCharType="begin"/>
    </w:r>
    <w:r>
      <w:instrText>page \* arabic</w:instrText>
    </w:r>
    <w:r>
      <w:fldChar w:fldCharType="separate"/>
    </w:r>
    <w:r w:rsidR="00CF2A50">
      <w:rPr>
        <w:noProof/>
      </w:rPr>
      <w:t>19</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C4" w:rsidRDefault="00BC62C4" w:rsidP="0032062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77FEC"/>
    <w:multiLevelType w:val="multilevel"/>
    <w:tmpl w:val="9AD2CF18"/>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1">
    <w:nsid w:val="07D2433E"/>
    <w:multiLevelType w:val="multilevel"/>
    <w:tmpl w:val="1474283C"/>
    <w:lvl w:ilvl="0">
      <w:start w:val="1"/>
      <w:numFmt w:val="lowerRoman"/>
      <w:lvlRestart w:val="0"/>
      <w:lvlText w:val="(%1)"/>
      <w:lvlJc w:val="left"/>
      <w:pPr>
        <w:tabs>
          <w:tab w:val="num" w:pos="2160"/>
        </w:tabs>
        <w:ind w:left="2160" w:hanging="720"/>
      </w:pPr>
      <w:rPr>
        <w:rFonts w:ascii="Times New Roman" w:eastAsia="Batang" w:hAnsi="Times New Roman" w:cs="Times New Roman"/>
      </w:r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lowerRoman"/>
      <w:lvlText w:val="(%5)"/>
      <w:lvlJc w:val="left"/>
      <w:pPr>
        <w:tabs>
          <w:tab w:val="num" w:pos="5040"/>
        </w:tabs>
        <w:ind w:left="5040" w:hanging="720"/>
      </w:pPr>
    </w:lvl>
    <w:lvl w:ilvl="5">
      <w:start w:val="1"/>
      <w:numFmt w:val="none"/>
      <w:lvlText w:val=""/>
      <w:lvlJc w:val="left"/>
      <w:pPr>
        <w:tabs>
          <w:tab w:val="num" w:pos="4320"/>
        </w:tabs>
        <w:ind w:left="4178" w:hanging="941"/>
      </w:pPr>
    </w:lvl>
    <w:lvl w:ilvl="6">
      <w:start w:val="1"/>
      <w:numFmt w:val="none"/>
      <w:lvlText w:val=""/>
      <w:lvlJc w:val="left"/>
      <w:pPr>
        <w:tabs>
          <w:tab w:val="num" w:pos="5040"/>
        </w:tabs>
        <w:ind w:left="4677" w:hanging="1077"/>
      </w:pPr>
    </w:lvl>
    <w:lvl w:ilvl="7">
      <w:start w:val="1"/>
      <w:numFmt w:val="none"/>
      <w:lvlText w:val=""/>
      <w:lvlJc w:val="left"/>
      <w:pPr>
        <w:tabs>
          <w:tab w:val="num" w:pos="5397"/>
        </w:tabs>
        <w:ind w:left="5182" w:hanging="1225"/>
      </w:pPr>
    </w:lvl>
    <w:lvl w:ilvl="8">
      <w:start w:val="1"/>
      <w:numFmt w:val="none"/>
      <w:lvlText w:val=""/>
      <w:lvlJc w:val="left"/>
      <w:pPr>
        <w:tabs>
          <w:tab w:val="num" w:pos="6117"/>
        </w:tabs>
        <w:ind w:left="5760" w:hanging="1440"/>
      </w:pPr>
    </w:lvl>
  </w:abstractNum>
  <w:abstractNum w:abstractNumId="12">
    <w:nsid w:val="11E778D1"/>
    <w:multiLevelType w:val="multilevel"/>
    <w:tmpl w:val="9494557C"/>
    <w:lvl w:ilvl="0">
      <w:start w:val="1"/>
      <w:numFmt w:val="lowerLetter"/>
      <w:lvlRestart w:val="0"/>
      <w:lvlText w:val="(%1)"/>
      <w:lvlJc w:val="left"/>
      <w:pPr>
        <w:tabs>
          <w:tab w:val="num" w:pos="1440"/>
        </w:tabs>
        <w:ind w:left="1440" w:hanging="720"/>
      </w:pPr>
      <w:rPr>
        <w:rFonts w:ascii="Times New Roman" w:eastAsia="Batang" w:hAnsi="Times New Roman" w:cs="Times New Roman"/>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3">
    <w:nsid w:val="15286551"/>
    <w:multiLevelType w:val="multilevel"/>
    <w:tmpl w:val="D81A1AEA"/>
    <w:lvl w:ilvl="0">
      <w:start w:val="1"/>
      <w:numFmt w:val="lowerRoman"/>
      <w:lvlRestart w:val="0"/>
      <w:lvlText w:val="(%1)"/>
      <w:lvlJc w:val="left"/>
      <w:pPr>
        <w:tabs>
          <w:tab w:val="num" w:pos="2138"/>
        </w:tabs>
        <w:ind w:left="2138" w:hanging="720"/>
      </w:pPr>
      <w:rPr>
        <w:rFonts w:ascii="Times New Roman" w:eastAsia="Batang" w:hAnsi="Times New Roman" w:cs="Times New Roman"/>
      </w:rPr>
    </w:lvl>
    <w:lvl w:ilvl="1">
      <w:start w:val="1"/>
      <w:numFmt w:val="decimal"/>
      <w:lvlText w:val="%1.%2"/>
      <w:lvlJc w:val="left"/>
      <w:pPr>
        <w:tabs>
          <w:tab w:val="num" w:pos="2858"/>
        </w:tabs>
        <w:ind w:left="2858" w:hanging="720"/>
      </w:pPr>
    </w:lvl>
    <w:lvl w:ilvl="2">
      <w:start w:val="1"/>
      <w:numFmt w:val="decimal"/>
      <w:lvlText w:val="%1.%2.%3"/>
      <w:lvlJc w:val="left"/>
      <w:pPr>
        <w:tabs>
          <w:tab w:val="num" w:pos="3578"/>
        </w:tabs>
        <w:ind w:left="3578" w:hanging="720"/>
      </w:pPr>
    </w:lvl>
    <w:lvl w:ilvl="3">
      <w:start w:val="1"/>
      <w:numFmt w:val="lowerLetter"/>
      <w:lvlText w:val="(%4)"/>
      <w:lvlJc w:val="left"/>
      <w:pPr>
        <w:tabs>
          <w:tab w:val="num" w:pos="4298"/>
        </w:tabs>
        <w:ind w:left="4298" w:hanging="720"/>
      </w:pPr>
    </w:lvl>
    <w:lvl w:ilvl="4">
      <w:start w:val="1"/>
      <w:numFmt w:val="lowerRoman"/>
      <w:lvlText w:val="(%5)"/>
      <w:lvlJc w:val="left"/>
      <w:pPr>
        <w:tabs>
          <w:tab w:val="num" w:pos="5018"/>
        </w:tabs>
        <w:ind w:left="5018" w:hanging="720"/>
      </w:pPr>
    </w:lvl>
    <w:lvl w:ilvl="5">
      <w:start w:val="1"/>
      <w:numFmt w:val="none"/>
      <w:lvlText w:val=""/>
      <w:lvlJc w:val="left"/>
      <w:pPr>
        <w:tabs>
          <w:tab w:val="num" w:pos="4298"/>
        </w:tabs>
        <w:ind w:left="4156" w:hanging="941"/>
      </w:pPr>
    </w:lvl>
    <w:lvl w:ilvl="6">
      <w:start w:val="1"/>
      <w:numFmt w:val="none"/>
      <w:lvlText w:val=""/>
      <w:lvlJc w:val="left"/>
      <w:pPr>
        <w:tabs>
          <w:tab w:val="num" w:pos="5018"/>
        </w:tabs>
        <w:ind w:left="4655" w:hanging="1077"/>
      </w:pPr>
    </w:lvl>
    <w:lvl w:ilvl="7">
      <w:start w:val="1"/>
      <w:numFmt w:val="none"/>
      <w:lvlText w:val=""/>
      <w:lvlJc w:val="left"/>
      <w:pPr>
        <w:tabs>
          <w:tab w:val="num" w:pos="5375"/>
        </w:tabs>
        <w:ind w:left="5160" w:hanging="1225"/>
      </w:pPr>
    </w:lvl>
    <w:lvl w:ilvl="8">
      <w:start w:val="1"/>
      <w:numFmt w:val="none"/>
      <w:lvlText w:val=""/>
      <w:lvlJc w:val="left"/>
      <w:pPr>
        <w:tabs>
          <w:tab w:val="num" w:pos="6095"/>
        </w:tabs>
        <w:ind w:left="5738" w:hanging="1440"/>
      </w:pPr>
    </w:lvl>
  </w:abstractNum>
  <w:abstractNum w:abstractNumId="14">
    <w:nsid w:val="16126D8C"/>
    <w:multiLevelType w:val="multilevel"/>
    <w:tmpl w:val="47E6BE90"/>
    <w:lvl w:ilvl="0">
      <w:start w:val="1"/>
      <w:numFmt w:val="lowerLetter"/>
      <w:lvlRestart w:val="0"/>
      <w:lvlText w:val="(%1)"/>
      <w:lvlJc w:val="left"/>
      <w:pPr>
        <w:tabs>
          <w:tab w:val="num" w:pos="1440"/>
        </w:tabs>
        <w:ind w:left="1440" w:hanging="720"/>
      </w:pPr>
      <w:rPr>
        <w:rFonts w:ascii="Times New Roman" w:eastAsia="Batang" w:hAnsi="Times New Roman" w:cs="Times New Roman"/>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5">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17485365"/>
    <w:multiLevelType w:val="multilevel"/>
    <w:tmpl w:val="DDE2B11E"/>
    <w:lvl w:ilvl="0">
      <w:start w:val="1"/>
      <w:numFmt w:val="lowerRoman"/>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7">
    <w:nsid w:val="1A212876"/>
    <w:multiLevelType w:val="hybridMultilevel"/>
    <w:tmpl w:val="96DCF23C"/>
    <w:lvl w:ilvl="0" w:tplc="049E6DCC">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1C634B3D"/>
    <w:multiLevelType w:val="multilevel"/>
    <w:tmpl w:val="494A2F64"/>
    <w:lvl w:ilvl="0">
      <w:start w:val="1"/>
      <w:numFmt w:val="lowerLetter"/>
      <w:lvlRestart w:val="0"/>
      <w:lvlText w:val="(%1)"/>
      <w:lvlJc w:val="left"/>
      <w:pPr>
        <w:tabs>
          <w:tab w:val="num" w:pos="1440"/>
        </w:tabs>
        <w:ind w:left="1440" w:hanging="720"/>
      </w:pPr>
      <w:rPr>
        <w:rFonts w:ascii="Times New Roman" w:eastAsia="Batang" w:hAnsi="Times New Roman" w:cs="Times New Roman"/>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19">
    <w:nsid w:val="1F1764FC"/>
    <w:multiLevelType w:val="multilevel"/>
    <w:tmpl w:val="B010C93E"/>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0">
    <w:nsid w:val="29AE3DD1"/>
    <w:multiLevelType w:val="multilevel"/>
    <w:tmpl w:val="DC542ADE"/>
    <w:lvl w:ilvl="0">
      <w:start w:val="1"/>
      <w:numFmt w:val="decimal"/>
      <w:lvlRestart w:val="0"/>
      <w:pStyle w:val="ParaNumbering"/>
      <w:lvlText w:val="%1"/>
      <w:lvlJc w:val="left"/>
      <w:pPr>
        <w:tabs>
          <w:tab w:val="num" w:pos="720"/>
        </w:tabs>
        <w:ind w:left="0" w:hanging="720"/>
      </w:pPr>
      <w:rPr>
        <w:rFonts w:hint="default"/>
        <w:sz w:val="2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840" w:hanging="1800"/>
      </w:pPr>
      <w:rPr>
        <w:rFonts w:hint="default"/>
      </w:rPr>
    </w:lvl>
  </w:abstractNum>
  <w:abstractNum w:abstractNumId="21">
    <w:nsid w:val="322B621D"/>
    <w:multiLevelType w:val="multilevel"/>
    <w:tmpl w:val="2C76017C"/>
    <w:lvl w:ilvl="0">
      <w:start w:val="1"/>
      <w:numFmt w:val="lowerRoman"/>
      <w:lvlRestart w:val="0"/>
      <w:lvlText w:val="(%1)"/>
      <w:lvlJc w:val="left"/>
      <w:pPr>
        <w:tabs>
          <w:tab w:val="num" w:pos="2138"/>
        </w:tabs>
        <w:ind w:left="2138" w:hanging="720"/>
      </w:pPr>
      <w:rPr>
        <w:rFonts w:ascii="Times New Roman" w:eastAsia="Batang" w:hAnsi="Times New Roman" w:cs="Times New Roman"/>
      </w:rPr>
    </w:lvl>
    <w:lvl w:ilvl="1">
      <w:start w:val="1"/>
      <w:numFmt w:val="decimal"/>
      <w:lvlText w:val="%1.%2"/>
      <w:lvlJc w:val="left"/>
      <w:pPr>
        <w:tabs>
          <w:tab w:val="num" w:pos="2858"/>
        </w:tabs>
        <w:ind w:left="2858" w:hanging="720"/>
      </w:pPr>
    </w:lvl>
    <w:lvl w:ilvl="2">
      <w:start w:val="1"/>
      <w:numFmt w:val="decimal"/>
      <w:lvlText w:val="%1.%2.%3"/>
      <w:lvlJc w:val="left"/>
      <w:pPr>
        <w:tabs>
          <w:tab w:val="num" w:pos="3578"/>
        </w:tabs>
        <w:ind w:left="3578" w:hanging="720"/>
      </w:pPr>
    </w:lvl>
    <w:lvl w:ilvl="3">
      <w:start w:val="1"/>
      <w:numFmt w:val="lowerLetter"/>
      <w:lvlText w:val="(%4)"/>
      <w:lvlJc w:val="left"/>
      <w:pPr>
        <w:tabs>
          <w:tab w:val="num" w:pos="4298"/>
        </w:tabs>
        <w:ind w:left="4298" w:hanging="720"/>
      </w:pPr>
    </w:lvl>
    <w:lvl w:ilvl="4">
      <w:start w:val="1"/>
      <w:numFmt w:val="lowerRoman"/>
      <w:lvlText w:val="(%5)"/>
      <w:lvlJc w:val="left"/>
      <w:pPr>
        <w:tabs>
          <w:tab w:val="num" w:pos="5018"/>
        </w:tabs>
        <w:ind w:left="5018" w:hanging="720"/>
      </w:pPr>
    </w:lvl>
    <w:lvl w:ilvl="5">
      <w:start w:val="1"/>
      <w:numFmt w:val="none"/>
      <w:lvlText w:val=""/>
      <w:lvlJc w:val="left"/>
      <w:pPr>
        <w:tabs>
          <w:tab w:val="num" w:pos="4298"/>
        </w:tabs>
        <w:ind w:left="4156" w:hanging="941"/>
      </w:pPr>
    </w:lvl>
    <w:lvl w:ilvl="6">
      <w:start w:val="1"/>
      <w:numFmt w:val="none"/>
      <w:lvlText w:val=""/>
      <w:lvlJc w:val="left"/>
      <w:pPr>
        <w:tabs>
          <w:tab w:val="num" w:pos="5018"/>
        </w:tabs>
        <w:ind w:left="4655" w:hanging="1077"/>
      </w:pPr>
    </w:lvl>
    <w:lvl w:ilvl="7">
      <w:start w:val="1"/>
      <w:numFmt w:val="none"/>
      <w:lvlText w:val=""/>
      <w:lvlJc w:val="left"/>
      <w:pPr>
        <w:tabs>
          <w:tab w:val="num" w:pos="5375"/>
        </w:tabs>
        <w:ind w:left="5160" w:hanging="1225"/>
      </w:pPr>
    </w:lvl>
    <w:lvl w:ilvl="8">
      <w:start w:val="1"/>
      <w:numFmt w:val="none"/>
      <w:lvlText w:val=""/>
      <w:lvlJc w:val="left"/>
      <w:pPr>
        <w:tabs>
          <w:tab w:val="num" w:pos="6095"/>
        </w:tabs>
        <w:ind w:left="5738" w:hanging="1440"/>
      </w:pPr>
    </w:lvl>
  </w:abstractNum>
  <w:abstractNum w:abstractNumId="22">
    <w:nsid w:val="329121CE"/>
    <w:multiLevelType w:val="multilevel"/>
    <w:tmpl w:val="4C1C3C4A"/>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3">
    <w:nsid w:val="33630A1B"/>
    <w:multiLevelType w:val="multilevel"/>
    <w:tmpl w:val="A54007EA"/>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nsid w:val="394F3CFB"/>
    <w:multiLevelType w:val="multilevel"/>
    <w:tmpl w:val="EC809890"/>
    <w:lvl w:ilvl="0">
      <w:start w:val="1"/>
      <w:numFmt w:val="lowerRoman"/>
      <w:lvlRestart w:val="0"/>
      <w:lvlText w:val="(%1)"/>
      <w:lvlJc w:val="left"/>
      <w:pPr>
        <w:tabs>
          <w:tab w:val="num" w:pos="2160"/>
        </w:tabs>
        <w:ind w:left="2160" w:hanging="720"/>
      </w:pPr>
      <w:rPr>
        <w:rFonts w:ascii="Times New Roman" w:eastAsia="Batang" w:hAnsi="Times New Roman" w:cs="Times New Roman"/>
      </w:r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lowerRoman"/>
      <w:lvlText w:val="(%5)"/>
      <w:lvlJc w:val="left"/>
      <w:pPr>
        <w:tabs>
          <w:tab w:val="num" w:pos="5040"/>
        </w:tabs>
        <w:ind w:left="5040" w:hanging="720"/>
      </w:pPr>
    </w:lvl>
    <w:lvl w:ilvl="5">
      <w:start w:val="1"/>
      <w:numFmt w:val="none"/>
      <w:lvlText w:val=""/>
      <w:lvlJc w:val="left"/>
      <w:pPr>
        <w:tabs>
          <w:tab w:val="num" w:pos="4320"/>
        </w:tabs>
        <w:ind w:left="4178" w:hanging="941"/>
      </w:pPr>
    </w:lvl>
    <w:lvl w:ilvl="6">
      <w:start w:val="1"/>
      <w:numFmt w:val="none"/>
      <w:lvlText w:val=""/>
      <w:lvlJc w:val="left"/>
      <w:pPr>
        <w:tabs>
          <w:tab w:val="num" w:pos="5040"/>
        </w:tabs>
        <w:ind w:left="4677" w:hanging="1077"/>
      </w:pPr>
    </w:lvl>
    <w:lvl w:ilvl="7">
      <w:start w:val="1"/>
      <w:numFmt w:val="none"/>
      <w:lvlText w:val=""/>
      <w:lvlJc w:val="left"/>
      <w:pPr>
        <w:tabs>
          <w:tab w:val="num" w:pos="5397"/>
        </w:tabs>
        <w:ind w:left="5182" w:hanging="1225"/>
      </w:pPr>
    </w:lvl>
    <w:lvl w:ilvl="8">
      <w:start w:val="1"/>
      <w:numFmt w:val="none"/>
      <w:lvlText w:val=""/>
      <w:lvlJc w:val="left"/>
      <w:pPr>
        <w:tabs>
          <w:tab w:val="num" w:pos="6117"/>
        </w:tabs>
        <w:ind w:left="5760" w:hanging="1440"/>
      </w:pPr>
    </w:lvl>
  </w:abstractNum>
  <w:abstractNum w:abstractNumId="25">
    <w:nsid w:val="3E335EB4"/>
    <w:multiLevelType w:val="multilevel"/>
    <w:tmpl w:val="247CF990"/>
    <w:lvl w:ilvl="0">
      <w:start w:val="1"/>
      <w:numFmt w:val="decimal"/>
      <w:lvlRestart w:val="0"/>
      <w:lvlText w:val="(%1)"/>
      <w:lvlJc w:val="left"/>
      <w:pPr>
        <w:tabs>
          <w:tab w:val="num" w:pos="2880"/>
        </w:tabs>
        <w:ind w:left="2880" w:hanging="720"/>
      </w:pPr>
      <w:rPr>
        <w:rFonts w:ascii="Times New Roman" w:eastAsia="Batang" w:hAnsi="Times New Roman" w:cs="Times New Roman"/>
      </w:rPr>
    </w:lvl>
    <w:lvl w:ilvl="1">
      <w:start w:val="1"/>
      <w:numFmt w:val="decimal"/>
      <w:lvlText w:val="%1.%2"/>
      <w:lvlJc w:val="left"/>
      <w:pPr>
        <w:tabs>
          <w:tab w:val="num" w:pos="3600"/>
        </w:tabs>
        <w:ind w:left="3600" w:hanging="720"/>
      </w:pPr>
    </w:lvl>
    <w:lvl w:ilvl="2">
      <w:start w:val="1"/>
      <w:numFmt w:val="decimal"/>
      <w:lvlText w:val="%1.%2.%3"/>
      <w:lvlJc w:val="left"/>
      <w:pPr>
        <w:tabs>
          <w:tab w:val="num" w:pos="4320"/>
        </w:tabs>
        <w:ind w:left="4320" w:hanging="720"/>
      </w:pPr>
    </w:lvl>
    <w:lvl w:ilvl="3">
      <w:start w:val="1"/>
      <w:numFmt w:val="lowerLetter"/>
      <w:lvlText w:val="(%4)"/>
      <w:lvlJc w:val="left"/>
      <w:pPr>
        <w:tabs>
          <w:tab w:val="num" w:pos="5040"/>
        </w:tabs>
        <w:ind w:left="5040" w:hanging="720"/>
      </w:pPr>
    </w:lvl>
    <w:lvl w:ilvl="4">
      <w:start w:val="1"/>
      <w:numFmt w:val="lowerRoman"/>
      <w:lvlText w:val="(%5)"/>
      <w:lvlJc w:val="left"/>
      <w:pPr>
        <w:tabs>
          <w:tab w:val="num" w:pos="5760"/>
        </w:tabs>
        <w:ind w:left="5760" w:hanging="720"/>
      </w:pPr>
    </w:lvl>
    <w:lvl w:ilvl="5">
      <w:start w:val="1"/>
      <w:numFmt w:val="none"/>
      <w:lvlText w:val=""/>
      <w:lvlJc w:val="left"/>
      <w:pPr>
        <w:tabs>
          <w:tab w:val="num" w:pos="5040"/>
        </w:tabs>
        <w:ind w:left="4898" w:hanging="941"/>
      </w:pPr>
    </w:lvl>
    <w:lvl w:ilvl="6">
      <w:start w:val="1"/>
      <w:numFmt w:val="none"/>
      <w:lvlText w:val=""/>
      <w:lvlJc w:val="left"/>
      <w:pPr>
        <w:tabs>
          <w:tab w:val="num" w:pos="5760"/>
        </w:tabs>
        <w:ind w:left="5397" w:hanging="1077"/>
      </w:pPr>
    </w:lvl>
    <w:lvl w:ilvl="7">
      <w:start w:val="1"/>
      <w:numFmt w:val="none"/>
      <w:lvlText w:val=""/>
      <w:lvlJc w:val="left"/>
      <w:pPr>
        <w:tabs>
          <w:tab w:val="num" w:pos="6117"/>
        </w:tabs>
        <w:ind w:left="5902" w:hanging="1225"/>
      </w:pPr>
    </w:lvl>
    <w:lvl w:ilvl="8">
      <w:start w:val="1"/>
      <w:numFmt w:val="none"/>
      <w:lvlText w:val=""/>
      <w:lvlJc w:val="left"/>
      <w:pPr>
        <w:tabs>
          <w:tab w:val="num" w:pos="6837"/>
        </w:tabs>
        <w:ind w:left="6480" w:hanging="1440"/>
      </w:pPr>
    </w:lvl>
  </w:abstractNum>
  <w:abstractNum w:abstractNumId="26">
    <w:nsid w:val="419D5683"/>
    <w:multiLevelType w:val="multilevel"/>
    <w:tmpl w:val="83E6A3BC"/>
    <w:lvl w:ilvl="0">
      <w:start w:val="1"/>
      <w:numFmt w:val="upp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7">
    <w:nsid w:val="439912EF"/>
    <w:multiLevelType w:val="multilevel"/>
    <w:tmpl w:val="FA449BC4"/>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8">
    <w:nsid w:val="476538AE"/>
    <w:multiLevelType w:val="hybridMultilevel"/>
    <w:tmpl w:val="C908EFBC"/>
    <w:lvl w:ilvl="0" w:tplc="8A7054C4">
      <w:start w:val="10"/>
      <w:numFmt w:val="lowerLetter"/>
      <w:lvlText w:val="(%1)"/>
      <w:lvlJc w:val="left"/>
      <w:pPr>
        <w:ind w:left="720" w:hanging="360"/>
      </w:pPr>
      <w:rPr>
        <w:rFonts w:hint="default"/>
      </w:rPr>
    </w:lvl>
    <w:lvl w:ilvl="1" w:tplc="3A4256E0">
      <w:start w:val="1"/>
      <w:numFmt w:val="lowerRoman"/>
      <w:lvlText w:val="%2)"/>
      <w:lvlJc w:val="left"/>
      <w:pPr>
        <w:ind w:left="1800" w:hanging="720"/>
      </w:pPr>
      <w:rPr>
        <w:rFonts w:hint="default"/>
      </w:rPr>
    </w:lvl>
    <w:lvl w:ilvl="2" w:tplc="8CF89B5E">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86E5E21"/>
    <w:multiLevelType w:val="multilevel"/>
    <w:tmpl w:val="9ADEE3C6"/>
    <w:lvl w:ilvl="0">
      <w:start w:val="1"/>
      <w:numFmt w:val="lowerLetter"/>
      <w:lvlRestart w:val="0"/>
      <w:lvlText w:val="(%1)"/>
      <w:lvlJc w:val="left"/>
      <w:pPr>
        <w:tabs>
          <w:tab w:val="num" w:pos="1440"/>
        </w:tabs>
        <w:ind w:left="1440" w:hanging="720"/>
      </w:pPr>
      <w:rPr>
        <w:rFonts w:ascii="Times New Roman" w:eastAsia="Batang" w:hAnsi="Times New Roman" w:cs="Times New Roman"/>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30">
    <w:nsid w:val="48971460"/>
    <w:multiLevelType w:val="multilevel"/>
    <w:tmpl w:val="2B42D9DE"/>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1">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EED287F"/>
    <w:multiLevelType w:val="multilevel"/>
    <w:tmpl w:val="65B2E102"/>
    <w:lvl w:ilvl="0">
      <w:start w:val="1"/>
      <w:numFmt w:val="lowerLetter"/>
      <w:lvlRestart w:val="0"/>
      <w:lvlText w:val="(%1)"/>
      <w:lvlJc w:val="left"/>
      <w:pPr>
        <w:tabs>
          <w:tab w:val="num" w:pos="1440"/>
        </w:tabs>
        <w:ind w:left="1440" w:hanging="720"/>
      </w:pPr>
      <w:rPr>
        <w:rFonts w:ascii="Times New Roman" w:eastAsia="Batang" w:hAnsi="Times New Roman" w:cs="Times New Roman"/>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34">
    <w:nsid w:val="52EB404F"/>
    <w:multiLevelType w:val="multilevel"/>
    <w:tmpl w:val="5C80EFB0"/>
    <w:lvl w:ilvl="0">
      <w:start w:val="1"/>
      <w:numFmt w:val="lowerLetter"/>
      <w:lvlRestart w:val="0"/>
      <w:lvlText w:val="(%1)"/>
      <w:lvlJc w:val="left"/>
      <w:pPr>
        <w:tabs>
          <w:tab w:val="num" w:pos="1440"/>
        </w:tabs>
        <w:ind w:left="1440" w:hanging="720"/>
      </w:pPr>
      <w:rPr>
        <w:rFonts w:ascii="Times New Roman" w:eastAsia="Batang" w:hAnsi="Times New Roman" w:cs="Times New Roman"/>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abstractNum w:abstractNumId="35">
    <w:nsid w:val="561473B2"/>
    <w:multiLevelType w:val="multilevel"/>
    <w:tmpl w:val="00948022"/>
    <w:lvl w:ilvl="0">
      <w:start w:val="1"/>
      <w:numFmt w:val="upp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6">
    <w:nsid w:val="5DBB1AB6"/>
    <w:multiLevelType w:val="multilevel"/>
    <w:tmpl w:val="7046CD80"/>
    <w:lvl w:ilvl="0">
      <w:start w:val="1"/>
      <w:numFmt w:val="lowerRoman"/>
      <w:lvlRestart w:val="0"/>
      <w:lvlText w:val="(%1)"/>
      <w:lvlJc w:val="left"/>
      <w:pPr>
        <w:tabs>
          <w:tab w:val="num" w:pos="3600"/>
        </w:tabs>
        <w:ind w:left="3600" w:hanging="720"/>
      </w:pPr>
      <w:rPr>
        <w:rFonts w:ascii="Times New Roman" w:eastAsia="Batang" w:hAnsi="Times New Roman" w:cs="Times New Roman"/>
      </w:rPr>
    </w:lvl>
    <w:lvl w:ilvl="1">
      <w:start w:val="1"/>
      <w:numFmt w:val="decimal"/>
      <w:lvlText w:val="%1.%2"/>
      <w:lvlJc w:val="left"/>
      <w:pPr>
        <w:tabs>
          <w:tab w:val="num" w:pos="4320"/>
        </w:tabs>
        <w:ind w:left="4320" w:hanging="720"/>
      </w:pPr>
    </w:lvl>
    <w:lvl w:ilvl="2">
      <w:start w:val="1"/>
      <w:numFmt w:val="decimal"/>
      <w:lvlText w:val="%1.%2.%3"/>
      <w:lvlJc w:val="left"/>
      <w:pPr>
        <w:tabs>
          <w:tab w:val="num" w:pos="5040"/>
        </w:tabs>
        <w:ind w:left="5040" w:hanging="720"/>
      </w:pPr>
    </w:lvl>
    <w:lvl w:ilvl="3">
      <w:start w:val="1"/>
      <w:numFmt w:val="lowerLetter"/>
      <w:lvlText w:val="(%4)"/>
      <w:lvlJc w:val="left"/>
      <w:pPr>
        <w:tabs>
          <w:tab w:val="num" w:pos="5760"/>
        </w:tabs>
        <w:ind w:left="5760" w:hanging="720"/>
      </w:pPr>
    </w:lvl>
    <w:lvl w:ilvl="4">
      <w:start w:val="1"/>
      <w:numFmt w:val="lowerRoman"/>
      <w:lvlText w:val="(%5)"/>
      <w:lvlJc w:val="left"/>
      <w:pPr>
        <w:tabs>
          <w:tab w:val="num" w:pos="6480"/>
        </w:tabs>
        <w:ind w:left="6480" w:hanging="720"/>
      </w:pPr>
    </w:lvl>
    <w:lvl w:ilvl="5">
      <w:start w:val="1"/>
      <w:numFmt w:val="none"/>
      <w:lvlText w:val=""/>
      <w:lvlJc w:val="left"/>
      <w:pPr>
        <w:tabs>
          <w:tab w:val="num" w:pos="5760"/>
        </w:tabs>
        <w:ind w:left="5618" w:hanging="941"/>
      </w:pPr>
    </w:lvl>
    <w:lvl w:ilvl="6">
      <w:start w:val="1"/>
      <w:numFmt w:val="none"/>
      <w:lvlText w:val=""/>
      <w:lvlJc w:val="left"/>
      <w:pPr>
        <w:tabs>
          <w:tab w:val="num" w:pos="6480"/>
        </w:tabs>
        <w:ind w:left="6117" w:hanging="1077"/>
      </w:pPr>
    </w:lvl>
    <w:lvl w:ilvl="7">
      <w:start w:val="1"/>
      <w:numFmt w:val="none"/>
      <w:lvlText w:val=""/>
      <w:lvlJc w:val="left"/>
      <w:pPr>
        <w:tabs>
          <w:tab w:val="num" w:pos="6837"/>
        </w:tabs>
        <w:ind w:left="6622" w:hanging="1225"/>
      </w:pPr>
    </w:lvl>
    <w:lvl w:ilvl="8">
      <w:start w:val="1"/>
      <w:numFmt w:val="none"/>
      <w:lvlText w:val=""/>
      <w:lvlJc w:val="left"/>
      <w:pPr>
        <w:tabs>
          <w:tab w:val="num" w:pos="7557"/>
        </w:tabs>
        <w:ind w:left="7200" w:hanging="1440"/>
      </w:pPr>
    </w:lvl>
  </w:abstractNum>
  <w:abstractNum w:abstractNumId="37">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nsid w:val="73294716"/>
    <w:multiLevelType w:val="multilevel"/>
    <w:tmpl w:val="6B04DBC0"/>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9">
    <w:nsid w:val="7C812EF5"/>
    <w:multiLevelType w:val="multilevel"/>
    <w:tmpl w:val="239A2C1E"/>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0"/>
  </w:num>
  <w:num w:numId="2">
    <w:abstractNumId w:val="35"/>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37"/>
  </w:num>
  <w:num w:numId="16">
    <w:abstractNumId w:val="31"/>
  </w:num>
  <w:num w:numId="17">
    <w:abstractNumId w:val="32"/>
  </w:num>
  <w:num w:numId="18">
    <w:abstractNumId w:val="40"/>
  </w:num>
  <w:num w:numId="19">
    <w:abstractNumId w:val="14"/>
  </w:num>
  <w:num w:numId="20">
    <w:abstractNumId w:val="26"/>
  </w:num>
  <w:num w:numId="21">
    <w:abstractNumId w:val="36"/>
  </w:num>
  <w:num w:numId="22">
    <w:abstractNumId w:val="12"/>
  </w:num>
  <w:num w:numId="23">
    <w:abstractNumId w:val="16"/>
  </w:num>
  <w:num w:numId="24">
    <w:abstractNumId w:val="11"/>
  </w:num>
  <w:num w:numId="25">
    <w:abstractNumId w:val="25"/>
  </w:num>
  <w:num w:numId="26">
    <w:abstractNumId w:val="28"/>
  </w:num>
  <w:num w:numId="27">
    <w:abstractNumId w:val="13"/>
  </w:num>
  <w:num w:numId="28">
    <w:abstractNumId w:val="21"/>
  </w:num>
  <w:num w:numId="29">
    <w:abstractNumId w:val="29"/>
  </w:num>
  <w:num w:numId="30">
    <w:abstractNumId w:val="24"/>
  </w:num>
  <w:num w:numId="31">
    <w:abstractNumId w:val="34"/>
  </w:num>
  <w:num w:numId="32">
    <w:abstractNumId w:val="18"/>
  </w:num>
  <w:num w:numId="33">
    <w:abstractNumId w:val="38"/>
  </w:num>
  <w:num w:numId="34">
    <w:abstractNumId w:val="22"/>
  </w:num>
  <w:num w:numId="35">
    <w:abstractNumId w:val="33"/>
  </w:num>
  <w:num w:numId="36">
    <w:abstractNumId w:val="17"/>
  </w:num>
  <w:num w:numId="37">
    <w:abstractNumId w:val="30"/>
  </w:num>
  <w:num w:numId="38">
    <w:abstractNumId w:val="27"/>
  </w:num>
  <w:num w:numId="39">
    <w:abstractNumId w:val="39"/>
  </w:num>
  <w:num w:numId="40">
    <w:abstractNumId w:val="10"/>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KENNETH GORDON ROBERTS"/>
    <w:docVar w:name="CounselParties" w:val="Respondent"/>
    <w:docVar w:name="CounselType" w:val="Solicitor for the "/>
    <w:docVar w:name="Division" w:val="GENERAL DIVISION"/>
    <w:docVar w:name="DocCreated" w:val="True"/>
    <w:docVar w:name="FileNumbers" w:val="SAD 6008 of 1998"/>
    <w:docVar w:name="FullCourt" w:val="False"/>
    <w:docVar w:name="HearingDate" w:val="5 December 2013"/>
    <w:docVar w:name="Judgdate" w:val="5 December 2013"/>
    <w:docVar w:name="Judge" w:val="Mansfield"/>
    <w:docVar w:name="JudgePlace" w:val="ADELAIDE"/>
    <w:docVar w:name="lstEntryList" w:val="-1"/>
    <w:docVar w:name="myEntryList" w:val="Counsel for the Applicant=O Linde|Solicitor for the Applicant=##|Counsel for the Respondent=G Reid|Solicitor for the Respondent=##"/>
    <w:docVar w:name="NSD" w:val="NSD SAD 6008 of 1998"/>
    <w:docVar w:name="NumApps" w:val="1"/>
    <w:docVar w:name="NumApps_" w:val="1"/>
    <w:docVar w:name="NumJudges" w:val="Single Judge"/>
    <w:docVar w:name="Parties" w:val="Applicant"/>
    <w:docVar w:name="Place_SentenceCase" w:val="Adelaide"/>
    <w:docVar w:name="Respondent" w:val="STATE OF SOUTH AUSTRALIA"/>
    <w:docVar w:name="ResState" w:val="SOUTH AUSTRALIA"/>
    <w:docVar w:name="Single" w:val="True"/>
  </w:docVars>
  <w:rsids>
    <w:rsidRoot w:val="00C85435"/>
    <w:rsid w:val="00000427"/>
    <w:rsid w:val="00000E57"/>
    <w:rsid w:val="00001337"/>
    <w:rsid w:val="00001CDB"/>
    <w:rsid w:val="00005072"/>
    <w:rsid w:val="0000508E"/>
    <w:rsid w:val="00005130"/>
    <w:rsid w:val="00005647"/>
    <w:rsid w:val="0001067F"/>
    <w:rsid w:val="00012E32"/>
    <w:rsid w:val="000143EE"/>
    <w:rsid w:val="00014AA9"/>
    <w:rsid w:val="00017413"/>
    <w:rsid w:val="00017BB7"/>
    <w:rsid w:val="00017C80"/>
    <w:rsid w:val="00020D50"/>
    <w:rsid w:val="00022830"/>
    <w:rsid w:val="000241B9"/>
    <w:rsid w:val="0002571E"/>
    <w:rsid w:val="000275ED"/>
    <w:rsid w:val="0003311D"/>
    <w:rsid w:val="00034E12"/>
    <w:rsid w:val="00034F60"/>
    <w:rsid w:val="00035FA9"/>
    <w:rsid w:val="000407DC"/>
    <w:rsid w:val="00041A20"/>
    <w:rsid w:val="0004760E"/>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19DB"/>
    <w:rsid w:val="000720FF"/>
    <w:rsid w:val="00073291"/>
    <w:rsid w:val="0007496D"/>
    <w:rsid w:val="00076213"/>
    <w:rsid w:val="00077200"/>
    <w:rsid w:val="00077BFD"/>
    <w:rsid w:val="00082093"/>
    <w:rsid w:val="00085D38"/>
    <w:rsid w:val="00085FB5"/>
    <w:rsid w:val="00086451"/>
    <w:rsid w:val="00086615"/>
    <w:rsid w:val="0009015A"/>
    <w:rsid w:val="000912B3"/>
    <w:rsid w:val="000914ED"/>
    <w:rsid w:val="0009487A"/>
    <w:rsid w:val="00097051"/>
    <w:rsid w:val="000974F6"/>
    <w:rsid w:val="00097725"/>
    <w:rsid w:val="000A268F"/>
    <w:rsid w:val="000B0A83"/>
    <w:rsid w:val="000B134D"/>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E2728"/>
    <w:rsid w:val="000E41E2"/>
    <w:rsid w:val="000E43D1"/>
    <w:rsid w:val="000E4F42"/>
    <w:rsid w:val="000E636E"/>
    <w:rsid w:val="000E78E8"/>
    <w:rsid w:val="000E7E1E"/>
    <w:rsid w:val="000F153C"/>
    <w:rsid w:val="000F1C81"/>
    <w:rsid w:val="000F2344"/>
    <w:rsid w:val="000F75D5"/>
    <w:rsid w:val="00100A70"/>
    <w:rsid w:val="00106F62"/>
    <w:rsid w:val="00111043"/>
    <w:rsid w:val="001114BE"/>
    <w:rsid w:val="00111BC9"/>
    <w:rsid w:val="0011416F"/>
    <w:rsid w:val="00114B4A"/>
    <w:rsid w:val="00115EB4"/>
    <w:rsid w:val="001175A5"/>
    <w:rsid w:val="00121D2F"/>
    <w:rsid w:val="00123B3E"/>
    <w:rsid w:val="00125340"/>
    <w:rsid w:val="0012775F"/>
    <w:rsid w:val="00132D52"/>
    <w:rsid w:val="00145F70"/>
    <w:rsid w:val="001465CC"/>
    <w:rsid w:val="00150819"/>
    <w:rsid w:val="00151BB8"/>
    <w:rsid w:val="00152040"/>
    <w:rsid w:val="0015318B"/>
    <w:rsid w:val="001532EB"/>
    <w:rsid w:val="0015367F"/>
    <w:rsid w:val="001548A9"/>
    <w:rsid w:val="00161488"/>
    <w:rsid w:val="00162FEB"/>
    <w:rsid w:val="00164581"/>
    <w:rsid w:val="0016490B"/>
    <w:rsid w:val="001651A9"/>
    <w:rsid w:val="00171B2D"/>
    <w:rsid w:val="00171F5F"/>
    <w:rsid w:val="0017256F"/>
    <w:rsid w:val="00176EF6"/>
    <w:rsid w:val="001778B1"/>
    <w:rsid w:val="001804B9"/>
    <w:rsid w:val="00180D13"/>
    <w:rsid w:val="001811DD"/>
    <w:rsid w:val="001813D0"/>
    <w:rsid w:val="0018317C"/>
    <w:rsid w:val="00183E80"/>
    <w:rsid w:val="00184470"/>
    <w:rsid w:val="00187E01"/>
    <w:rsid w:val="001901F3"/>
    <w:rsid w:val="00190DA6"/>
    <w:rsid w:val="00191911"/>
    <w:rsid w:val="0019258C"/>
    <w:rsid w:val="001932FA"/>
    <w:rsid w:val="00194CA1"/>
    <w:rsid w:val="00194CDB"/>
    <w:rsid w:val="001A23E0"/>
    <w:rsid w:val="001A3EBA"/>
    <w:rsid w:val="001B06A8"/>
    <w:rsid w:val="001B43E6"/>
    <w:rsid w:val="001B532D"/>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86C"/>
    <w:rsid w:val="001E0CE2"/>
    <w:rsid w:val="001E0E72"/>
    <w:rsid w:val="001E1191"/>
    <w:rsid w:val="001E14D1"/>
    <w:rsid w:val="001E3620"/>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318C"/>
    <w:rsid w:val="00215D82"/>
    <w:rsid w:val="00216D26"/>
    <w:rsid w:val="00221B2D"/>
    <w:rsid w:val="00222BBD"/>
    <w:rsid w:val="00223844"/>
    <w:rsid w:val="00224A45"/>
    <w:rsid w:val="00224DC6"/>
    <w:rsid w:val="0023127B"/>
    <w:rsid w:val="00231C33"/>
    <w:rsid w:val="00234C63"/>
    <w:rsid w:val="002353A0"/>
    <w:rsid w:val="00237FC4"/>
    <w:rsid w:val="002443C4"/>
    <w:rsid w:val="00245F9E"/>
    <w:rsid w:val="00250E6F"/>
    <w:rsid w:val="00253DA3"/>
    <w:rsid w:val="00253EC5"/>
    <w:rsid w:val="00253F62"/>
    <w:rsid w:val="0025403D"/>
    <w:rsid w:val="00254FB5"/>
    <w:rsid w:val="00255519"/>
    <w:rsid w:val="00255E6B"/>
    <w:rsid w:val="00255F13"/>
    <w:rsid w:val="002574CC"/>
    <w:rsid w:val="00260654"/>
    <w:rsid w:val="00262CDD"/>
    <w:rsid w:val="00265903"/>
    <w:rsid w:val="0026717E"/>
    <w:rsid w:val="0026734F"/>
    <w:rsid w:val="00270432"/>
    <w:rsid w:val="00272791"/>
    <w:rsid w:val="002727BA"/>
    <w:rsid w:val="00275A96"/>
    <w:rsid w:val="00280AF5"/>
    <w:rsid w:val="002867B0"/>
    <w:rsid w:val="0028773B"/>
    <w:rsid w:val="002877DF"/>
    <w:rsid w:val="002914A3"/>
    <w:rsid w:val="002918B2"/>
    <w:rsid w:val="00292145"/>
    <w:rsid w:val="00294E51"/>
    <w:rsid w:val="0029792F"/>
    <w:rsid w:val="002A099B"/>
    <w:rsid w:val="002A2262"/>
    <w:rsid w:val="002A4C8E"/>
    <w:rsid w:val="002A505F"/>
    <w:rsid w:val="002A645F"/>
    <w:rsid w:val="002A6DEF"/>
    <w:rsid w:val="002B326C"/>
    <w:rsid w:val="002B488E"/>
    <w:rsid w:val="002B57A3"/>
    <w:rsid w:val="002B6A42"/>
    <w:rsid w:val="002C3D81"/>
    <w:rsid w:val="002C409A"/>
    <w:rsid w:val="002C48FE"/>
    <w:rsid w:val="002C5081"/>
    <w:rsid w:val="002C54A7"/>
    <w:rsid w:val="002C6780"/>
    <w:rsid w:val="002C7156"/>
    <w:rsid w:val="002C7FA4"/>
    <w:rsid w:val="002D19C5"/>
    <w:rsid w:val="002D3013"/>
    <w:rsid w:val="002D3D3A"/>
    <w:rsid w:val="002D4741"/>
    <w:rsid w:val="002D590F"/>
    <w:rsid w:val="002E0A90"/>
    <w:rsid w:val="002E0C81"/>
    <w:rsid w:val="002E25A2"/>
    <w:rsid w:val="002E533F"/>
    <w:rsid w:val="002E5554"/>
    <w:rsid w:val="002E6843"/>
    <w:rsid w:val="002F07EB"/>
    <w:rsid w:val="002F177C"/>
    <w:rsid w:val="002F4C2E"/>
    <w:rsid w:val="002F5291"/>
    <w:rsid w:val="0030112B"/>
    <w:rsid w:val="00302087"/>
    <w:rsid w:val="00302183"/>
    <w:rsid w:val="00302D29"/>
    <w:rsid w:val="0030528E"/>
    <w:rsid w:val="00305318"/>
    <w:rsid w:val="00305F9D"/>
    <w:rsid w:val="00306CFB"/>
    <w:rsid w:val="003072F7"/>
    <w:rsid w:val="003073BB"/>
    <w:rsid w:val="003100CA"/>
    <w:rsid w:val="00310C27"/>
    <w:rsid w:val="0031353D"/>
    <w:rsid w:val="00314208"/>
    <w:rsid w:val="00314873"/>
    <w:rsid w:val="003155E1"/>
    <w:rsid w:val="00315698"/>
    <w:rsid w:val="00316C21"/>
    <w:rsid w:val="00316CCE"/>
    <w:rsid w:val="003175F9"/>
    <w:rsid w:val="00320622"/>
    <w:rsid w:val="0032069E"/>
    <w:rsid w:val="003222BA"/>
    <w:rsid w:val="003233CA"/>
    <w:rsid w:val="00323453"/>
    <w:rsid w:val="0032552E"/>
    <w:rsid w:val="00327582"/>
    <w:rsid w:val="00331A85"/>
    <w:rsid w:val="00340CE9"/>
    <w:rsid w:val="00341249"/>
    <w:rsid w:val="003437C1"/>
    <w:rsid w:val="00344BA9"/>
    <w:rsid w:val="003453AC"/>
    <w:rsid w:val="003505CC"/>
    <w:rsid w:val="00352B39"/>
    <w:rsid w:val="00356101"/>
    <w:rsid w:val="003608C1"/>
    <w:rsid w:val="003609E8"/>
    <w:rsid w:val="00361300"/>
    <w:rsid w:val="00362E25"/>
    <w:rsid w:val="003631F7"/>
    <w:rsid w:val="00363A4B"/>
    <w:rsid w:val="00364039"/>
    <w:rsid w:val="00364181"/>
    <w:rsid w:val="00365D47"/>
    <w:rsid w:val="00365FD3"/>
    <w:rsid w:val="00367AD3"/>
    <w:rsid w:val="00370893"/>
    <w:rsid w:val="003744F8"/>
    <w:rsid w:val="0037541E"/>
    <w:rsid w:val="00376120"/>
    <w:rsid w:val="00376E34"/>
    <w:rsid w:val="00377774"/>
    <w:rsid w:val="0038105D"/>
    <w:rsid w:val="00382266"/>
    <w:rsid w:val="003822F7"/>
    <w:rsid w:val="003829AF"/>
    <w:rsid w:val="00382ADB"/>
    <w:rsid w:val="00383044"/>
    <w:rsid w:val="00390E3B"/>
    <w:rsid w:val="00393E58"/>
    <w:rsid w:val="00397262"/>
    <w:rsid w:val="003A3014"/>
    <w:rsid w:val="003C3AB3"/>
    <w:rsid w:val="003C709D"/>
    <w:rsid w:val="003D1152"/>
    <w:rsid w:val="003D24E2"/>
    <w:rsid w:val="003D5998"/>
    <w:rsid w:val="003D5EB6"/>
    <w:rsid w:val="003D723E"/>
    <w:rsid w:val="003D74F2"/>
    <w:rsid w:val="003D7543"/>
    <w:rsid w:val="003E0E05"/>
    <w:rsid w:val="003E11D8"/>
    <w:rsid w:val="003E1636"/>
    <w:rsid w:val="003E3537"/>
    <w:rsid w:val="003E417A"/>
    <w:rsid w:val="003E7BB1"/>
    <w:rsid w:val="003F151F"/>
    <w:rsid w:val="003F372D"/>
    <w:rsid w:val="003F4FBE"/>
    <w:rsid w:val="003F691D"/>
    <w:rsid w:val="0040123F"/>
    <w:rsid w:val="00403CD1"/>
    <w:rsid w:val="00407467"/>
    <w:rsid w:val="00410194"/>
    <w:rsid w:val="00410D37"/>
    <w:rsid w:val="0041100C"/>
    <w:rsid w:val="004121D1"/>
    <w:rsid w:val="00414E02"/>
    <w:rsid w:val="00416E8A"/>
    <w:rsid w:val="00417E05"/>
    <w:rsid w:val="00423D90"/>
    <w:rsid w:val="00424C7D"/>
    <w:rsid w:val="00426EF9"/>
    <w:rsid w:val="00431095"/>
    <w:rsid w:val="004325CB"/>
    <w:rsid w:val="00432934"/>
    <w:rsid w:val="004344A1"/>
    <w:rsid w:val="0043743A"/>
    <w:rsid w:val="00441512"/>
    <w:rsid w:val="00442DA2"/>
    <w:rsid w:val="00444234"/>
    <w:rsid w:val="00445304"/>
    <w:rsid w:val="00447AA7"/>
    <w:rsid w:val="00452F9F"/>
    <w:rsid w:val="00453275"/>
    <w:rsid w:val="00454A5D"/>
    <w:rsid w:val="004629BE"/>
    <w:rsid w:val="00466256"/>
    <w:rsid w:val="00466BC0"/>
    <w:rsid w:val="00471486"/>
    <w:rsid w:val="0047166D"/>
    <w:rsid w:val="00472A49"/>
    <w:rsid w:val="00472E44"/>
    <w:rsid w:val="0047417B"/>
    <w:rsid w:val="0047507C"/>
    <w:rsid w:val="0047614A"/>
    <w:rsid w:val="004762ED"/>
    <w:rsid w:val="00476B1B"/>
    <w:rsid w:val="004778EF"/>
    <w:rsid w:val="00480367"/>
    <w:rsid w:val="00490F0D"/>
    <w:rsid w:val="004913A0"/>
    <w:rsid w:val="00492B31"/>
    <w:rsid w:val="00495E87"/>
    <w:rsid w:val="004971CC"/>
    <w:rsid w:val="004A0AD1"/>
    <w:rsid w:val="004A0CE8"/>
    <w:rsid w:val="004A0E4C"/>
    <w:rsid w:val="004A1E99"/>
    <w:rsid w:val="004A28C3"/>
    <w:rsid w:val="004A3A2F"/>
    <w:rsid w:val="004A3D50"/>
    <w:rsid w:val="004A690C"/>
    <w:rsid w:val="004A6AF6"/>
    <w:rsid w:val="004B0ABD"/>
    <w:rsid w:val="004B19B6"/>
    <w:rsid w:val="004B279A"/>
    <w:rsid w:val="004B2EFC"/>
    <w:rsid w:val="004B3C19"/>
    <w:rsid w:val="004B7F70"/>
    <w:rsid w:val="004C03FE"/>
    <w:rsid w:val="004C0424"/>
    <w:rsid w:val="004C16E1"/>
    <w:rsid w:val="004C1FCE"/>
    <w:rsid w:val="004C34BC"/>
    <w:rsid w:val="004C562F"/>
    <w:rsid w:val="004C7359"/>
    <w:rsid w:val="004D1288"/>
    <w:rsid w:val="004D36ED"/>
    <w:rsid w:val="004D5541"/>
    <w:rsid w:val="004D68D7"/>
    <w:rsid w:val="004D71D8"/>
    <w:rsid w:val="004E09C1"/>
    <w:rsid w:val="004E2080"/>
    <w:rsid w:val="004E2C62"/>
    <w:rsid w:val="004E457D"/>
    <w:rsid w:val="004E6DCF"/>
    <w:rsid w:val="004E7B89"/>
    <w:rsid w:val="004E7D9B"/>
    <w:rsid w:val="004F1BAA"/>
    <w:rsid w:val="004F619A"/>
    <w:rsid w:val="004F6CEE"/>
    <w:rsid w:val="004F7C73"/>
    <w:rsid w:val="00500EFC"/>
    <w:rsid w:val="00504770"/>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3039"/>
    <w:rsid w:val="00523BCA"/>
    <w:rsid w:val="00524F29"/>
    <w:rsid w:val="00524FFA"/>
    <w:rsid w:val="00525099"/>
    <w:rsid w:val="005271CD"/>
    <w:rsid w:val="005332FC"/>
    <w:rsid w:val="005347EE"/>
    <w:rsid w:val="0053545A"/>
    <w:rsid w:val="00537D52"/>
    <w:rsid w:val="00541C96"/>
    <w:rsid w:val="005428DA"/>
    <w:rsid w:val="005434F4"/>
    <w:rsid w:val="0054509B"/>
    <w:rsid w:val="005453D3"/>
    <w:rsid w:val="00547268"/>
    <w:rsid w:val="0055040E"/>
    <w:rsid w:val="005505FE"/>
    <w:rsid w:val="00550FDF"/>
    <w:rsid w:val="005520E8"/>
    <w:rsid w:val="00552276"/>
    <w:rsid w:val="00555D4F"/>
    <w:rsid w:val="00557215"/>
    <w:rsid w:val="00561386"/>
    <w:rsid w:val="00563276"/>
    <w:rsid w:val="005640C6"/>
    <w:rsid w:val="0056601A"/>
    <w:rsid w:val="00571AA4"/>
    <w:rsid w:val="00572DB4"/>
    <w:rsid w:val="00576101"/>
    <w:rsid w:val="00576478"/>
    <w:rsid w:val="00576713"/>
    <w:rsid w:val="00582F6B"/>
    <w:rsid w:val="005833F8"/>
    <w:rsid w:val="0058403A"/>
    <w:rsid w:val="005854CF"/>
    <w:rsid w:val="00587D14"/>
    <w:rsid w:val="005904D7"/>
    <w:rsid w:val="0059166A"/>
    <w:rsid w:val="005917E9"/>
    <w:rsid w:val="00592C68"/>
    <w:rsid w:val="0059344D"/>
    <w:rsid w:val="00595BFF"/>
    <w:rsid w:val="0059743E"/>
    <w:rsid w:val="005A0428"/>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61D"/>
    <w:rsid w:val="005C32F4"/>
    <w:rsid w:val="005C5C56"/>
    <w:rsid w:val="005C696A"/>
    <w:rsid w:val="005C7E55"/>
    <w:rsid w:val="005D00C7"/>
    <w:rsid w:val="005D0767"/>
    <w:rsid w:val="005D18DE"/>
    <w:rsid w:val="005D235E"/>
    <w:rsid w:val="005D3304"/>
    <w:rsid w:val="005D4F38"/>
    <w:rsid w:val="005D4F5F"/>
    <w:rsid w:val="005D5550"/>
    <w:rsid w:val="005E15EE"/>
    <w:rsid w:val="005E4F3F"/>
    <w:rsid w:val="005E55C9"/>
    <w:rsid w:val="005E78D8"/>
    <w:rsid w:val="005E7BF3"/>
    <w:rsid w:val="005E7DBC"/>
    <w:rsid w:val="005F0949"/>
    <w:rsid w:val="005F155A"/>
    <w:rsid w:val="005F33A5"/>
    <w:rsid w:val="005F4FB9"/>
    <w:rsid w:val="005F5621"/>
    <w:rsid w:val="005F57BE"/>
    <w:rsid w:val="005F62CC"/>
    <w:rsid w:val="005F75F4"/>
    <w:rsid w:val="005F7770"/>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C3"/>
    <w:rsid w:val="0063031A"/>
    <w:rsid w:val="006405C0"/>
    <w:rsid w:val="00646121"/>
    <w:rsid w:val="006506B3"/>
    <w:rsid w:val="00652392"/>
    <w:rsid w:val="006542B7"/>
    <w:rsid w:val="006547E7"/>
    <w:rsid w:val="00654FD6"/>
    <w:rsid w:val="00655373"/>
    <w:rsid w:val="006568BA"/>
    <w:rsid w:val="006568D9"/>
    <w:rsid w:val="00656C1E"/>
    <w:rsid w:val="006649D8"/>
    <w:rsid w:val="0067292D"/>
    <w:rsid w:val="006737B2"/>
    <w:rsid w:val="00675752"/>
    <w:rsid w:val="00675E68"/>
    <w:rsid w:val="0067680D"/>
    <w:rsid w:val="00681001"/>
    <w:rsid w:val="0068103E"/>
    <w:rsid w:val="00681310"/>
    <w:rsid w:val="006873C4"/>
    <w:rsid w:val="00687B23"/>
    <w:rsid w:val="006905B5"/>
    <w:rsid w:val="00693CCB"/>
    <w:rsid w:val="006A244D"/>
    <w:rsid w:val="006A3ACC"/>
    <w:rsid w:val="006A43F3"/>
    <w:rsid w:val="006B1B91"/>
    <w:rsid w:val="006B2B10"/>
    <w:rsid w:val="006B3218"/>
    <w:rsid w:val="006B3891"/>
    <w:rsid w:val="006B5817"/>
    <w:rsid w:val="006C264E"/>
    <w:rsid w:val="006C26B6"/>
    <w:rsid w:val="006C38FE"/>
    <w:rsid w:val="006C6A98"/>
    <w:rsid w:val="006C6F12"/>
    <w:rsid w:val="006C7A51"/>
    <w:rsid w:val="006D342C"/>
    <w:rsid w:val="006D4338"/>
    <w:rsid w:val="006D7956"/>
    <w:rsid w:val="006E32CB"/>
    <w:rsid w:val="006E52E3"/>
    <w:rsid w:val="006E5675"/>
    <w:rsid w:val="006E5F58"/>
    <w:rsid w:val="006E77E5"/>
    <w:rsid w:val="006F3748"/>
    <w:rsid w:val="006F44C1"/>
    <w:rsid w:val="006F5DD5"/>
    <w:rsid w:val="006F7C91"/>
    <w:rsid w:val="007006EE"/>
    <w:rsid w:val="00701029"/>
    <w:rsid w:val="00701117"/>
    <w:rsid w:val="0070314F"/>
    <w:rsid w:val="00705C8A"/>
    <w:rsid w:val="00706FF4"/>
    <w:rsid w:val="00707B0C"/>
    <w:rsid w:val="00707C35"/>
    <w:rsid w:val="00712261"/>
    <w:rsid w:val="00713B04"/>
    <w:rsid w:val="00716145"/>
    <w:rsid w:val="00716434"/>
    <w:rsid w:val="00723B70"/>
    <w:rsid w:val="00726321"/>
    <w:rsid w:val="00736B23"/>
    <w:rsid w:val="007371C8"/>
    <w:rsid w:val="00745056"/>
    <w:rsid w:val="00747295"/>
    <w:rsid w:val="0075124E"/>
    <w:rsid w:val="007515C0"/>
    <w:rsid w:val="007524B6"/>
    <w:rsid w:val="007524E9"/>
    <w:rsid w:val="00753C8A"/>
    <w:rsid w:val="00754005"/>
    <w:rsid w:val="007575A3"/>
    <w:rsid w:val="00757716"/>
    <w:rsid w:val="00760990"/>
    <w:rsid w:val="00764256"/>
    <w:rsid w:val="00764603"/>
    <w:rsid w:val="00765C07"/>
    <w:rsid w:val="00765D52"/>
    <w:rsid w:val="00766AAA"/>
    <w:rsid w:val="00772363"/>
    <w:rsid w:val="00772550"/>
    <w:rsid w:val="007735ED"/>
    <w:rsid w:val="007759EF"/>
    <w:rsid w:val="00776CC4"/>
    <w:rsid w:val="00777606"/>
    <w:rsid w:val="00781443"/>
    <w:rsid w:val="00781533"/>
    <w:rsid w:val="007848D7"/>
    <w:rsid w:val="00785343"/>
    <w:rsid w:val="0078783D"/>
    <w:rsid w:val="007952CD"/>
    <w:rsid w:val="007A2D5E"/>
    <w:rsid w:val="007A5C50"/>
    <w:rsid w:val="007A5E3A"/>
    <w:rsid w:val="007A6DF6"/>
    <w:rsid w:val="007A72F4"/>
    <w:rsid w:val="007B03C1"/>
    <w:rsid w:val="007B224D"/>
    <w:rsid w:val="007B22D2"/>
    <w:rsid w:val="007B270E"/>
    <w:rsid w:val="007B38F4"/>
    <w:rsid w:val="007B49C7"/>
    <w:rsid w:val="007B6E15"/>
    <w:rsid w:val="007C224E"/>
    <w:rsid w:val="007C3C76"/>
    <w:rsid w:val="007C3CAC"/>
    <w:rsid w:val="007C7E18"/>
    <w:rsid w:val="007D3622"/>
    <w:rsid w:val="007E0E62"/>
    <w:rsid w:val="007E2B03"/>
    <w:rsid w:val="007E3CDB"/>
    <w:rsid w:val="007E6065"/>
    <w:rsid w:val="007F04F8"/>
    <w:rsid w:val="007F0A7E"/>
    <w:rsid w:val="007F3F10"/>
    <w:rsid w:val="007F6985"/>
    <w:rsid w:val="00800D15"/>
    <w:rsid w:val="0080245A"/>
    <w:rsid w:val="00805628"/>
    <w:rsid w:val="0080566D"/>
    <w:rsid w:val="008149D4"/>
    <w:rsid w:val="00814FC2"/>
    <w:rsid w:val="00816AF9"/>
    <w:rsid w:val="008171B5"/>
    <w:rsid w:val="00821A4F"/>
    <w:rsid w:val="0082262E"/>
    <w:rsid w:val="00826788"/>
    <w:rsid w:val="00826DF6"/>
    <w:rsid w:val="00832204"/>
    <w:rsid w:val="00832713"/>
    <w:rsid w:val="00832F01"/>
    <w:rsid w:val="00836C0B"/>
    <w:rsid w:val="008378AD"/>
    <w:rsid w:val="00840A30"/>
    <w:rsid w:val="00840B07"/>
    <w:rsid w:val="0084132E"/>
    <w:rsid w:val="00842FD1"/>
    <w:rsid w:val="00843829"/>
    <w:rsid w:val="00844499"/>
    <w:rsid w:val="00844E18"/>
    <w:rsid w:val="008464D4"/>
    <w:rsid w:val="008503F9"/>
    <w:rsid w:val="00851D0B"/>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3A29"/>
    <w:rsid w:val="00875347"/>
    <w:rsid w:val="0088371B"/>
    <w:rsid w:val="00884B15"/>
    <w:rsid w:val="008916D1"/>
    <w:rsid w:val="0089497F"/>
    <w:rsid w:val="008A0931"/>
    <w:rsid w:val="008A1662"/>
    <w:rsid w:val="008A3082"/>
    <w:rsid w:val="008A3B6D"/>
    <w:rsid w:val="008A4CF3"/>
    <w:rsid w:val="008A6A0D"/>
    <w:rsid w:val="008B3287"/>
    <w:rsid w:val="008B3ACB"/>
    <w:rsid w:val="008B5059"/>
    <w:rsid w:val="008B7246"/>
    <w:rsid w:val="008C2B17"/>
    <w:rsid w:val="008C4878"/>
    <w:rsid w:val="008C6603"/>
    <w:rsid w:val="008C6DF1"/>
    <w:rsid w:val="008D02D3"/>
    <w:rsid w:val="008D1344"/>
    <w:rsid w:val="008D211C"/>
    <w:rsid w:val="008D24C0"/>
    <w:rsid w:val="008D4EC0"/>
    <w:rsid w:val="008D7AC4"/>
    <w:rsid w:val="008E14D4"/>
    <w:rsid w:val="008E1FE0"/>
    <w:rsid w:val="008E3041"/>
    <w:rsid w:val="008E3C09"/>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3775"/>
    <w:rsid w:val="00923905"/>
    <w:rsid w:val="009341A5"/>
    <w:rsid w:val="00936D50"/>
    <w:rsid w:val="009417EF"/>
    <w:rsid w:val="009448B3"/>
    <w:rsid w:val="00945375"/>
    <w:rsid w:val="009453BF"/>
    <w:rsid w:val="00946A82"/>
    <w:rsid w:val="00946B46"/>
    <w:rsid w:val="00950541"/>
    <w:rsid w:val="00952BF4"/>
    <w:rsid w:val="00952CC2"/>
    <w:rsid w:val="00953226"/>
    <w:rsid w:val="00954EC7"/>
    <w:rsid w:val="009551E2"/>
    <w:rsid w:val="00956684"/>
    <w:rsid w:val="0095673E"/>
    <w:rsid w:val="00960114"/>
    <w:rsid w:val="009606EB"/>
    <w:rsid w:val="00963D4C"/>
    <w:rsid w:val="00964698"/>
    <w:rsid w:val="00965FF2"/>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5762"/>
    <w:rsid w:val="00995AF9"/>
    <w:rsid w:val="00995E2E"/>
    <w:rsid w:val="009A1266"/>
    <w:rsid w:val="009A188D"/>
    <w:rsid w:val="009A668A"/>
    <w:rsid w:val="009A6948"/>
    <w:rsid w:val="009A6F65"/>
    <w:rsid w:val="009B0CE9"/>
    <w:rsid w:val="009B2139"/>
    <w:rsid w:val="009B51D6"/>
    <w:rsid w:val="009B52E6"/>
    <w:rsid w:val="009C0D2D"/>
    <w:rsid w:val="009C2378"/>
    <w:rsid w:val="009C6A6E"/>
    <w:rsid w:val="009D2CC7"/>
    <w:rsid w:val="009D45A1"/>
    <w:rsid w:val="009D7E06"/>
    <w:rsid w:val="009E0D0C"/>
    <w:rsid w:val="009E46DF"/>
    <w:rsid w:val="009E492D"/>
    <w:rsid w:val="009E57B5"/>
    <w:rsid w:val="009E6792"/>
    <w:rsid w:val="009F0B98"/>
    <w:rsid w:val="009F682E"/>
    <w:rsid w:val="00A0029F"/>
    <w:rsid w:val="00A00C3E"/>
    <w:rsid w:val="00A010C0"/>
    <w:rsid w:val="00A02BB9"/>
    <w:rsid w:val="00A05377"/>
    <w:rsid w:val="00A05447"/>
    <w:rsid w:val="00A11C5A"/>
    <w:rsid w:val="00A136F7"/>
    <w:rsid w:val="00A1570A"/>
    <w:rsid w:val="00A157A3"/>
    <w:rsid w:val="00A15FB9"/>
    <w:rsid w:val="00A162CD"/>
    <w:rsid w:val="00A167BB"/>
    <w:rsid w:val="00A17157"/>
    <w:rsid w:val="00A175BE"/>
    <w:rsid w:val="00A21C20"/>
    <w:rsid w:val="00A2202E"/>
    <w:rsid w:val="00A2347B"/>
    <w:rsid w:val="00A243DD"/>
    <w:rsid w:val="00A258E7"/>
    <w:rsid w:val="00A25AF8"/>
    <w:rsid w:val="00A276C1"/>
    <w:rsid w:val="00A31D51"/>
    <w:rsid w:val="00A33C31"/>
    <w:rsid w:val="00A359EB"/>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0840"/>
    <w:rsid w:val="00A90C79"/>
    <w:rsid w:val="00A932C2"/>
    <w:rsid w:val="00AA1D3A"/>
    <w:rsid w:val="00AA4183"/>
    <w:rsid w:val="00AA5FA2"/>
    <w:rsid w:val="00AA69C4"/>
    <w:rsid w:val="00AB0471"/>
    <w:rsid w:val="00AB1A0E"/>
    <w:rsid w:val="00AB3A68"/>
    <w:rsid w:val="00AB4FFF"/>
    <w:rsid w:val="00AB5374"/>
    <w:rsid w:val="00AB5720"/>
    <w:rsid w:val="00AC07AB"/>
    <w:rsid w:val="00AC0CC6"/>
    <w:rsid w:val="00AC52FD"/>
    <w:rsid w:val="00AC5EB7"/>
    <w:rsid w:val="00AC7D8B"/>
    <w:rsid w:val="00AD18A8"/>
    <w:rsid w:val="00AD21D9"/>
    <w:rsid w:val="00AD288B"/>
    <w:rsid w:val="00AD4F1B"/>
    <w:rsid w:val="00AD518E"/>
    <w:rsid w:val="00AD5C23"/>
    <w:rsid w:val="00AD60E3"/>
    <w:rsid w:val="00AE0C56"/>
    <w:rsid w:val="00AE203B"/>
    <w:rsid w:val="00AE2EAE"/>
    <w:rsid w:val="00AE6B40"/>
    <w:rsid w:val="00AE6C3C"/>
    <w:rsid w:val="00AE74CE"/>
    <w:rsid w:val="00AF0634"/>
    <w:rsid w:val="00AF104F"/>
    <w:rsid w:val="00AF16BD"/>
    <w:rsid w:val="00AF32DE"/>
    <w:rsid w:val="00AF51F5"/>
    <w:rsid w:val="00AF6898"/>
    <w:rsid w:val="00AF7904"/>
    <w:rsid w:val="00B01A77"/>
    <w:rsid w:val="00B01CE7"/>
    <w:rsid w:val="00B0247A"/>
    <w:rsid w:val="00B0303B"/>
    <w:rsid w:val="00B04EA3"/>
    <w:rsid w:val="00B0518B"/>
    <w:rsid w:val="00B10F5E"/>
    <w:rsid w:val="00B13B6C"/>
    <w:rsid w:val="00B16829"/>
    <w:rsid w:val="00B16A66"/>
    <w:rsid w:val="00B16D2D"/>
    <w:rsid w:val="00B21AE2"/>
    <w:rsid w:val="00B2600D"/>
    <w:rsid w:val="00B26075"/>
    <w:rsid w:val="00B326AD"/>
    <w:rsid w:val="00B35D02"/>
    <w:rsid w:val="00B3744D"/>
    <w:rsid w:val="00B376AC"/>
    <w:rsid w:val="00B40BBD"/>
    <w:rsid w:val="00B4143A"/>
    <w:rsid w:val="00B4674B"/>
    <w:rsid w:val="00B51322"/>
    <w:rsid w:val="00B544CE"/>
    <w:rsid w:val="00B57F0F"/>
    <w:rsid w:val="00B678C2"/>
    <w:rsid w:val="00B7039D"/>
    <w:rsid w:val="00B71534"/>
    <w:rsid w:val="00B72A3B"/>
    <w:rsid w:val="00B73798"/>
    <w:rsid w:val="00B7406F"/>
    <w:rsid w:val="00B755BF"/>
    <w:rsid w:val="00B7662C"/>
    <w:rsid w:val="00B76E4F"/>
    <w:rsid w:val="00B77842"/>
    <w:rsid w:val="00B84B4E"/>
    <w:rsid w:val="00B87D9E"/>
    <w:rsid w:val="00B940F3"/>
    <w:rsid w:val="00B956FA"/>
    <w:rsid w:val="00B95739"/>
    <w:rsid w:val="00B96A24"/>
    <w:rsid w:val="00B97A74"/>
    <w:rsid w:val="00BA1ABD"/>
    <w:rsid w:val="00BA2AD8"/>
    <w:rsid w:val="00BA2F64"/>
    <w:rsid w:val="00BA4318"/>
    <w:rsid w:val="00BA5E0F"/>
    <w:rsid w:val="00BB1C9F"/>
    <w:rsid w:val="00BB1F2A"/>
    <w:rsid w:val="00BB2DE8"/>
    <w:rsid w:val="00BB4665"/>
    <w:rsid w:val="00BB4A6A"/>
    <w:rsid w:val="00BB52FC"/>
    <w:rsid w:val="00BB5459"/>
    <w:rsid w:val="00BC3FFB"/>
    <w:rsid w:val="00BC546E"/>
    <w:rsid w:val="00BC62C4"/>
    <w:rsid w:val="00BC6A96"/>
    <w:rsid w:val="00BD2700"/>
    <w:rsid w:val="00BD4122"/>
    <w:rsid w:val="00BD4C77"/>
    <w:rsid w:val="00BD619F"/>
    <w:rsid w:val="00BD700B"/>
    <w:rsid w:val="00BE2FED"/>
    <w:rsid w:val="00BE47A0"/>
    <w:rsid w:val="00BE7211"/>
    <w:rsid w:val="00BF29D4"/>
    <w:rsid w:val="00BF46F2"/>
    <w:rsid w:val="00BF4C4C"/>
    <w:rsid w:val="00BF5C8E"/>
    <w:rsid w:val="00BF746D"/>
    <w:rsid w:val="00C0153F"/>
    <w:rsid w:val="00C01E11"/>
    <w:rsid w:val="00C02416"/>
    <w:rsid w:val="00C04084"/>
    <w:rsid w:val="00C04841"/>
    <w:rsid w:val="00C06655"/>
    <w:rsid w:val="00C074FC"/>
    <w:rsid w:val="00C07529"/>
    <w:rsid w:val="00C07C75"/>
    <w:rsid w:val="00C103DB"/>
    <w:rsid w:val="00C103E4"/>
    <w:rsid w:val="00C118AB"/>
    <w:rsid w:val="00C118B4"/>
    <w:rsid w:val="00C12BEE"/>
    <w:rsid w:val="00C14D81"/>
    <w:rsid w:val="00C24A85"/>
    <w:rsid w:val="00C26DCC"/>
    <w:rsid w:val="00C3059C"/>
    <w:rsid w:val="00C308A1"/>
    <w:rsid w:val="00C32B29"/>
    <w:rsid w:val="00C35937"/>
    <w:rsid w:val="00C35EE8"/>
    <w:rsid w:val="00C36826"/>
    <w:rsid w:val="00C369D9"/>
    <w:rsid w:val="00C4000B"/>
    <w:rsid w:val="00C42176"/>
    <w:rsid w:val="00C468DA"/>
    <w:rsid w:val="00C50669"/>
    <w:rsid w:val="00C513CE"/>
    <w:rsid w:val="00C53089"/>
    <w:rsid w:val="00C54488"/>
    <w:rsid w:val="00C56F7A"/>
    <w:rsid w:val="00C61A92"/>
    <w:rsid w:val="00C62210"/>
    <w:rsid w:val="00C629B5"/>
    <w:rsid w:val="00C62D1F"/>
    <w:rsid w:val="00C64766"/>
    <w:rsid w:val="00C65800"/>
    <w:rsid w:val="00C6624F"/>
    <w:rsid w:val="00C66926"/>
    <w:rsid w:val="00C707F5"/>
    <w:rsid w:val="00C722E7"/>
    <w:rsid w:val="00C722F9"/>
    <w:rsid w:val="00C73CC1"/>
    <w:rsid w:val="00C741C6"/>
    <w:rsid w:val="00C74553"/>
    <w:rsid w:val="00C74A55"/>
    <w:rsid w:val="00C84A3F"/>
    <w:rsid w:val="00C85435"/>
    <w:rsid w:val="00C86019"/>
    <w:rsid w:val="00C95828"/>
    <w:rsid w:val="00C9785D"/>
    <w:rsid w:val="00CA3AD6"/>
    <w:rsid w:val="00CA5AF8"/>
    <w:rsid w:val="00CB3BE6"/>
    <w:rsid w:val="00CB680B"/>
    <w:rsid w:val="00CB7E2D"/>
    <w:rsid w:val="00CC07CB"/>
    <w:rsid w:val="00CC0CED"/>
    <w:rsid w:val="00CC2962"/>
    <w:rsid w:val="00CC30BF"/>
    <w:rsid w:val="00CC4D0D"/>
    <w:rsid w:val="00CC5233"/>
    <w:rsid w:val="00CC5656"/>
    <w:rsid w:val="00CD041D"/>
    <w:rsid w:val="00CD1795"/>
    <w:rsid w:val="00CD18C2"/>
    <w:rsid w:val="00CD2557"/>
    <w:rsid w:val="00CD29CD"/>
    <w:rsid w:val="00CD2CB9"/>
    <w:rsid w:val="00CD4F9C"/>
    <w:rsid w:val="00CD69EF"/>
    <w:rsid w:val="00CE123B"/>
    <w:rsid w:val="00CE3837"/>
    <w:rsid w:val="00CE4874"/>
    <w:rsid w:val="00CE5373"/>
    <w:rsid w:val="00CE5F90"/>
    <w:rsid w:val="00CE6D20"/>
    <w:rsid w:val="00CF129E"/>
    <w:rsid w:val="00CF173E"/>
    <w:rsid w:val="00CF2A50"/>
    <w:rsid w:val="00CF3A04"/>
    <w:rsid w:val="00CF3E07"/>
    <w:rsid w:val="00CF57EC"/>
    <w:rsid w:val="00CF6003"/>
    <w:rsid w:val="00CF685C"/>
    <w:rsid w:val="00CF738C"/>
    <w:rsid w:val="00CF7907"/>
    <w:rsid w:val="00D0047C"/>
    <w:rsid w:val="00D03965"/>
    <w:rsid w:val="00D05999"/>
    <w:rsid w:val="00D05EFB"/>
    <w:rsid w:val="00D06042"/>
    <w:rsid w:val="00D06D84"/>
    <w:rsid w:val="00D10BF5"/>
    <w:rsid w:val="00D126D0"/>
    <w:rsid w:val="00D16BA4"/>
    <w:rsid w:val="00D1719F"/>
    <w:rsid w:val="00D17864"/>
    <w:rsid w:val="00D202CE"/>
    <w:rsid w:val="00D203A9"/>
    <w:rsid w:val="00D220DB"/>
    <w:rsid w:val="00D2231C"/>
    <w:rsid w:val="00D2257B"/>
    <w:rsid w:val="00D234AB"/>
    <w:rsid w:val="00D24F91"/>
    <w:rsid w:val="00D301FB"/>
    <w:rsid w:val="00D32350"/>
    <w:rsid w:val="00D32CF8"/>
    <w:rsid w:val="00D33729"/>
    <w:rsid w:val="00D33EAA"/>
    <w:rsid w:val="00D34C61"/>
    <w:rsid w:val="00D4127F"/>
    <w:rsid w:val="00D4615D"/>
    <w:rsid w:val="00D5434B"/>
    <w:rsid w:val="00D54DB2"/>
    <w:rsid w:val="00D551DF"/>
    <w:rsid w:val="00D5628F"/>
    <w:rsid w:val="00D5727E"/>
    <w:rsid w:val="00D61324"/>
    <w:rsid w:val="00D619D2"/>
    <w:rsid w:val="00D64194"/>
    <w:rsid w:val="00D65EC6"/>
    <w:rsid w:val="00D6636E"/>
    <w:rsid w:val="00D66683"/>
    <w:rsid w:val="00D70B8B"/>
    <w:rsid w:val="00D70ED2"/>
    <w:rsid w:val="00D73857"/>
    <w:rsid w:val="00D74C8B"/>
    <w:rsid w:val="00D75539"/>
    <w:rsid w:val="00D76C7F"/>
    <w:rsid w:val="00D81755"/>
    <w:rsid w:val="00D822A9"/>
    <w:rsid w:val="00D825B5"/>
    <w:rsid w:val="00D8749B"/>
    <w:rsid w:val="00D93D3D"/>
    <w:rsid w:val="00D945AC"/>
    <w:rsid w:val="00D94B3E"/>
    <w:rsid w:val="00D97E3B"/>
    <w:rsid w:val="00DA0839"/>
    <w:rsid w:val="00DA1EEA"/>
    <w:rsid w:val="00DA2AA9"/>
    <w:rsid w:val="00DA315D"/>
    <w:rsid w:val="00DA4F02"/>
    <w:rsid w:val="00DA4F68"/>
    <w:rsid w:val="00DA5CBF"/>
    <w:rsid w:val="00DA6BA6"/>
    <w:rsid w:val="00DB1172"/>
    <w:rsid w:val="00DB4DCB"/>
    <w:rsid w:val="00DB53BA"/>
    <w:rsid w:val="00DB73EA"/>
    <w:rsid w:val="00DC1DAD"/>
    <w:rsid w:val="00DC2B00"/>
    <w:rsid w:val="00DC55AB"/>
    <w:rsid w:val="00DC561A"/>
    <w:rsid w:val="00DC6291"/>
    <w:rsid w:val="00DC7B8F"/>
    <w:rsid w:val="00DD040F"/>
    <w:rsid w:val="00DD07AD"/>
    <w:rsid w:val="00DD4A00"/>
    <w:rsid w:val="00DD54E8"/>
    <w:rsid w:val="00DD653E"/>
    <w:rsid w:val="00DE167B"/>
    <w:rsid w:val="00DE18EC"/>
    <w:rsid w:val="00DE3F9F"/>
    <w:rsid w:val="00DE43A1"/>
    <w:rsid w:val="00DE59D7"/>
    <w:rsid w:val="00DE6636"/>
    <w:rsid w:val="00DF0BEE"/>
    <w:rsid w:val="00DF17E1"/>
    <w:rsid w:val="00DF19D6"/>
    <w:rsid w:val="00DF6E46"/>
    <w:rsid w:val="00DF6F0B"/>
    <w:rsid w:val="00DF7740"/>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F5C"/>
    <w:rsid w:val="00E269A5"/>
    <w:rsid w:val="00E26C29"/>
    <w:rsid w:val="00E2742E"/>
    <w:rsid w:val="00E27C73"/>
    <w:rsid w:val="00E32F38"/>
    <w:rsid w:val="00E33EFC"/>
    <w:rsid w:val="00E35CA2"/>
    <w:rsid w:val="00E363EF"/>
    <w:rsid w:val="00E36B59"/>
    <w:rsid w:val="00E37749"/>
    <w:rsid w:val="00E43EF0"/>
    <w:rsid w:val="00E44B36"/>
    <w:rsid w:val="00E4563A"/>
    <w:rsid w:val="00E504B7"/>
    <w:rsid w:val="00E51216"/>
    <w:rsid w:val="00E51DB4"/>
    <w:rsid w:val="00E52F21"/>
    <w:rsid w:val="00E54F77"/>
    <w:rsid w:val="00E57533"/>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01A0"/>
    <w:rsid w:val="00E91F0E"/>
    <w:rsid w:val="00E936F6"/>
    <w:rsid w:val="00E94CE1"/>
    <w:rsid w:val="00E96DAE"/>
    <w:rsid w:val="00EA0E72"/>
    <w:rsid w:val="00EA6563"/>
    <w:rsid w:val="00EA6AF8"/>
    <w:rsid w:val="00EA7506"/>
    <w:rsid w:val="00EB09D6"/>
    <w:rsid w:val="00EB2255"/>
    <w:rsid w:val="00EB2E36"/>
    <w:rsid w:val="00EB3FE2"/>
    <w:rsid w:val="00EB4250"/>
    <w:rsid w:val="00EB66DD"/>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E009D"/>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03F1A"/>
    <w:rsid w:val="00F101F8"/>
    <w:rsid w:val="00F118D1"/>
    <w:rsid w:val="00F138B9"/>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5034E"/>
    <w:rsid w:val="00F51C4E"/>
    <w:rsid w:val="00F5205A"/>
    <w:rsid w:val="00F526FC"/>
    <w:rsid w:val="00F52748"/>
    <w:rsid w:val="00F5505B"/>
    <w:rsid w:val="00F56B40"/>
    <w:rsid w:val="00F60B6E"/>
    <w:rsid w:val="00F616FA"/>
    <w:rsid w:val="00F622CE"/>
    <w:rsid w:val="00F631B6"/>
    <w:rsid w:val="00F6467F"/>
    <w:rsid w:val="00F65C04"/>
    <w:rsid w:val="00F70EDC"/>
    <w:rsid w:val="00F729AD"/>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C0424"/>
    <w:rsid w:val="00FC061B"/>
    <w:rsid w:val="00FC128D"/>
    <w:rsid w:val="00FC1F89"/>
    <w:rsid w:val="00FC2830"/>
    <w:rsid w:val="00FC3F23"/>
    <w:rsid w:val="00FC42E6"/>
    <w:rsid w:val="00FC48DC"/>
    <w:rsid w:val="00FC6FEE"/>
    <w:rsid w:val="00FC78C6"/>
    <w:rsid w:val="00FC7DFE"/>
    <w:rsid w:val="00FD20FF"/>
    <w:rsid w:val="00FD4ACB"/>
    <w:rsid w:val="00FD516A"/>
    <w:rsid w:val="00FD7124"/>
    <w:rsid w:val="00FE1113"/>
    <w:rsid w:val="00FE2BC1"/>
    <w:rsid w:val="00FE462B"/>
    <w:rsid w:val="00FE4638"/>
    <w:rsid w:val="00FE558B"/>
    <w:rsid w:val="00FE5D21"/>
    <w:rsid w:val="00FE5DAB"/>
    <w:rsid w:val="00FF1094"/>
    <w:rsid w:val="00FF1627"/>
    <w:rsid w:val="00FF1E47"/>
    <w:rsid w:val="00FF26A7"/>
    <w:rsid w:val="00FF272C"/>
    <w:rsid w:val="00FF3489"/>
    <w:rsid w:val="00FF3B17"/>
    <w:rsid w:val="00FF489E"/>
    <w:rsid w:val="00FF6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745056"/>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Numbering">
    <w:name w:val="ParaNumbering"/>
    <w:basedOn w:val="Normal"/>
    <w:rsid w:val="00F03F1A"/>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rsid w:val="007F04F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link w:val="CommentTextChar"/>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5"/>
      </w:numPr>
    </w:pPr>
  </w:style>
  <w:style w:type="numbering" w:styleId="1ai">
    <w:name w:val="Outline List 1"/>
    <w:basedOn w:val="NoList"/>
    <w:semiHidden/>
    <w:rsid w:val="0047417B"/>
    <w:pPr>
      <w:numPr>
        <w:numId w:val="16"/>
      </w:numPr>
    </w:pPr>
  </w:style>
  <w:style w:type="numbering" w:styleId="ArticleSection">
    <w:name w:val="Outline List 3"/>
    <w:basedOn w:val="NoList"/>
    <w:semiHidden/>
    <w:rsid w:val="0047417B"/>
    <w:pPr>
      <w:numPr>
        <w:numId w:val="17"/>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uiPriority w:val="99"/>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uiPriority w:val="99"/>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417B"/>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18"/>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18"/>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18"/>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18"/>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18"/>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paragraph" w:styleId="FootnoteText">
    <w:name w:val="footnote text"/>
    <w:basedOn w:val="Normal"/>
    <w:link w:val="FootnoteTextChar"/>
    <w:rsid w:val="00393E58"/>
    <w:pPr>
      <w:spacing w:line="240" w:lineRule="auto"/>
      <w:jc w:val="left"/>
    </w:pPr>
    <w:rPr>
      <w:rFonts w:ascii="Arial" w:eastAsia="Times New Roman" w:hAnsi="Arial"/>
      <w:sz w:val="20"/>
    </w:rPr>
  </w:style>
  <w:style w:type="character" w:customStyle="1" w:styleId="FootnoteTextChar">
    <w:name w:val="Footnote Text Char"/>
    <w:basedOn w:val="DefaultParagraphFont"/>
    <w:link w:val="FootnoteText"/>
    <w:rsid w:val="00393E58"/>
    <w:rPr>
      <w:rFonts w:ascii="Arial" w:eastAsia="Times New Roman" w:hAnsi="Arial"/>
      <w:lang w:eastAsia="en-US"/>
    </w:rPr>
  </w:style>
  <w:style w:type="character" w:styleId="FootnoteReference">
    <w:name w:val="footnote reference"/>
    <w:rsid w:val="00393E58"/>
    <w:rPr>
      <w:vertAlign w:val="superscript"/>
    </w:rPr>
  </w:style>
  <w:style w:type="character" w:customStyle="1" w:styleId="CommentTextChar">
    <w:name w:val="Comment Text Char"/>
    <w:link w:val="CommentText"/>
    <w:semiHidden/>
    <w:rsid w:val="00393E58"/>
    <w:rPr>
      <w:lang w:eastAsia="en-US"/>
    </w:rPr>
  </w:style>
  <w:style w:type="paragraph" w:customStyle="1" w:styleId="Default">
    <w:name w:val="Default"/>
    <w:rsid w:val="00393E58"/>
    <w:pPr>
      <w:autoSpaceDE w:val="0"/>
      <w:autoSpaceDN w:val="0"/>
      <w:adjustRightInd w:val="0"/>
    </w:pPr>
    <w:rPr>
      <w:rFonts w:ascii="Garamond" w:eastAsia="Times New Roman" w:hAnsi="Garamond" w:cs="Garamond"/>
      <w:color w:val="000000"/>
      <w:sz w:val="24"/>
      <w:szCs w:val="24"/>
    </w:rPr>
  </w:style>
  <w:style w:type="paragraph" w:styleId="ListParagraph">
    <w:name w:val="List Paragraph"/>
    <w:basedOn w:val="Normal"/>
    <w:uiPriority w:val="34"/>
    <w:qFormat/>
    <w:rsid w:val="00393E58"/>
    <w:pPr>
      <w:spacing w:line="240" w:lineRule="auto"/>
      <w:ind w:left="720"/>
      <w:jc w:val="left"/>
    </w:pPr>
    <w:rPr>
      <w:rFonts w:ascii="Arial" w:eastAsia="Times New Roman" w:hAnsi="Arial"/>
      <w:sz w:val="20"/>
      <w:szCs w:val="24"/>
      <w:lang w:eastAsia="en-AU"/>
    </w:rPr>
  </w:style>
  <w:style w:type="paragraph" w:customStyle="1" w:styleId="xl63">
    <w:name w:val="xl63"/>
    <w:basedOn w:val="Normal"/>
    <w:rsid w:val="00393E58"/>
    <w:pPr>
      <w:spacing w:before="100" w:beforeAutospacing="1" w:after="100" w:afterAutospacing="1" w:line="240" w:lineRule="auto"/>
      <w:jc w:val="left"/>
      <w:textAlignment w:val="center"/>
    </w:pPr>
    <w:rPr>
      <w:rFonts w:eastAsia="Times New Roman"/>
      <w:b/>
      <w:bCs/>
      <w:szCs w:val="24"/>
      <w:lang w:eastAsia="en-AU"/>
    </w:rPr>
  </w:style>
  <w:style w:type="paragraph" w:customStyle="1" w:styleId="xl64">
    <w:name w:val="xl64"/>
    <w:basedOn w:val="Normal"/>
    <w:rsid w:val="00393E58"/>
    <w:pPr>
      <w:spacing w:before="100" w:beforeAutospacing="1" w:after="100" w:afterAutospacing="1" w:line="240" w:lineRule="auto"/>
      <w:jc w:val="left"/>
      <w:textAlignment w:val="center"/>
    </w:pPr>
    <w:rPr>
      <w:rFonts w:eastAsia="Times New Roman"/>
      <w:szCs w:val="24"/>
      <w:lang w:eastAsia="en-AU"/>
    </w:rPr>
  </w:style>
  <w:style w:type="paragraph" w:customStyle="1" w:styleId="xl65">
    <w:name w:val="xl65"/>
    <w:basedOn w:val="Normal"/>
    <w:rsid w:val="00393E58"/>
    <w:pPr>
      <w:spacing w:before="100" w:beforeAutospacing="1" w:after="100" w:afterAutospacing="1" w:line="240" w:lineRule="auto"/>
      <w:jc w:val="left"/>
      <w:textAlignment w:val="center"/>
    </w:pPr>
    <w:rPr>
      <w:rFonts w:eastAsia="Times New Roman"/>
      <w:szCs w:val="24"/>
      <w:lang w:eastAsia="en-AU"/>
    </w:rPr>
  </w:style>
  <w:style w:type="paragraph" w:customStyle="1" w:styleId="xl66">
    <w:name w:val="xl66"/>
    <w:basedOn w:val="Normal"/>
    <w:rsid w:val="00393E58"/>
    <w:pPr>
      <w:spacing w:before="100" w:beforeAutospacing="1" w:after="100" w:afterAutospacing="1" w:line="240" w:lineRule="auto"/>
      <w:jc w:val="left"/>
      <w:textAlignment w:val="center"/>
    </w:pPr>
    <w:rPr>
      <w:rFonts w:eastAsia="Times New Roman"/>
      <w:szCs w:val="24"/>
      <w:lang w:eastAsia="en-AU"/>
    </w:rPr>
  </w:style>
  <w:style w:type="paragraph" w:customStyle="1" w:styleId="xl67">
    <w:name w:val="xl67"/>
    <w:basedOn w:val="Normal"/>
    <w:rsid w:val="00393E58"/>
    <w:pPr>
      <w:spacing w:before="100" w:beforeAutospacing="1" w:after="100" w:afterAutospacing="1" w:line="240" w:lineRule="auto"/>
      <w:jc w:val="left"/>
      <w:textAlignment w:val="center"/>
    </w:pPr>
    <w:rPr>
      <w:rFonts w:eastAsia="Times New Roman"/>
      <w:szCs w:val="24"/>
      <w:lang w:eastAsia="en-AU"/>
    </w:rPr>
  </w:style>
  <w:style w:type="paragraph" w:customStyle="1" w:styleId="xl68">
    <w:name w:val="xl68"/>
    <w:basedOn w:val="Normal"/>
    <w:rsid w:val="00393E58"/>
    <w:pPr>
      <w:spacing w:before="100" w:beforeAutospacing="1" w:after="100" w:afterAutospacing="1" w:line="240" w:lineRule="auto"/>
      <w:jc w:val="left"/>
      <w:textAlignment w:val="center"/>
    </w:pPr>
    <w:rPr>
      <w:rFonts w:eastAsia="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16"/>
      </w:numPr>
    </w:pPr>
  </w:style>
  <w:style w:type="numbering" w:customStyle="1" w:styleId="Header">
    <w:name w:val="ArticleSection"/>
    <w:pPr>
      <w:numPr>
        <w:numId w:val="17"/>
      </w:numPr>
    </w:pPr>
  </w:style>
  <w:style w:type="numbering" w:customStyle="1" w:styleId="Footer">
    <w:name w:val="11111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1</TotalTime>
  <Pages>186</Pages>
  <Words>34130</Words>
  <Characters>194541</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228215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Anne Gorgula</dc:creator>
  <cp:lastModifiedBy>Craig Tudman</cp:lastModifiedBy>
  <cp:revision>2</cp:revision>
  <cp:lastPrinted>2013-11-27T05:45:00Z</cp:lastPrinted>
  <dcterms:created xsi:type="dcterms:W3CDTF">2013-12-05T05:18:00Z</dcterms:created>
  <dcterms:modified xsi:type="dcterms:W3CDTF">2013-12-05T05:18:00Z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MANSFIELD J</vt:lpwstr>
  </property>
  <property fmtid="{D5CDD505-2E9C-101B-9397-08002B2CF9AE}" pid="4" name="Judgment_dated" linkTarget="Judgment_dated">
    <vt:lpwstr>5 DECEMBER 2013</vt:lpwstr>
  </property>
  <property fmtid="{D5CDD505-2E9C-101B-9397-08002B2CF9AE}" pid="5" name="Distribution" linkTarget="Distribution">
    <vt:lpwstr>GENERAL DISTRIBUTION</vt:lpwstr>
  </property>
  <property fmtid="{D5CDD505-2E9C-101B-9397-08002B2CF9AE}" pid="6" name="MNC" linkTarget="MNC">
    <vt:lpwstr>Far West Coast Native Title Claim v State of South Australia (No 7) .[2013] FCA 1285.</vt:lpwstr>
  </property>
  <property fmtid="{D5CDD505-2E9C-101B-9397-08002B2CF9AE}" pid="7" name="File_Number" linkTarget="Num">
    <vt:lpwstr>SAD 6008 of 1998</vt:lpwstr>
  </property>
  <property fmtid="{D5CDD505-2E9C-101B-9397-08002B2CF9AE}" pid="8" name="Pages">
    <vt:lpwstr>177</vt:lpwstr>
  </property>
  <property fmtid="{D5CDD505-2E9C-101B-9397-08002B2CF9AE}" pid="9" name="Parties">
    <vt:lpwstr> </vt:lpwstr>
  </property>
  <property fmtid="{D5CDD505-2E9C-101B-9397-08002B2CF9AE}" pid="10" name="Place" linkTarget="Place">
    <vt:lpwstr>ADELAIDE</vt:lpwstr>
  </property>
  <property fmtid="{D5CDD505-2E9C-101B-9397-08002B2CF9AE}" pid="11" name="Respondent" linkTarget="Respondent">
    <vt:lpwstr>STATE OF SOUTH AUSTRALIA &amp; OTHERS.Respondent.</vt:lpwstr>
  </property>
  <property fmtid="{D5CDD505-2E9C-101B-9397-08002B2CF9AE}" pid="12" name="State" linkTarget="State">
    <vt:lpwstr>SOUTH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13.2</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